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107.png" ContentType="image/png"/>
  <Override PartName="/word/media/rId42.png" ContentType="image/png"/>
  <Override PartName="/word/media/rId28.png" ContentType="image/png"/>
  <Override PartName="/word/media/rId124.png" ContentType="image/png"/>
  <Override PartName="/word/media/rId96.png" ContentType="image/png"/>
  <Override PartName="/word/media/rId104.png" ContentType="image/png"/>
  <Override PartName="/word/media/rId72.png" ContentType="image/png"/>
  <Override PartName="/word/media/rId75.png" ContentType="image/png"/>
  <Override PartName="/word/media/rId80.png" ContentType="image/png"/>
  <Override PartName="/word/media/rId65.png" ContentType="image/png"/>
  <Override PartName="/word/media/rId61.png" ContentType="image/png"/>
  <Override PartName="/word/media/rId69.png" ContentType="image/png"/>
  <Override PartName="/word/media/rId92.png" ContentType="image/png"/>
  <Override PartName="/word/media/rId100.png" ContentType="image/png"/>
  <Override PartName="/word/media/rId111.png" ContentType="image/png"/>
  <Override PartName="/word/media/rId85.png" ContentType="image/png"/>
  <Override PartName="/word/media/rId121.png" ContentType="image/png"/>
  <Override PartName="/word/media/rId117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d46bdb1+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</w:t>
      </w:r>
    </w:p>
    <w:bookmarkStart w:id="2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einen zentralen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beschreibt das Szenario</w:t>
      </w:r>
      <w:r>
        <w:t xml:space="preserve"> </w:t>
      </w:r>
      <w:r>
        <w:t xml:space="preserve">„Peer-Benchmarking” am Ende des Kapitels „Daten gemeinsam nutzen und Mehrwerte</w:t>
      </w:r>
      <w:r>
        <w:t xml:space="preserve"> </w:t>
      </w:r>
      <w:r>
        <w:t xml:space="preserve">schaffen”.</w:t>
      </w:r>
    </w:p>
    <w:bookmarkEnd w:id="23"/>
    <w:bookmarkStart w:id="24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weiterer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</w:t>
      </w:r>
    </w:p>
    <w:bookmarkEnd w:id="24"/>
    <w:bookmarkStart w:id="25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p>
      <w:pPr>
        <w:pStyle w:val="BodyText"/>
      </w:pPr>
      <w:r>
        <w:t xml:space="preserve">In der Granergize-App übernimmt das die Energie-Linse der Karte: Sie färbt die</w:t>
      </w:r>
      <w:r>
        <w:t xml:space="preserve"> </w:t>
      </w:r>
      <w:r>
        <w:t xml:space="preserve">Gebäude-Marker nach Energieintensität ein und ordnet ein Objekt so auf einen</w:t>
      </w:r>
      <w:r>
        <w:t xml:space="preserve"> </w:t>
      </w:r>
      <w:r>
        <w:t xml:space="preserve">Blick in sein sichtbares Umfeld ein – einschließlich der Gebäude, die andere</w:t>
      </w:r>
      <w:r>
        <w:t xml:space="preserve"> </w:t>
      </w:r>
      <w:r>
        <w:t xml:space="preserve">mit Ihnen geteilt haben (siehe Abschnitt „Gebäude nach Energieverbrauch</w:t>
      </w:r>
      <w:r>
        <w:t xml:space="preserve"> </w:t>
      </w:r>
      <w:r>
        <w:t xml:space="preserve">einordnen”).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33"/>
    <w:bookmarkEnd w:id="34"/>
    <w:bookmarkStart w:id="84" w:name="die-granergize-app-in-der-praxis-nutzen"/>
    <w:p>
      <w:pPr>
        <w:pStyle w:val="Heading1"/>
      </w:pPr>
      <w:r>
        <w:t xml:space="preserve">Die Granergize-App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38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39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40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41"/>
    <w:bookmarkStart w:id="45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5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5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5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43" name="Picture"/>
            <a:graphic>
              <a:graphicData uri="http://schemas.openxmlformats.org/drawingml/2006/picture">
                <pic:pic>
                  <pic:nvPicPr>
                    <pic:cNvPr descr="figures/anmelde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fünf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fünf Gebäude angelegt wurden, und das Angebot bleibt zum erneuten Versuch</w:t>
      </w:r>
      <w:r>
        <w:t xml:space="preserve"> </w:t>
      </w:r>
      <w:r>
        <w:t xml:space="preserve">verfügbar. Die Beispiele decken beide Datenformen ab – drei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15-Minuten-Messreihen. Zwei der Jahreswert-Gebäude teilen sich denselben</w:t>
      </w:r>
      <w:r>
        <w:t xml:space="preserve"> </w:t>
      </w:r>
      <w:r>
        <w:t xml:space="preserve">Betreiber und eines enthält zusätzlich geplante (Soll-)Werte, sodass</w:t>
      </w:r>
      <w:r>
        <w:t xml:space="preserve"> </w:t>
      </w:r>
      <w:r>
        <w:t xml:space="preserve">Betreiber-Durchschnitt und Soll-Ist-Vergleich direkt an den Beispieldaten</w:t>
      </w:r>
      <w:r>
        <w:t xml:space="preserve"> </w:t>
      </w:r>
      <w:r>
        <w:t xml:space="preserve">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5"/>
    <w:bookmarkStart w:id="46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46"/>
    <w:bookmarkStart w:id="56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50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8" name="Picture"/>
            <a:graphic>
              <a:graphicData uri="http://schemas.openxmlformats.org/drawingml/2006/picture">
                <pic:pic>
                  <pic:nvPicPr>
                    <pic:cNvPr descr="figures/wac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50"/>
    <w:bookmarkStart w:id="54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52" name="Picture"/>
            <a:graphic>
              <a:graphicData uri="http://schemas.openxmlformats.org/drawingml/2006/picture">
                <pic:pic>
                  <pic:nvPicPr>
                    <pic:cNvPr descr="figures/wissensgrap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4"/>
    <w:bookmarkStart w:id="55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5"/>
    <w:bookmarkEnd w:id="56"/>
    <w:bookmarkStart w:id="60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8" name="Picture"/>
            <a:graphic>
              <a:graphicData uri="http://schemas.openxmlformats.org/drawingml/2006/picture">
                <pic:pic>
                  <pic:nvPicPr>
                    <pic:cNvPr descr="figures/add-build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60"/>
    <w:bookmarkStart w:id="64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08878"/>
            <wp:effectExtent b="0" l="0" r="0" t="0"/>
            <wp:docPr descr="Aktionen je Gebäude im Tab „Manage”: bearbeiten, Dateien, Energiejahr, teilen, herunterladen, löschen" title="" id="62" name="Picture"/>
            <a:graphic>
              <a:graphicData uri="http://schemas.openxmlformats.org/drawingml/2006/picture">
                <pic:pic>
                  <pic:nvPicPr>
                    <pic:cNvPr descr="figures/manage-action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64"/>
    <w:bookmarkStart w:id="68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66" name="Picture"/>
            <a:graphic>
              <a:graphicData uri="http://schemas.openxmlformats.org/drawingml/2006/picture">
                <pic:pic>
                  <pic:nvPicPr>
                    <pic:cNvPr descr="figures/energy-year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8"/>
    <w:bookmarkStart w:id="79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2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70" name="Picture"/>
            <a:graphic>
              <a:graphicData uri="http://schemas.openxmlformats.org/drawingml/2006/picture">
                <pic:pic>
                  <pic:nvPicPr>
                    <pic:cNvPr descr="figures/map-tab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73" name="Picture"/>
            <a:graphic>
              <a:graphicData uri="http://schemas.openxmlformats.org/drawingml/2006/picture">
                <pic:pic>
                  <pic:nvPicPr>
                    <pic:cNvPr descr="figures/energy-data-tab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78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…/#/energy/&lt;Gebäude-ID&gt;</w:t>
      </w:r>
      <w:r>
        <w:t xml:space="preserve"> </w:t>
      </w:r>
      <w:r>
        <w:t xml:space="preserve">(die Gebäude-ID ist der technische</w:t>
      </w:r>
      <w:r>
        <w:t xml:space="preserve"> </w:t>
      </w:r>
      <w:r>
        <w:t xml:space="preserve">Bezeichner des Gebäudes). 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das Szenario</w:t>
      </w:r>
      <w:r>
        <w:t xml:space="preserve"> </w:t>
      </w:r>
      <w:r>
        <w:t xml:space="preserve">„Peer-Benchmarking” im Kapitel „Daten gemeinsam nutzen und Mehrwerte schaffen”.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76" name="Picture"/>
            <a:graphic>
              <a:graphicData uri="http://schemas.openxmlformats.org/drawingml/2006/picture">
                <pic:pic>
                  <pic:nvPicPr>
                    <pic:cNvPr descr="figures/energy-detail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78"/>
    <w:bookmarkEnd w:id="79"/>
    <w:bookmarkStart w:id="83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81" name="Picture"/>
            <a:graphic>
              <a:graphicData uri="http://schemas.openxmlformats.org/drawingml/2006/picture">
                <pic:pic>
                  <pic:nvPicPr>
                    <pic:cNvPr descr="figures/energy-len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83"/>
    <w:bookmarkEnd w:id="84"/>
    <w:bookmarkStart w:id="129" w:name="X7d72782c915f60697958dd391a69efa388f028d"/>
    <w:p>
      <w:pPr>
        <w:pStyle w:val="Heading1"/>
      </w:pPr>
      <w:r>
        <w:t xml:space="preserve">Daten gemeinsam nutzen und Mehrwerte schaffen</w:t>
      </w:r>
    </w:p>
    <w:bookmarkStart w:id="91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86" name="Picture"/>
            <a:graphic>
              <a:graphicData uri="http://schemas.openxmlformats.org/drawingml/2006/picture">
                <pic:pic>
                  <pic:nvPicPr>
                    <pic:cNvPr descr="figures/sharing-vergleich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88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88"/>
    <w:bookmarkStart w:id="89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89"/>
    <w:bookmarkStart w:id="90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90"/>
    <w:bookmarkEnd w:id="91"/>
    <w:bookmarkStart w:id="116" w:name="vorgehensweise-beim-datenteilen"/>
    <w:p>
      <w:pPr>
        <w:pStyle w:val="Heading2"/>
      </w:pPr>
      <w:r>
        <w:t xml:space="preserve">Vorgehensweise beim Datenteilen</w:t>
      </w:r>
    </w:p>
    <w:bookmarkStart w:id="95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93" name="Picture"/>
            <a:graphic>
              <a:graphicData uri="http://schemas.openxmlformats.org/drawingml/2006/picture">
                <pic:pic>
                  <pic:nvPicPr>
                    <pic:cNvPr descr="figures/room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95"/>
    <w:bookmarkStart w:id="99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97" name="Picture"/>
            <a:graphic>
              <a:graphicData uri="http://schemas.openxmlformats.org/drawingml/2006/picture">
                <pic:pic>
                  <pic:nvPicPr>
                    <pic:cNvPr descr="figures/contact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99"/>
    <w:bookmarkStart w:id="103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19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9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9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01" name="Picture"/>
            <a:graphic>
              <a:graphicData uri="http://schemas.openxmlformats.org/drawingml/2006/picture">
                <pic:pic>
                  <pic:nvPicPr>
                    <pic:cNvPr descr="figures/share-building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03"/>
    <w:bookmarkStart w:id="110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0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0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0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0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0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05" name="Picture"/>
            <a:graphic>
              <a:graphicData uri="http://schemas.openxmlformats.org/drawingml/2006/picture">
                <pic:pic>
                  <pic:nvPicPr>
                    <pic:cNvPr descr="figures/create-view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08" name="Picture"/>
            <a:graphic>
              <a:graphicData uri="http://schemas.openxmlformats.org/drawingml/2006/picture">
                <pic:pic>
                  <pic:nvPicPr>
                    <pic:cNvPr descr="figures/aggregated-view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10"/>
    <w:bookmarkStart w:id="114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12" name="Picture"/>
            <a:graphic>
              <a:graphicData uri="http://schemas.openxmlformats.org/drawingml/2006/picture">
                <pic:pic>
                  <pic:nvPicPr>
                    <pic:cNvPr descr="figures/shared-with-you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14"/>
    <w:bookmarkStart w:id="115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15"/>
    <w:bookmarkEnd w:id="116"/>
    <w:bookmarkStart w:id="128" w:name="zwei-szenarien-im-zusammenspiel"/>
    <w:p>
      <w:pPr>
        <w:pStyle w:val="Heading2"/>
      </w:pPr>
      <w:r>
        <w:t xml:space="preserve">Zwei Szenarien im Zusammenspiel</w:t>
      </w:r>
    </w:p>
    <w:p>
      <w:pPr>
        <w:pStyle w:val="FirstParagraph"/>
      </w:pPr>
      <w:r>
        <w:t xml:space="preserve">Die vorangegangenen Abschnitte beschreiben jeden Arbeitsschritt für sich. Die</w:t>
      </w:r>
      <w:r>
        <w:t xml:space="preserve"> </w:t>
      </w:r>
      <w:r>
        <w:t xml:space="preserve">folgenden zwei Szenarien zeigen, wie die Schritte über mehrere Beteiligte hinweg</w:t>
      </w:r>
      <w:r>
        <w:t xml:space="preserve"> </w:t>
      </w:r>
      <w:r>
        <w:t xml:space="preserve">ineinandergreifen: einmal das Teilen eines Gebäudes aus der Sicht</w:t>
      </w:r>
      <w:r>
        <w:t xml:space="preserve"> </w:t>
      </w:r>
      <w:r>
        <w:rPr>
          <w:b/>
          <w:bCs/>
        </w:rPr>
        <w:t xml:space="preserve">beider</w:t>
      </w:r>
      <w:r>
        <w:t xml:space="preserve"> </w:t>
      </w:r>
      <w:r>
        <w:t xml:space="preserve">Seiten (A und B), und einmal das Peer-Benchmarking mit</w:t>
      </w:r>
      <w:r>
        <w:t xml:space="preserve"> </w:t>
      </w:r>
      <w:r>
        <w:rPr>
          <w:b/>
          <w:bCs/>
        </w:rPr>
        <w:t xml:space="preserve">drei</w:t>
      </w:r>
      <w:r>
        <w:t xml:space="preserve"> </w:t>
      </w:r>
      <w:r>
        <w:t xml:space="preserve">Beteiligten</w:t>
      </w:r>
      <w:r>
        <w:t xml:space="preserve"> </w:t>
      </w:r>
      <w:r>
        <w:t xml:space="preserve">(A, B und C). In den Bildschirmfotos dieses Handbuchs treten die drei als</w:t>
      </w:r>
      <w:r>
        <w:t xml:space="preserve"> </w:t>
      </w:r>
      <w:r>
        <w:t xml:space="preserve">Alice, Bob und Charlie auf – etwa als „Shared by: Alice Ahlmann” beim</w:t>
      </w:r>
      <w:r>
        <w:t xml:space="preserve"> </w:t>
      </w:r>
      <w:r>
        <w:t xml:space="preserve">Empfänger oder als Absender des zurückgeteilten Benchmarks.</w:t>
      </w:r>
    </w:p>
    <w:bookmarkStart w:id="120" w:name="X772ae4d830da6eb559342e0008f372a05ca1644"/>
    <w:p>
      <w:pPr>
        <w:pStyle w:val="Heading3"/>
      </w:pPr>
      <w:r>
        <w:t xml:space="preserve">Szenario 1: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ein Geschäftspartner (etwa ein Investor), der diese Daten einsehen soll.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2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2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und gibt B’s WebID ein – hat A schon einmal mit B</w:t>
      </w:r>
      <w:r>
        <w:t xml:space="preserve"> </w:t>
      </w:r>
      <w:r>
        <w:t xml:space="preserve">geteilt, schlägt das Adressbuch (siehe „Kontakte verwalten”) die WebID vor.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2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3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3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auswertbar.</w:t>
      </w:r>
    </w:p>
    <w:p>
      <w:pPr>
        <w:pStyle w:val="Compact"/>
        <w:numPr>
          <w:ilvl w:val="0"/>
          <w:numId w:val="1023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3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FirstParagraph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18" name="Picture"/>
            <a:graphic>
              <a:graphicData uri="http://schemas.openxmlformats.org/drawingml/2006/picture">
                <pic:pic>
                  <pic:nvPicPr>
                    <pic:cNvPr descr="figures/szenario-teilen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20"/>
    <w:bookmarkStart w:id="127" w:name="X22cbd56082c75d3c3bf5f4b99816c26f9d44d34"/>
    <w:p>
      <w:pPr>
        <w:pStyle w:val="Heading3"/>
      </w:pPr>
      <w:r>
        <w:t xml:space="preserve">Szenario 2: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t xml:space="preserve">Der Ablauf hat vier Schritte: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 und B teilen ihre Gebäude an C.</w:t>
      </w:r>
      <w:r>
        <w:t xml:space="preserve"> </w:t>
      </w:r>
      <w:r>
        <w:t xml:space="preserve">Jeder nutzt den normalen</w:t>
      </w:r>
      <w:r>
        <w:t xml:space="preserve"> </w:t>
      </w:r>
      <w:r>
        <w:t xml:space="preserve">Teilen-Dialog (siehe „Ein Gebäude teilen”) und gibt die Gebäude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an C’s WebID frei – wahlweise alle Jahre</w:t>
      </w:r>
      <w:r>
        <w:t xml:space="preserve"> </w:t>
      </w:r>
      <w:r>
        <w:t xml:space="preserve">oder gezielt ausgewählte. Sind alle drei Mitglied eines Datenraums, geht es</w:t>
      </w:r>
      <w:r>
        <w:t xml:space="preserve"> </w:t>
      </w:r>
      <w:r>
        <w:t xml:space="preserve">auch in einem Zug rollenbasiert: „By role” an die Rolle</w:t>
      </w:r>
      <w:r>
        <w:t xml:space="preserve"> </w:t>
      </w:r>
      <w:r>
        <w:rPr>
          <w:b/>
          <w:bCs/>
        </w:rPr>
        <w:t xml:space="preserve">Benchmark Service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 berechnet den Benchmark.</w:t>
      </w:r>
      <w:r>
        <w:t xml:space="preserve"> </w:t>
      </w:r>
      <w:r>
        <w:t xml:space="preserve">C erstellt eine aggregierte Ansicht vom Typ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 </w:t>
      </w:r>
      <w:r>
        <w:t xml:space="preserve">(siehe „Aggregierte Ansicht erstellen und</w:t>
      </w:r>
      <w:r>
        <w:t xml:space="preserve"> </w:t>
      </w:r>
      <w:r>
        <w:t xml:space="preserve">teilen”). Zur Auswahl stehen dabei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 von A und B. C wählt die Kennzahlen (jährlicher</w:t>
      </w:r>
      <w:r>
        <w:t xml:space="preserve"> </w:t>
      </w:r>
      <w:r>
        <w:t xml:space="preserve">Strom-, Wärme-, Wasser- und Abwasserverbrauch) und die Funktion</w:t>
      </w:r>
      <w:r>
        <w:t xml:space="preserve"> </w:t>
      </w:r>
      <w:r>
        <w:t xml:space="preserve">„Durchschnitt”; die App berechnet das Ergebnis als Snapshot.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 teilt das Ergebnis an alle Beitragenden zurück.</w:t>
      </w:r>
      <w:r>
        <w:t xml:space="preserve"> </w:t>
      </w:r>
      <w:r>
        <w:t xml:space="preserve">Im Teilen-Dialog der</w:t>
      </w:r>
      <w:r>
        <w:t xml:space="preserve"> </w:t>
      </w:r>
      <w:r>
        <w:t xml:space="preserve">Ansicht bietet die App dafür eine Ein-Klick-Hilfe an: „Add all</w:t>
      </w:r>
      <w:r>
        <w:t xml:space="preserve"> </w:t>
      </w:r>
      <w:r>
        <w:t xml:space="preserve">contributors” trägt automatisch alle ein, deren Gebäude in den Benchmark</w:t>
      </w:r>
      <w:r>
        <w:t xml:space="preserve"> </w:t>
      </w:r>
      <w:r>
        <w:t xml:space="preserve">eingeflossen sind – hier A und B.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 und B sehen den Benchmark neben den eigenen Zahlen.</w:t>
      </w:r>
      <w:r>
        <w:t xml:space="preserve"> </w:t>
      </w:r>
      <w:r>
        <w:t xml:space="preserve">Die</w:t>
      </w:r>
      <w:r>
        <w:t xml:space="preserve"> </w:t>
      </w:r>
      <w:r>
        <w:t xml:space="preserve">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 with</w:t>
      </w:r>
      <w:r>
        <w:t xml:space="preserve"> </w:t>
      </w:r>
      <w:r>
        <w:t xml:space="preserve">you”. Vor allem aber füllt sich auf der Energie-Detailseite der eigenen</w:t>
      </w:r>
      <w:r>
        <w:t xml:space="preserve"> </w:t>
      </w:r>
      <w:r>
        <w:t xml:space="preserve">Gebäude 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</w:t>
      </w:r>
      <w:r>
        <w:t xml:space="preserve"> </w:t>
      </w:r>
      <w:r>
        <w:t xml:space="preserve">externen Branchenwert eingefärbt statt nur gegen den eigenen</w:t>
      </w:r>
      <w:r>
        <w:t xml:space="preserve"> </w:t>
      </w:r>
      <w:r>
        <w:t xml:space="preserve">Portfolio-Durchschnitt, und ein Hinweis nennt den Dienstleister, der den</w:t>
      </w:r>
      <w:r>
        <w:t xml:space="preserve"> </w:t>
      </w:r>
      <w:r>
        <w:t xml:space="preserve">Benchmark berechnet hat. Genau diesen Zustand zeigt die Abbildung der</w:t>
      </w:r>
      <w:r>
        <w:t xml:space="preserve"> </w:t>
      </w:r>
      <w:r>
        <w:t xml:space="preserve">Energie-Detailseite im Abschnitt „Daten ansehen”: Die Benchmark-Spalte dort</w:t>
      </w:r>
      <w:r>
        <w:t xml:space="preserve"> </w:t>
      </w:r>
      <w:r>
        <w:t xml:space="preserve">trägt die von einem Dienstleister zurückgeteilten Branchenwerte.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22" name="Picture"/>
            <a:graphic>
              <a:graphicData uri="http://schemas.openxmlformats.org/drawingml/2006/picture">
                <pic:pic>
                  <pic:nvPicPr>
                    <pic:cNvPr descr="figures/szenario-benchmar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25" name="Picture"/>
            <a:graphic>
              <a:graphicData uri="http://schemas.openxmlformats.org/drawingml/2006/picture">
                <pic:pic>
                  <pic:nvPicPr>
                    <pic:cNvPr descr="figures/benchmark-share-bac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27"/>
    <w:bookmarkEnd w:id="128"/>
    <w:bookmarkEnd w:id="129"/>
    <w:bookmarkStart w:id="130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40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30"/>
    <w:bookmarkStart w:id="132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31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107" Target="media/rId107.png" /><Relationship Type="http://schemas.openxmlformats.org/officeDocument/2006/relationships/image" Id="rId42" Target="media/rId42.png" /><Relationship Type="http://schemas.openxmlformats.org/officeDocument/2006/relationships/image" Id="rId28" Target="media/rId28.png" /><Relationship Type="http://schemas.openxmlformats.org/officeDocument/2006/relationships/image" Id="rId124" Target="media/rId124.png" /><Relationship Type="http://schemas.openxmlformats.org/officeDocument/2006/relationships/image" Id="rId96" Target="media/rId96.png" /><Relationship Type="http://schemas.openxmlformats.org/officeDocument/2006/relationships/image" Id="rId104" Target="media/rId104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85" Target="media/rId85.png" /><Relationship Type="http://schemas.openxmlformats.org/officeDocument/2006/relationships/image" Id="rId121" Target="media/rId121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hyperlink" Id="rId38" Target="https://communitysolidserver.github.io/CommunitySolidServer/" TargetMode="External" /><Relationship Type="http://schemas.openxmlformats.org/officeDocument/2006/relationships/hyperlink" Id="rId131" Target="https://finance.ec.europa.eu/sustainable-finance/tools-and-standards/eu-taxonomy-sustainable-activities_en" TargetMode="External" /><Relationship Type="http://schemas.openxmlformats.org/officeDocument/2006/relationships/hyperlink" Id="rId40" Target="https://github.com/wintechis/granergize-webapp" TargetMode="External" /><Relationship Type="http://schemas.openxmlformats.org/officeDocument/2006/relationships/hyperlink" Id="rId39" Target="https://nodejs.org/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communitysolidserver.github.io/CommunitySolidServer/" TargetMode="External" /><Relationship Type="http://schemas.openxmlformats.org/officeDocument/2006/relationships/hyperlink" Id="rId131" Target="https://finance.ec.europa.eu/sustainable-finance/tools-and-standards/eu-taxonomy-sustainable-activities_en" TargetMode="External" /><Relationship Type="http://schemas.openxmlformats.org/officeDocument/2006/relationships/hyperlink" Id="rId40" Target="https://github.com/wintechis/granergize-webapp" TargetMode="External" /><Relationship Type="http://schemas.openxmlformats.org/officeDocument/2006/relationships/hyperlink" Id="rId39" Target="https://nodejs.org/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2026-06-11T21:29:06Z</dcterms:created>
  <dcterms:modified xsi:type="dcterms:W3CDTF">2026-06-11T21:29:06Z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d46bdb1+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