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107.png" ContentType="image/png"/>
  <Override PartName="/word/media/rId42.png" ContentType="image/png"/>
  <Override PartName="/word/media/rId28.png" ContentType="image/png"/>
  <Override PartName="/word/media/rId129.png" ContentType="image/png"/>
  <Override PartName="/word/media/rId135.png" ContentType="image/png"/>
  <Override PartName="/word/media/rId96.png" ContentType="image/png"/>
  <Override PartName="/word/media/rId104.png" ContentType="image/png"/>
  <Override PartName="/word/media/rId72.png" ContentType="image/png"/>
  <Override PartName="/word/media/rId75.png" ContentType="image/png"/>
  <Override PartName="/word/media/rId80.png" ContentType="image/png"/>
  <Override PartName="/word/media/rId65.png" ContentType="image/png"/>
  <Override PartName="/word/media/rId61.png" ContentType="image/png"/>
  <Override PartName="/word/media/rId69.png" ContentType="image/png"/>
  <Override PartName="/word/media/rId92.png" ContentType="image/png"/>
  <Override PartName="/word/media/rId100.png" ContentType="image/png"/>
  <Override PartName="/word/media/rId111.png" ContentType="image/png"/>
  <Override PartName="/word/media/rId85.png" ContentType="image/png"/>
  <Override PartName="/word/media/rId118.png" ContentType="image/png"/>
  <Override PartName="/word/media/rId132.png" ContentType="image/png"/>
  <Override PartName="/word/media/rId125.png" ContentType="image/png"/>
  <Override PartName="/word/media/rId12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f96076a+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der Granergize-App – einer Webanwendung,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p>
      <w:pPr>
        <w:pStyle w:val="FirstParagraph"/>
      </w:pPr>
      <w:r>
        <w:t xml:space="preserve">Drei Anwendungsfälle haben die Entwicklung der Granergize-App geleitet. Jeder</w:t>
      </w:r>
      <w:r>
        <w:t xml:space="preserve"> </w:t>
      </w:r>
      <w:r>
        <w:t xml:space="preserve">wird hier zunächst fachlich beschrieben; wo die App ihn einlöst, nennt der</w:t>
      </w:r>
      <w:r>
        <w:t xml:space="preserve"> </w:t>
      </w:r>
      <w:r>
        <w:t xml:space="preserve">jeweilige Abschnitt – und die betreffenden Stellen im praktischen Teil dieses</w:t>
      </w:r>
      <w:r>
        <w:t xml:space="preserve"> </w:t>
      </w:r>
      <w:r>
        <w:t xml:space="preserve">Handbuchs greifen den Anwendungsfall namentlich wieder auf. Die Reihenfolge</w:t>
      </w:r>
      <w:r>
        <w:t xml:space="preserve"> </w:t>
      </w:r>
      <w:r>
        <w:t xml:space="preserve">folgt der Zahl der Beteiligten: Der Soll-Ist-Vergleich spielt sich im eigenen</w:t>
      </w:r>
      <w:r>
        <w:t xml:space="preserve"> </w:t>
      </w:r>
      <w:r>
        <w:t xml:space="preserve">Bestand ab, die Vertriebsoptimierung lebt vom Teilen zwischen zwei Parteien,</w:t>
      </w:r>
      <w:r>
        <w:t xml:space="preserve"> </w:t>
      </w:r>
      <w:r>
        <w:t xml:space="preserve">und das Energieverbrauchsbenchmark bringt mit dem Benchmark-Dienstleister</w:t>
      </w:r>
      <w:r>
        <w:t xml:space="preserve"> </w:t>
      </w:r>
      <w:r>
        <w:t xml:space="preserve">einen dritten Akteur ins Spiel. Am Ende des praktischen Teils läuft jeder der</w:t>
      </w:r>
      <w:r>
        <w:t xml:space="preserve"> </w:t>
      </w:r>
      <w:r>
        <w:t xml:space="preserve">drei noch einmal als durchgehender Ablauf ab (Kapitel „Die Anwendungsfälle</w:t>
      </w:r>
      <w:r>
        <w:t xml:space="preserve"> </w:t>
      </w:r>
      <w:r>
        <w:t xml:space="preserve">durchgespielt”).</w:t>
      </w:r>
    </w:p>
    <w:bookmarkStart w:id="23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Die Granergize-App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 Dafür genügt der eigene Pod – weitere Beteiligte</w:t>
      </w:r>
      <w:r>
        <w:t xml:space="preserve"> </w:t>
      </w:r>
      <w:r>
        <w:t xml:space="preserve">sind nicht erforderlich. Den durchgehenden Ablauf zeigt der Abschnitt</w:t>
      </w:r>
      <w:r>
        <w:t xml:space="preserve"> </w:t>
      </w:r>
      <w:r>
        <w:t xml:space="preserve">„Soll-Ist-Vergleich durchgespielt” im Kapitel „Die Anwendungsfälle</w:t>
      </w:r>
      <w:r>
        <w:t xml:space="preserve"> </w:t>
      </w:r>
      <w:r>
        <w:t xml:space="preserve">durchgespielt”.</w:t>
      </w:r>
    </w:p>
    <w:bookmarkEnd w:id="23"/>
    <w:bookmarkStart w:id="24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p>
      <w:pPr>
        <w:pStyle w:val="BodyText"/>
      </w:pPr>
      <w:r>
        <w:t xml:space="preserve">In der Granergize-App übernimmt das die Energie-Linse der Karte: Sie färbt die</w:t>
      </w:r>
      <w:r>
        <w:t xml:space="preserve"> </w:t>
      </w:r>
      <w:r>
        <w:t xml:space="preserve">Gebäude-Marker nach Energieintensität ein und ordnet ein Objekt so auf einen</w:t>
      </w:r>
      <w:r>
        <w:t xml:space="preserve"> </w:t>
      </w:r>
      <w:r>
        <w:t xml:space="preserve">Blick in sein sichtbares Umfeld ein – einschließlich der Gebäude, die andere</w:t>
      </w:r>
      <w:r>
        <w:t xml:space="preserve"> </w:t>
      </w:r>
      <w:r>
        <w:t xml:space="preserve">mit Ihnen geteilt haben (siehe Abschnitt „Gebäude nach Energieverbrauch</w:t>
      </w:r>
      <w:r>
        <w:t xml:space="preserve"> </w:t>
      </w:r>
      <w:r>
        <w:t xml:space="preserve">einordnen”). Ihre volle Wirkung entfaltet die Linse damit erst im Zusammenspiel</w:t>
      </w:r>
      <w:r>
        <w:t xml:space="preserve"> </w:t>
      </w:r>
      <w:r>
        <w:t xml:space="preserve">mit dem Teilen: Je mehr Eigentümer einem Makler oder Berater ihre Gebäude</w:t>
      </w:r>
      <w:r>
        <w:t xml:space="preserve"> </w:t>
      </w:r>
      <w:r>
        <w:t xml:space="preserve">einschließlich Energiedaten freigeben, desto vollständiger wird dessen</w:t>
      </w:r>
      <w:r>
        <w:t xml:space="preserve"> </w:t>
      </w:r>
      <w:r>
        <w:t xml:space="preserve">Marktüberblick. Wie eine solche Freigabe abläuft und beim Empfänger auf der</w:t>
      </w:r>
      <w:r>
        <w:t xml:space="preserve"> </w:t>
      </w:r>
      <w:r>
        <w:t xml:space="preserve">Karte landet, führt der Abschnitt „Vertriebsoptimierung durchgespielt” im</w:t>
      </w:r>
      <w:r>
        <w:t xml:space="preserve"> </w:t>
      </w:r>
      <w:r>
        <w:t xml:space="preserve">Kapitel „Die Anwendungsfälle durchgespielt” aus.</w:t>
      </w:r>
    </w:p>
    <w:bookmarkEnd w:id="24"/>
    <w:bookmarkStart w:id="25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den dritten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p>
      <w:pPr>
        <w:pStyle w:val="BodyText"/>
      </w:pPr>
      <w:r>
        <w:t xml:space="preserve">Die Granergize-App löst diesen Anwendungsfall auf zwei Ebenen ein: Innerhalb</w:t>
      </w:r>
      <w:r>
        <w:t xml:space="preserve"> </w:t>
      </w:r>
      <w:r>
        <w:t xml:space="preserve">des eigenen Bestands stellt die Energie-Detailseite jeden Verbrauchswert dem</w:t>
      </w:r>
      <w:r>
        <w:t xml:space="preserve"> </w:t>
      </w:r>
      <w:r>
        <w:t xml:space="preserve">Portfolio- und dem Betreiber-Durchschnitt gegenüber (siehe Abschnitt</w:t>
      </w:r>
      <w:r>
        <w:t xml:space="preserve"> </w:t>
      </w:r>
      <w:r>
        <w:t xml:space="preserve">„Energie-Detailseite eines Gebäudes”). Über den eigenen Bestand hinaus kommt</w:t>
      </w:r>
      <w:r>
        <w:t xml:space="preserve"> </w:t>
      </w:r>
      <w:r>
        <w:t xml:space="preserve">der Vergleichswert von einem Benchmark-Dienstleister – in der App die Rolle</w:t>
      </w:r>
      <w:r>
        <w:t xml:space="preserve"> </w:t>
      </w:r>
      <w:r>
        <w:t xml:space="preserve">„Benchmark Service Provider” –, der über die Gebäude mehrerer Eigentümer</w:t>
      </w:r>
      <w:r>
        <w:t xml:space="preserve"> </w:t>
      </w:r>
      <w:r>
        <w:t xml:space="preserve">aggregiert; das vollständige Zusammenspiel führt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 aus.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Die Granergize-App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die App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die Granergize-App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Die Granergize-App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Die Granergize-App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 Wie Sie einen solchen Server selbst</w:t>
      </w:r>
      <w:r>
        <w:t xml:space="preserve"> </w:t>
      </w:r>
      <w:r>
        <w:t xml:space="preserve">aufsetzen, beschreibt der Abschnitt „Einen eigenen Solid-Server betreiben”.</w:t>
      </w:r>
    </w:p>
    <w:bookmarkEnd w:id="33"/>
    <w:bookmarkEnd w:id="34"/>
    <w:bookmarkStart w:id="84" w:name="die-granergize-app-in-der-praxis-nutzen"/>
    <w:p>
      <w:pPr>
        <w:pStyle w:val="Heading1"/>
      </w:pPr>
      <w:r>
        <w:t xml:space="preserve">Die Granergize-App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die Granergize-App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die Granergize-App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(siehe Abschnitt „Einen eigenen Solid-Server betreiben”)</w:t>
      </w:r>
      <w:r>
        <w:t xml:space="preserve"> </w:t>
      </w:r>
      <w:r>
        <w:t xml:space="preserve">oder auf einen kommerziellen Anbieter umsteigen; die Hintergründe erläutert der</w:t>
      </w:r>
      <w:r>
        <w:t xml:space="preserve"> </w:t>
      </w:r>
      <w:r>
        <w:t xml:space="preserve">Abschnitt „Datenschutz”.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t xml:space="preserve">Ein Dienst wie solidcommunity.net übernimmt dabei zwei getrennte Rollen: Er ist</w:t>
      </w:r>
      <w:r>
        <w:t xml:space="preserve"> </w:t>
      </w:r>
      <w:r>
        <w:t xml:space="preserve">Ihr</w:t>
      </w:r>
      <w:r>
        <w:t xml:space="preserve"> </w:t>
      </w:r>
      <w:r>
        <w:rPr>
          <w:b/>
          <w:bCs/>
        </w:rPr>
        <w:t xml:space="preserve">Identity Provider</w:t>
      </w:r>
      <w:r>
        <w:t xml:space="preserve"> </w:t>
      </w:r>
      <w:r>
        <w:t xml:space="preserve">– er verwaltet Ihre WebID und bestätigt beim Anmelden,</w:t>
      </w:r>
      <w:r>
        <w:t xml:space="preserve"> </w:t>
      </w:r>
      <w:r>
        <w:t xml:space="preserve">dass Sie deren Inhaber sind – und zugleich Ihr</w:t>
      </w:r>
      <w:r>
        <w:t xml:space="preserve"> </w:t>
      </w:r>
      <w:r>
        <w:rPr>
          <w:b/>
          <w:bCs/>
        </w:rPr>
        <w:t xml:space="preserve">Speicheranbieter</w:t>
      </w:r>
      <w:r>
        <w:t xml:space="preserve">, der Ihren</w:t>
      </w:r>
      <w:r>
        <w:t xml:space="preserve"> </w:t>
      </w:r>
      <w:r>
        <w:t xml:space="preserve">Pod beherbergt. Diese Rollen müssen nicht beim selben Anbieter liegen: Ihr</w:t>
      </w:r>
      <w:r>
        <w:t xml:space="preserve"> </w:t>
      </w:r>
      <w:r>
        <w:t xml:space="preserve">WebID-Profil verweist auf Ihren Speicherort, sodass Ihre Identität nicht an</w:t>
      </w:r>
      <w:r>
        <w:t xml:space="preserve"> </w:t>
      </w:r>
      <w:r>
        <w:t xml:space="preserve">einen bestimmten Datenspeicher gebunden ist. In diesem Handbuch gehen wir vom</w:t>
      </w:r>
      <w:r>
        <w:t xml:space="preserve"> </w:t>
      </w:r>
      <w:r>
        <w:t xml:space="preserve">üblichen Fall aus, dass beides aus einer Hand kommt.</w:t>
      </w:r>
    </w:p>
    <w:p>
      <w:pPr>
        <w:pStyle w:val="BodyText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Die Granergize-App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6760c61cad132569a5cedccff8ed197724136f"/>
    <w:p>
      <w:pPr>
        <w:pStyle w:val="Heading2"/>
      </w:pPr>
      <w:r>
        <w:t xml:space="preserve">Einen eigenen Solid-Server betreiben (für Administratoren)</w:t>
      </w:r>
    </w:p>
    <w:p>
      <w:pPr>
        <w:pStyle w:val="FirstParagraph"/>
      </w:pPr>
      <w:r>
        <w:t xml:space="preserve">Für die Funktionserprobung genügt ein öffentlicher Dienst wie</w:t>
      </w:r>
      <w:r>
        <w:t xml:space="preserve"> </w:t>
      </w:r>
      <w:r>
        <w:t xml:space="preserve">solidcommunity.net. Sobald reale, sensible Daten ins Spiel kommen, sollten die</w:t>
      </w:r>
      <w:r>
        <w:t xml:space="preserve"> </w:t>
      </w:r>
      <w:r>
        <w:t xml:space="preserve">Pods dagegen auf Infrastruktur liegen, die Sie selbst kontrollieren (siehe</w:t>
      </w:r>
      <w:r>
        <w:t xml:space="preserve"> </w:t>
      </w:r>
      <w:r>
        <w:t xml:space="preserve">Abschnitt „Datenschutz”). Da die Granergize-App unabhängig vom Pod-Anbieter arbeitet,</w:t>
      </w:r>
      <w:r>
        <w:t xml:space="preserve"> </w:t>
      </w:r>
      <w:r>
        <w:t xml:space="preserve">brauchen Sie dafür nur einen spezifikationskonformen Solid-Server – an der</w:t>
      </w:r>
      <w:r>
        <w:t xml:space="preserve"> </w:t>
      </w:r>
      <w:r>
        <w:t xml:space="preserve">Anwendung selbst ändert sich nichts, und auch die Bedienung bleibt identisch:</w:t>
      </w:r>
      <w:r>
        <w:t xml:space="preserve"> </w:t>
      </w:r>
      <w:r>
        <w:t xml:space="preserve">Bei der Anmeldung geben Sie statt solidcommunity.net einfach die Adresse Ihres</w:t>
      </w:r>
      <w:r>
        <w:t xml:space="preserve"> </w:t>
      </w:r>
      <w:r>
        <w:t xml:space="preserve">eigenen Servers als Identity Provider ein. Ein so betriebener Server übernimmt</w:t>
      </w:r>
      <w:r>
        <w:t xml:space="preserve"> </w:t>
      </w:r>
      <w:r>
        <w:t xml:space="preserve">– wie solidcommunity.net – beide Rollen zugleich: Er ist Identity Provider und</w:t>
      </w:r>
      <w:r>
        <w:t xml:space="preserve"> </w:t>
      </w:r>
      <w:r>
        <w:t xml:space="preserve">Speicheranbieter für die Pods, die auf ihm liegen (siehe Abschnitt „Solid Pod</w:t>
      </w:r>
      <w:r>
        <w:t xml:space="preserve"> </w:t>
      </w:r>
      <w:r>
        <w:t xml:space="preserve">einrichten”).</w:t>
      </w:r>
    </w:p>
    <w:p>
      <w:pPr>
        <w:pStyle w:val="BodyText"/>
      </w:pPr>
      <w:r>
        <w:t xml:space="preserve">Wir empfehlen den</w:t>
      </w:r>
      <w:r>
        <w:t xml:space="preserve"> </w:t>
      </w:r>
      <w:hyperlink r:id="rId38">
        <w:r>
          <w:rPr>
            <w:rStyle w:val="Hyperlink"/>
          </w:rPr>
          <w:t xml:space="preserve">Community Solid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Server</w:t>
        </w:r>
      </w:hyperlink>
      <w:r>
        <w:t xml:space="preserve"> </w:t>
      </w:r>
      <w:r>
        <w:t xml:space="preserve">(CSS) –</w:t>
      </w:r>
      <w:r>
        <w:t xml:space="preserve"> </w:t>
      </w:r>
      <w:r>
        <w:t xml:space="preserve">eine quelloffene, frei verfügbare Server-Implementierung, die vom</w:t>
      </w:r>
      <w:r>
        <w:t xml:space="preserve"> </w:t>
      </w:r>
      <w:r>
        <w:t xml:space="preserve">Solid-Projekt gepflegt wird. Die Granergize-App wird fortlaufend automatisiert gegen</w:t>
      </w:r>
      <w:r>
        <w:t xml:space="preserve"> </w:t>
      </w:r>
      <w:r>
        <w:t xml:space="preserve">den Community Solid Server (Version 7) getestet, von der Datenschicht bis zur</w:t>
      </w:r>
      <w:r>
        <w:t xml:space="preserve"> </w:t>
      </w:r>
      <w:r>
        <w:t xml:space="preserve">Browser-Oberfläche; diese Kombination ist damit gut abgesichert.</w:t>
      </w:r>
    </w:p>
    <w:p>
      <w:pPr>
        <w:pStyle w:val="BodyText"/>
      </w:pPr>
      <w:r>
        <w:rPr>
          <w:b/>
          <w:bCs/>
        </w:rPr>
        <w:t xml:space="preserve">Ausprobieren auf dem eigenen Rechner:</w:t>
      </w:r>
      <w:r>
        <w:t xml:space="preserve"> </w:t>
      </w:r>
      <w:r>
        <w:t xml:space="preserve">Sie benötigen lediglich</w:t>
      </w:r>
      <w:r>
        <w:t xml:space="preserve"> </w:t>
      </w:r>
      <w:hyperlink r:id="rId39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(Version 18 oder neuer). Ein einziger Befehl</w:t>
      </w:r>
      <w:r>
        <w:t xml:space="preserve"> </w:t>
      </w:r>
      <w:r>
        <w:t xml:space="preserve">startet den Server:</w:t>
      </w:r>
    </w:p>
    <w:p>
      <w:pPr>
        <w:pStyle w:val="SourceCode"/>
      </w:pPr>
      <w:r>
        <w:rPr>
          <w:rStyle w:val="VerbatimChar"/>
        </w:rPr>
        <w:t xml:space="preserve">npx @solid/community-server@7 -p 3000 -b http://localhost:3000/ -f ./solid-daten</w:t>
      </w:r>
    </w:p>
    <w:p>
      <w:pPr>
        <w:pStyle w:val="FirstParagraph"/>
      </w:pPr>
      <w:r>
        <w:t xml:space="preserve">Die drei Optionen bedeuten: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– der Port, auf dem der Server erreichbar ist.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-b</w:t>
      </w:r>
      <w:r>
        <w:t xml:space="preserve"> </w:t>
      </w:r>
      <w:r>
        <w:t xml:space="preserve">– die Basis-Adresse des Servers. Sie wird Bestandteil aller WebIDs und</w:t>
      </w:r>
      <w:r>
        <w:t xml:space="preserve"> </w:t>
      </w:r>
      <w:r>
        <w:t xml:space="preserve">Pod-Adressen, die auf diesem Server entstehen.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-f</w:t>
      </w:r>
      <w:r>
        <w:t xml:space="preserve"> </w:t>
      </w:r>
      <w:r>
        <w:t xml:space="preserve">– das Verzeichnis, in dem die Daten als Dateien abgelegt werden. Ohne</w:t>
      </w:r>
      <w:r>
        <w:t xml:space="preserve"> </w:t>
      </w:r>
      <w:r>
        <w:t xml:space="preserve">diese Option hält der Server alle Daten nur im Arbeitsspeicher – nach einem</w:t>
      </w:r>
      <w:r>
        <w:t xml:space="preserve"> </w:t>
      </w:r>
      <w:r>
        <w:t xml:space="preserve">Neustart wäre alles verloren.</w:t>
      </w:r>
    </w:p>
    <w:p>
      <w:pPr>
        <w:pStyle w:val="FirstParagraph"/>
      </w:pPr>
      <w:r>
        <w:t xml:space="preserve">Öffnen Sie anschließend</w:t>
      </w:r>
      <w:r>
        <w:t xml:space="preserve"> </w:t>
      </w:r>
      <w:r>
        <w:rPr>
          <w:rStyle w:val="VerbatimChar"/>
        </w:rPr>
        <w:t xml:space="preserve">http://localhost:3000/</w:t>
      </w:r>
      <w:r>
        <w:t xml:space="preserve"> </w:t>
      </w:r>
      <w:r>
        <w:t xml:space="preserve">im Browser, legen Sie dort ein</w:t>
      </w:r>
      <w:r>
        <w:t xml:space="preserve"> </w:t>
      </w:r>
      <w:r>
        <w:t xml:space="preserve">Konto und einen Pod an (der Ablauf entspricht dem im Abschnitt „Solid Pod</w:t>
      </w:r>
      <w:r>
        <w:t xml:space="preserve"> </w:t>
      </w:r>
      <w:r>
        <w:t xml:space="preserve">einrichten” beschriebenen), und melden Sie sich in der Granergize-App mit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als Identity Provider an.</w:t>
      </w:r>
    </w:p>
    <w:p>
      <w:pPr>
        <w:pStyle w:val="BodyText"/>
      </w:pPr>
      <w:r>
        <w:rPr>
          <w:b/>
          <w:bCs/>
        </w:rPr>
        <w:t xml:space="preserve">Produktiver Betrieb:</w:t>
      </w:r>
      <w:r>
        <w:t xml:space="preserve"> </w:t>
      </w:r>
      <w:r>
        <w:t xml:space="preserve">Für den Dauerbetrieb auf einem eigenen Server kommen</w:t>
      </w:r>
      <w:r>
        <w:t xml:space="preserve"> </w:t>
      </w:r>
      <w:r>
        <w:t xml:space="preserve">einige Punkte hinzu: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Verschlüsselung (HTTPS):</w:t>
      </w:r>
      <w:r>
        <w:t xml:space="preserve"> </w:t>
      </w:r>
      <w:r>
        <w:t xml:space="preserve">Betreiben Sie den Server hinter einem Reverse</w:t>
      </w:r>
      <w:r>
        <w:t xml:space="preserve"> </w:t>
      </w:r>
      <w:r>
        <w:t xml:space="preserve">Proxy (z. B. nginx oder Caddy), der TLS-Zertifikate bereitstellt. Browser</w:t>
      </w:r>
      <w:r>
        <w:t xml:space="preserve"> </w:t>
      </w:r>
      <w:r>
        <w:t xml:space="preserve">lassen die Solid-Anmeldung außerhalb des eigenen Rechners nur über</w:t>
      </w:r>
      <w:r>
        <w:t xml:space="preserve"> </w:t>
      </w:r>
      <w:r>
        <w:t xml:space="preserve">verschlüsselte Verbindungen zu. Die Option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muss dabei auf die</w:t>
      </w:r>
      <w:r>
        <w:t xml:space="preserve"> </w:t>
      </w:r>
      <w:r>
        <w:t xml:space="preserve">öffentliche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-Adresse zeigen.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Basis-Adresse mit Bedacht wählen:</w:t>
      </w:r>
      <w:r>
        <w:t xml:space="preserve"> </w:t>
      </w:r>
      <w:r>
        <w:t xml:space="preserve">Wie der Pod-Name ist auch die</w:t>
      </w:r>
      <w:r>
        <w:t xml:space="preserve"> </w:t>
      </w:r>
      <w:r>
        <w:t xml:space="preserve">Server-Adresse später nur schwer zu ändern – sie steckt in jeder WebID und</w:t>
      </w:r>
      <w:r>
        <w:t xml:space="preserve"> </w:t>
      </w:r>
      <w:r>
        <w:t xml:space="preserve">in allen gespeicherten Verweisen. Wählen Sie also von Anfang an die</w:t>
      </w:r>
      <w:r>
        <w:t xml:space="preserve"> </w:t>
      </w:r>
      <w:r>
        <w:t xml:space="preserve">endgültige Domain.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Als Dienst betreiben:</w:t>
      </w:r>
      <w:r>
        <w:t xml:space="preserve"> </w:t>
      </w:r>
      <w:r>
        <w:t xml:space="preserve">Richten Sie den Server als Systemdienst (z. B.</w:t>
      </w:r>
      <w:r>
        <w:t xml:space="preserve"> </w:t>
      </w:r>
      <w:r>
        <w:t xml:space="preserve">systemd) ein oder nutzen Sie das offizielle Docker-Image</w:t>
      </w:r>
      <w:r>
        <w:t xml:space="preserve"> </w:t>
      </w:r>
      <w:r>
        <w:rPr>
          <w:rStyle w:val="VerbatimChar"/>
        </w:rPr>
        <w:t xml:space="preserve">solidproject/community-server</w:t>
      </w:r>
      <w:r>
        <w:t xml:space="preserve">; in beiden Fällen geben Sie dieselben</w:t>
      </w:r>
      <w:r>
        <w:t xml:space="preserve"> </w:t>
      </w:r>
      <w:r>
        <w:t xml:space="preserve">Optionen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Datensicherung:</w:t>
      </w:r>
      <w:r>
        <w:t xml:space="preserve"> </w:t>
      </w:r>
      <w:r>
        <w:t xml:space="preserve">Das mit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gewählte Verzeichnis enthält alle Pods als</w:t>
      </w:r>
      <w:r>
        <w:t xml:space="preserve"> </w:t>
      </w:r>
      <w:r>
        <w:t xml:space="preserve">gewöhnliche Dateien. Eine regelmäßige Sicherung dieses Verzeichnisses</w:t>
      </w:r>
      <w:r>
        <w:t xml:space="preserve"> </w:t>
      </w:r>
      <w:r>
        <w:t xml:space="preserve">genügt als Backup.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Benutzerverwaltung:</w:t>
      </w:r>
      <w:r>
        <w:t xml:space="preserve"> </w:t>
      </w:r>
      <w:r>
        <w:t xml:space="preserve">Neue Nutzer registrieren sich selbst über die</w:t>
      </w:r>
      <w:r>
        <w:t xml:space="preserve"> </w:t>
      </w:r>
      <w:r>
        <w:t xml:space="preserve">Startseite des Servers. Alternativ können Sie Konten und Pods beim</w:t>
      </w:r>
      <w:r>
        <w:t xml:space="preserve"> </w:t>
      </w:r>
      <w:r>
        <w:t xml:space="preserve">Serverstart über die Option</w:t>
      </w:r>
      <w:r>
        <w:t xml:space="preserve"> </w:t>
      </w:r>
      <w:r>
        <w:rPr>
          <w:rStyle w:val="VerbatimChar"/>
        </w:rPr>
        <w:t xml:space="preserve">--seedConfig</w:t>
      </w:r>
      <w:r>
        <w:t xml:space="preserve"> </w:t>
      </w:r>
      <w:r>
        <w:t xml:space="preserve">(eine JSON-Datei mit</w:t>
      </w:r>
      <w:r>
        <w:t xml:space="preserve"> </w:t>
      </w:r>
      <w:r>
        <w:t xml:space="preserve">Kontenliste) vorab anlegen.</w:t>
      </w:r>
    </w:p>
    <w:p>
      <w:pPr>
        <w:pStyle w:val="FirstParagraph"/>
      </w:pPr>
      <w:r>
        <w:rPr>
          <w:b/>
          <w:bCs/>
        </w:rPr>
        <w:t xml:space="preserve">Auch die Anwendung selbst können Sie betreiben:</w:t>
      </w:r>
      <w:r>
        <w:t xml:space="preserve"> </w:t>
      </w:r>
      <w:r>
        <w:t xml:space="preserve">Die Granergize-App</w:t>
      </w:r>
      <w:r>
        <w:t xml:space="preserve"> </w:t>
      </w:r>
      <w:r>
        <w:t xml:space="preserve">ist quelloffen</w:t>
      </w:r>
      <w:r>
        <w:t xml:space="preserve"> </w:t>
      </w:r>
      <w:r>
        <w:t xml:space="preserve">(siehe Abschnitt „Was steckt hinter Granergize”); der Quellcode liegt auf GitHub</w:t>
      </w:r>
      <w:r>
        <w:t xml:space="preserve"> </w:t>
      </w:r>
      <w:r>
        <w:t xml:space="preserve">unter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Anwendung läuft vollständig im Browser und hat kein eigenes Backend:</w:t>
      </w:r>
      <w:r>
        <w:t xml:space="preserve"> </w:t>
      </w:r>
      <w:r>
        <w:rPr>
          <w:rStyle w:val="VerbatimChar"/>
        </w:rPr>
        <w:t xml:space="preserve">deno task build</w:t>
      </w:r>
      <w:r>
        <w:t xml:space="preserve"> </w:t>
      </w:r>
      <w:r>
        <w:t xml:space="preserve">erzeugt einen statischen Build (</w:t>
      </w:r>
      <w:r>
        <w:rPr>
          <w:rStyle w:val="VerbatimChar"/>
        </w:rPr>
        <w:t xml:space="preserve">dist/</w:t>
      </w:r>
      <w:r>
        <w:t xml:space="preserve">), den jeder</w:t>
      </w:r>
      <w:r>
        <w:t xml:space="preserve"> </w:t>
      </w:r>
      <w:r>
        <w:t xml:space="preserve">gewöhnliche Webserver ausliefern kann – etwa derselbe Reverse Proxy, hinter dem</w:t>
      </w:r>
      <w:r>
        <w:t xml:space="preserve"> </w:t>
      </w:r>
      <w:r>
        <w:t xml:space="preserve">Ihr Solid-Server läuft. Damit liegen alle drei Bausteine – Identität, Speicher</w:t>
      </w:r>
      <w:r>
        <w:t xml:space="preserve"> </w:t>
      </w:r>
      <w:r>
        <w:t xml:space="preserve">und Anwendung – auf Infrastruktur, die Sie selbst kontrollieren.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Auch andere spezifikationskonforme Solid-Server und</w:t>
      </w:r>
      <w:r>
        <w:t xml:space="preserve"> </w:t>
      </w:r>
      <w:r>
        <w:t xml:space="preserve">kommerzielle Anbieter funktionieren mit der Granergize-App – sie ist an</w:t>
      </w:r>
      <w:r>
        <w:t xml:space="preserve"> </w:t>
      </w:r>
      <w:r>
        <w:t xml:space="preserve">keinen Anbieter gebunden. Der Community Solid Server ist lediglich die vom</w:t>
      </w:r>
      <w:r>
        <w:t xml:space="preserve"> </w:t>
      </w:r>
      <w:r>
        <w:t xml:space="preserve">Projekt am intensivsten erprobte Variante.</w:t>
      </w:r>
    </w:p>
    <w:bookmarkEnd w:id="41"/>
    <w:bookmarkStart w:id="45" w:name="erste-anmeldung-in-der-granergize-app"/>
    <w:p>
      <w:pPr>
        <w:pStyle w:val="Heading2"/>
      </w:pPr>
      <w:r>
        <w:t xml:space="preserve">Erste Anmeldung in der Granergize-App</w:t>
      </w:r>
    </w:p>
    <w:p>
      <w:pPr>
        <w:pStyle w:val="FirstParagraph"/>
      </w:pPr>
      <w:r>
        <w:t xml:space="preserve">Nachdem Sie Ihren Solid Pod eingerichtet haben, können Sie sich bei der</w:t>
      </w:r>
      <w:r>
        <w:t xml:space="preserve"> </w:t>
      </w:r>
      <w:r>
        <w:t xml:space="preserve">Granergize-App 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5"/>
        </w:numPr>
      </w:pPr>
      <w:r>
        <w:t xml:space="preserve">Öffnen Sie die Granergize-App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5"/>
        </w:numPr>
      </w:pPr>
      <w:r>
        <w:t xml:space="preserve">Wählen Sie Ihren Identity Provider – den Dienst, der Ihre WebID verwaltet</w:t>
      </w:r>
      <w:r>
        <w:t xml:space="preserve"> </w:t>
      </w:r>
      <w:r>
        <w:t xml:space="preserve">und beim Anmelden bestätigt, dass Sie deren Inhaber sind (in der Regel</w:t>
      </w:r>
      <w:r>
        <w:t xml:space="preserve"> </w:t>
      </w:r>
      <w:r>
        <w:t xml:space="preserve">derselbe Dienst, bei dem auch Ihr Pod liegt). Wenn Sie Ihren Pod bei</w:t>
      </w:r>
      <w:r>
        <w:t xml:space="preserve"> </w:t>
      </w:r>
      <w:r>
        <w:t xml:space="preserve">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5"/>
        </w:numPr>
      </w:pPr>
      <w:r>
        <w:t xml:space="preserve">Melden Sie sich beim Identity Provider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die</w:t>
      </w:r>
      <w:r>
        <w:t xml:space="preserve"> </w:t>
      </w:r>
      <w:r>
        <w:t xml:space="preserve">Granergize-App 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43" name="Picture"/>
            <a:graphic>
              <a:graphicData uri="http://schemas.openxmlformats.org/drawingml/2006/picture">
                <pic:pic>
                  <pic:nvPicPr>
                    <pic:cNvPr descr="figures/anmelde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die Granergize-App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fünf Gebäude angelegt wurden, und das Angebot bleibt zum erneuten Versuch</w:t>
      </w:r>
      <w:r>
        <w:t xml:space="preserve"> </w:t>
      </w:r>
      <w:r>
        <w:t xml:space="preserve">verfügbar.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5"/>
    <w:bookmarkStart w:id="46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(Teil Ihrer Identität, gepflegt bei Ihrem Identity</w:t>
      </w:r>
      <w:r>
        <w:t xml:space="preserve"> </w:t>
      </w:r>
      <w:r>
        <w:t xml:space="preserve">Provider), nicht aus diesem</w:t>
      </w:r>
      <w:r>
        <w:t xml:space="preserve"> </w:t>
      </w:r>
      <w:r>
        <w:t xml:space="preserve">Dialog. Ist dort ein Name hinterlegt, erscheint er überall dort, wo die</w:t>
      </w:r>
      <w:r>
        <w:t xml:space="preserve"> </w:t>
      </w:r>
      <w:r>
        <w:t xml:space="preserve">Granergize-App Sie als Person ausweist – etwa als Absender einer Freigabe.</w:t>
      </w:r>
    </w:p>
    <w:bookmarkEnd w:id="46"/>
    <w:bookmarkStart w:id="56" w:name="Xdbc935233a015ae8edf22cc414651fc0f22dd02"/>
    <w:p>
      <w:pPr>
        <w:pStyle w:val="Heading2"/>
      </w:pPr>
      <w:r>
        <w:t xml:space="preserve">Wie die Granergize-App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Die Granergize-App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</w:t>
      </w:r>
      <w:r>
        <w:t xml:space="preserve"> </w:t>
      </w:r>
      <w:r>
        <w:rPr>
          <w:b/>
          <w:bCs/>
        </w:rPr>
        <w:t xml:space="preserve">Identität</w:t>
      </w:r>
      <w:r>
        <w:t xml:space="preserve"> </w:t>
      </w:r>
      <w:r>
        <w:t xml:space="preserve">ist Ihre WebID samt Profil –</w:t>
      </w:r>
      <w:r>
        <w:t xml:space="preserve"> </w:t>
      </w:r>
      <w:r>
        <w:t xml:space="preserve">sie weist Sie aus, unabhängig davon, wo Ihre Daten liegen. Ihre</w:t>
      </w:r>
      <w:r>
        <w:t xml:space="preserve"> </w:t>
      </w:r>
      <w:r>
        <w:rPr>
          <w:b/>
          <w:bCs/>
        </w:rPr>
        <w:t xml:space="preserve">Daten</w:t>
      </w:r>
      <w:r>
        <w:t xml:space="preserve"> </w:t>
      </w:r>
      <w:r>
        <w:t xml:space="preserve">gehören</w:t>
      </w:r>
      <w:r>
        <w:t xml:space="preserve"> </w:t>
      </w:r>
      <w:r>
        <w:t xml:space="preserve">Ihnen und liegen auf Ihrem eigenen Solid Pod – nicht auf einem Server, den andere</w:t>
      </w:r>
      <w:r>
        <w:t xml:space="preserve"> </w:t>
      </w:r>
      <w:r>
        <w:t xml:space="preserve">kontrollieren. Und die</w:t>
      </w:r>
      <w:r>
        <w:t xml:space="preserve"> </w:t>
      </w:r>
      <w:r>
        <w:rPr>
          <w:b/>
          <w:bCs/>
        </w:rPr>
        <w:t xml:space="preserve">Anwendung</w:t>
      </w:r>
      <w:r>
        <w:t xml:space="preserve"> </w:t>
      </w:r>
      <w:r>
        <w:t xml:space="preserve">ist austauschbar: die Granergize-App ist eine von</w:t>
      </w:r>
      <w:r>
        <w:t xml:space="preserve"> </w:t>
      </w:r>
      <w:r>
        <w:t xml:space="preserve">beliebig vielen Anwendungen, die – jeweils nur mit Ihrer Erlaubnis – auf dieselben</w:t>
      </w:r>
      <w:r>
        <w:t xml:space="preserve"> </w:t>
      </w:r>
      <w:r>
        <w:t xml:space="preserve">Daten zugreifen können; keiner der drei Bausteine bindet Sie an die anderen.</w:t>
      </w:r>
      <w:r>
        <w:t xml:space="preserve"> </w:t>
      </w:r>
      <w:r>
        <w:t xml:space="preserve">Die Anwendung selbst ist quelloffen und kann wie Identität und Speicher auf</w:t>
      </w:r>
      <w:r>
        <w:t xml:space="preserve"> </w:t>
      </w:r>
      <w:r>
        <w:t xml:space="preserve">eigener Infrastruktur betrieben werden (siehe Abschnitt „Was steckt hinter</w:t>
      </w:r>
      <w:r>
        <w:t xml:space="preserve"> </w:t>
      </w:r>
      <w:r>
        <w:t xml:space="preserve">Granergize”).</w:t>
      </w:r>
    </w:p>
    <w:bookmarkStart w:id="50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die App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8" name="Picture"/>
            <a:graphic>
              <a:graphicData uri="http://schemas.openxmlformats.org/drawingml/2006/picture">
                <pic:pic>
                  <pic:nvPicPr>
                    <pic:cNvPr descr="figures/wac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50"/>
    <w:bookmarkStart w:id="54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Die Granergize-App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Die App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die App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52" name="Picture"/>
            <a:graphic>
              <a:graphicData uri="http://schemas.openxmlformats.org/drawingml/2006/picture">
                <pic:pic>
                  <pic:nvPicPr>
                    <pic:cNvPr descr="figures/wissensgrap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4"/>
    <w:bookmarkStart w:id="55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die App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5"/>
    <w:bookmarkEnd w:id="56"/>
    <w:bookmarkStart w:id="60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8" name="Picture"/>
            <a:graphic>
              <a:graphicData uri="http://schemas.openxmlformats.org/drawingml/2006/picture">
                <pic:pic>
                  <pic:nvPicPr>
                    <pic:cNvPr descr="figures/add-build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60"/>
    <w:bookmarkStart w:id="64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408878"/>
            <wp:effectExtent b="0" l="0" r="0" t="0"/>
            <wp:docPr descr="Aktionen je Gebäude im Tab „Manage”: bearbeiten, Dateien, Energiejahr, teilen, herunterladen, löschen" title="" id="62" name="Picture"/>
            <a:graphic>
              <a:graphicData uri="http://schemas.openxmlformats.org/drawingml/2006/picture">
                <pic:pic>
                  <pic:nvPicPr>
                    <pic:cNvPr descr="figures/manage-action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4"/>
    <w:bookmarkStart w:id="68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6" name="Picture"/>
            <a:graphic>
              <a:graphicData uri="http://schemas.openxmlformats.org/drawingml/2006/picture">
                <pic:pic>
                  <pic:nvPicPr>
                    <pic:cNvPr descr="figures/energy-yea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8"/>
    <w:bookmarkStart w:id="79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  <w:r>
        <w:t xml:space="preserve"> </w:t>
      </w:r>
      <w:r>
        <w:t xml:space="preserve">Trägt ein Gebäude</w:t>
      </w:r>
      <w:r>
        <w:t xml:space="preserve"> </w:t>
      </w:r>
      <w:r>
        <w:rPr>
          <w:b/>
          <w:bCs/>
        </w:rPr>
        <w:t xml:space="preserve">beides</w:t>
      </w:r>
      <w:r>
        <w:t xml:space="preserve"> </w:t>
      </w:r>
      <w:r>
        <w:t xml:space="preserve">– Jahreswerte und Messreihe –, schalten Sie über</w:t>
      </w:r>
      <w:r>
        <w:t xml:space="preserve"> </w:t>
      </w:r>
      <w:r>
        <w:t xml:space="preserve">den Umschalter</w:t>
      </w:r>
      <w:r>
        <w:t xml:space="preserve"> </w:t>
      </w:r>
      <w:r>
        <w:rPr>
          <w:b/>
          <w:bCs/>
        </w:rPr>
        <w:t xml:space="preserve">Annual | Time series</w:t>
      </w:r>
      <w:r>
        <w:t xml:space="preserve"> </w:t>
      </w:r>
      <w:r>
        <w:t xml:space="preserve">zwischen den Darstellungen um (so</w:t>
      </w:r>
    </w:p>
    <w:p>
      <w:pPr>
        <w:pStyle w:val="Compact"/>
        <w:numPr>
          <w:ilvl w:val="1"/>
          <w:numId w:val="1012"/>
        </w:numPr>
      </w:pPr>
      <w:r>
        <w:t xml:space="preserve">B. beim Beispielgebäude Lange Gasse 20).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70" name="Picture"/>
            <a:graphic>
              <a:graphicData uri="http://schemas.openxmlformats.org/drawingml/2006/picture">
                <pic:pic>
                  <pic:nvPicPr>
                    <pic:cNvPr descr="figures/map-tab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73" name="Picture"/>
            <a:graphic>
              <a:graphicData uri="http://schemas.openxmlformats.org/drawingml/2006/picture">
                <pic:pic>
                  <pic:nvPicPr>
                    <pic:cNvPr descr="figures/energy-data-tab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8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…/#/energy/&lt;Gebäude-Referenz&gt;</w:t>
      </w:r>
      <w:r>
        <w:t xml:space="preserve">. Die Gebäude-Referenz ist der</w:t>
      </w:r>
      <w:r>
        <w:t xml:space="preserve"> </w:t>
      </w:r>
      <w:r>
        <w:t xml:space="preserve">technische Bezeichner des Gebäudes – ein Verweis auf seine Datei im Pod, in der</w:t>
      </w:r>
      <w:r>
        <w:t xml:space="preserve"> </w:t>
      </w:r>
      <w:r>
        <w:t xml:space="preserve">Adresszeile URL-kodiert. Am einfachsten kopieren Sie die Adresse direkt aus der</w:t>
      </w:r>
      <w:r>
        <w:t xml:space="preserve"> </w:t>
      </w:r>
      <w:r>
        <w:t xml:space="preserve">Adresszeile, statt sie von Hand zu bilden.</w:t>
      </w:r>
      <w:r>
        <w:t xml:space="preserve"> </w:t>
      </w:r>
      <w:r>
        <w:t xml:space="preserve">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Ansicht: Hier löst die App den</w:t>
      </w:r>
      <w:r>
        <w:t xml:space="preserve"> </w:t>
      </w:r>
      <w:r>
        <w:t xml:space="preserve">eingangs beschriebenen Anwendungsfall „Energieverbrauchsbenchmark” für das</w:t>
      </w:r>
      <w:r>
        <w:t xml:space="preserve"> </w:t>
      </w:r>
      <w:r>
        <w:t xml:space="preserve">einzelne Gebäude ein. Woher der externe Benchmark kommt, zeigt der Abschnitt</w:t>
      </w:r>
      <w:r>
        <w:t xml:space="preserve"> </w:t>
      </w:r>
      <w:r>
        <w:t xml:space="preserve">„Energieverbrauchsbenchmark durchgespielt” im Kapitel „Die Anwendungsfälle</w:t>
      </w:r>
      <w:r>
        <w:t xml:space="preserve"> </w:t>
      </w:r>
      <w:r>
        <w:t xml:space="preserve">durchgespielt”.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6" name="Picture"/>
            <a:graphic>
              <a:graphicData uri="http://schemas.openxmlformats.org/drawingml/2006/picture">
                <pic:pic>
                  <pic:nvPicPr>
                    <pic:cNvPr descr="figures/energy-detai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8"/>
    <w:bookmarkEnd w:id="79"/>
    <w:bookmarkStart w:id="83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81" name="Picture"/>
            <a:graphic>
              <a:graphicData uri="http://schemas.openxmlformats.org/drawingml/2006/picture">
                <pic:pic>
                  <pic:nvPicPr>
                    <pic:cNvPr descr="figures/energy-len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83"/>
    <w:bookmarkEnd w:id="84"/>
    <w:bookmarkStart w:id="117" w:name="X7d72782c915f60697958dd391a69efa388f028d"/>
    <w:p>
      <w:pPr>
        <w:pStyle w:val="Heading1"/>
      </w:pPr>
      <w:r>
        <w:t xml:space="preserve">Daten gemeinsam nutzen und Mehrwerte schaffen</w:t>
      </w:r>
    </w:p>
    <w:bookmarkStart w:id="91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der Granergize-App" title="" id="86" name="Picture"/>
            <a:graphic>
              <a:graphicData uri="http://schemas.openxmlformats.org/drawingml/2006/picture">
                <pic:pic>
                  <pic:nvPicPr>
                    <pic:cNvPr descr="figures/sharing-vergleich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der Granergize-App</w:t>
      </w:r>
    </w:p>
    <w:bookmarkStart w:id="88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88"/>
    <w:bookmarkStart w:id="89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die Granergize-App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Die App bietet vier Aggregationsfunktionen: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9"/>
    <w:bookmarkStart w:id="90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Die Granergize-App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90"/>
    <w:bookmarkEnd w:id="91"/>
    <w:bookmarkStart w:id="116" w:name="vorgehensweise-beim-datenteilen"/>
    <w:p>
      <w:pPr>
        <w:pStyle w:val="Heading2"/>
      </w:pPr>
      <w:r>
        <w:t xml:space="preserve">Vorgehensweise beim Datenteilen</w:t>
      </w:r>
    </w:p>
    <w:bookmarkStart w:id="95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93" name="Picture"/>
            <a:graphic>
              <a:graphicData uri="http://schemas.openxmlformats.org/drawingml/2006/picture">
                <pic:pic>
                  <pic:nvPicPr>
                    <pic:cNvPr descr="figures/room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5"/>
    <w:bookmarkStart w:id="99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die App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7" name="Picture"/>
            <a:graphic>
              <a:graphicData uri="http://schemas.openxmlformats.org/drawingml/2006/picture">
                <pic:pic>
                  <pic:nvPicPr>
                    <pic:cNvPr descr="figures/contact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9"/>
    <w:bookmarkStart w:id="103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9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9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9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101" name="Picture"/>
            <a:graphic>
              <a:graphicData uri="http://schemas.openxmlformats.org/drawingml/2006/picture">
                <pic:pic>
                  <pic:nvPicPr>
                    <pic:cNvPr descr="figures/share-building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die App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die App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103"/>
    <w:bookmarkStart w:id="110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20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20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20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20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20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5" name="Picture"/>
            <a:graphic>
              <a:graphicData uri="http://schemas.openxmlformats.org/drawingml/2006/picture">
                <pic:pic>
                  <pic:nvPicPr>
                    <pic:cNvPr descr="figures/create-view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8" name="Picture"/>
            <a:graphic>
              <a:graphicData uri="http://schemas.openxmlformats.org/drawingml/2006/picture">
                <pic:pic>
                  <pic:nvPicPr>
                    <pic:cNvPr descr="figures/aggregated-view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10"/>
    <w:bookmarkStart w:id="114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" title="" id="112" name="Picture"/>
            <a:graphic>
              <a:graphicData uri="http://schemas.openxmlformats.org/drawingml/2006/picture">
                <pic:pic>
                  <pic:nvPicPr>
                    <pic:cNvPr descr="figures/shared-with-you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ein mit Ihnen geteiltes Gebäude unter „Buildings shared with you” und ein von einem Benchmark-Dienstleister zurückgeteilter Benchmark unter „Views shared with you” – aufgeklappt („Show values”) die empfangenen Durchschnittswerte über alle beigetragenen Gebäude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4"/>
    <w:bookmarkStart w:id="115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5"/>
    <w:bookmarkEnd w:id="116"/>
    <w:bookmarkEnd w:id="117"/>
    <w:bookmarkStart w:id="139" w:name="die-anwendungsfälle-durchgespielt"/>
    <w:p>
      <w:pPr>
        <w:pStyle w:val="Heading1"/>
      </w:pPr>
      <w:r>
        <w:t xml:space="preserve">Die Anwendungsfälle durchgespielt</w:t>
      </w:r>
    </w:p>
    <w:p>
      <w:pPr>
        <w:pStyle w:val="FirstParagraph"/>
      </w:pPr>
      <w:r>
        <w:t xml:space="preserve">Die vorangegangenen Kapitel beschreiben jeden Arbeitsschritt für sich. Hier</w:t>
      </w:r>
      <w:r>
        <w:t xml:space="preserve"> </w:t>
      </w:r>
      <w:r>
        <w:t xml:space="preserve">laufen die drei Anwendungsfälle vom Anfang dieses Handbuchs noch einmal als</w:t>
      </w:r>
      <w:r>
        <w:t xml:space="preserve"> </w:t>
      </w:r>
      <w:r>
        <w:t xml:space="preserve">durchgehende Abläufe ab, in derselben Reihenfolge wie dort – mit wachsender</w:t>
      </w:r>
      <w:r>
        <w:t xml:space="preserve"> </w:t>
      </w:r>
      <w:r>
        <w:t xml:space="preserve">Zahl der Beteiligten: der Soll-Ist-Vergleich allein auf dem eigenen Pod, die</w:t>
      </w:r>
      <w:r>
        <w:t xml:space="preserve"> </w:t>
      </w:r>
      <w:r>
        <w:t xml:space="preserve">Vertriebsoptimierung zu zweit (A teilt an B), das Energieverbrauchsbenchmark</w:t>
      </w:r>
      <w:r>
        <w:t xml:space="preserve"> </w:t>
      </w:r>
      <w:r>
        <w:t xml:space="preserve">zu dritt (A, B und der Dienstleister C). In den Bildschirmfotos dieses</w:t>
      </w:r>
      <w:r>
        <w:t xml:space="preserve"> </w:t>
      </w:r>
      <w:r>
        <w:t xml:space="preserve">Handbuchs treten die drei als Alice, Bob und Charlie auf – etwa als „Shared</w:t>
      </w:r>
      <w:r>
        <w:t xml:space="preserve"> </w:t>
      </w:r>
      <w:r>
        <w:t xml:space="preserve">by: Alice Ahlmann” beim Empfänger oder als Absender des zurückgeteilten</w:t>
      </w:r>
      <w:r>
        <w:t xml:space="preserve"> </w:t>
      </w:r>
      <w:r>
        <w:t xml:space="preserve">Benchmarks.</w:t>
      </w:r>
    </w:p>
    <w:bookmarkStart w:id="121" w:name="Xd82414b4a947bfa69951383fcda6b2cd3f63dc2"/>
    <w:p>
      <w:pPr>
        <w:pStyle w:val="Heading2"/>
      </w:pPr>
      <w:r>
        <w:t xml:space="preserve">Soll-Ist-Vergleich durchgespielt: Plan und Verbrauch nebeneinander</w:t>
      </w:r>
    </w:p>
    <w:p>
      <w:pPr>
        <w:pStyle w:val="FirstParagraph"/>
      </w:pPr>
      <w:r>
        <w:t xml:space="preserve">Beteiligt ist eine einzige Person:</w:t>
      </w:r>
      <w:r>
        <w:t xml:space="preserve"> </w:t>
      </w:r>
      <w:r>
        <w:rPr>
          <w:b/>
          <w:bCs/>
        </w:rPr>
        <w:t xml:space="preserve">A</w:t>
      </w:r>
      <w:r>
        <w:t xml:space="preserve">, die für ihr Gebäude neben den</w:t>
      </w:r>
      <w:r>
        <w:t xml:space="preserve"> </w:t>
      </w:r>
      <w:r>
        <w:t xml:space="preserve">tatsächlichen Verbräuchen auch Planwerte führt. Alles spielt sich auf A’s</w:t>
      </w:r>
      <w:r>
        <w:t xml:space="preserve"> </w:t>
      </w:r>
      <w:r>
        <w:t xml:space="preserve">eigenem Pod ab – geteilt wird nichts.</w:t>
      </w:r>
    </w:p>
    <w:p>
      <w:pPr>
        <w:pStyle w:val="Compact"/>
        <w:numPr>
          <w:ilvl w:val="0"/>
          <w:numId w:val="1022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Gebäude den Dialog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und erfasst ein Jahr mit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 (siehe</w:t>
      </w:r>
      <w:r>
        <w:t xml:space="preserve"> </w:t>
      </w:r>
      <w:r>
        <w:t xml:space="preserve">„Energiedaten erfassen und aktualisieren”).</w:t>
      </w:r>
    </w:p>
    <w:p>
      <w:pPr>
        <w:pStyle w:val="Compact"/>
        <w:numPr>
          <w:ilvl w:val="0"/>
          <w:numId w:val="1022"/>
        </w:numPr>
      </w:pPr>
      <w:r>
        <w:t xml:space="preserve">Für dasselbe Jahr legt A einen zweiten Eintrag an und wählt dabei unter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den Eintrag</w:t>
      </w:r>
      <w:r>
        <w:t xml:space="preserve"> </w:t>
      </w:r>
      <w:r>
        <w:rPr>
          <w:b/>
          <w:bCs/>
        </w:rPr>
        <w:t xml:space="preserve">Planned (Soll)</w:t>
      </w:r>
      <w:r>
        <w:t xml:space="preserve"> </w:t>
      </w:r>
      <w:r>
        <w:t xml:space="preserve">– etwa die erwarteten Verbräuche</w:t>
      </w:r>
      <w:r>
        <w:t xml:space="preserve"> </w:t>
      </w:r>
      <w:r>
        <w:t xml:space="preserve">aus dem Energieausweis oder nach einer Umrüstung auf LED-Beleuchtung.</w:t>
      </w:r>
    </w:p>
    <w:p>
      <w:pPr>
        <w:pStyle w:val="Compact"/>
        <w:numPr>
          <w:ilvl w:val="0"/>
          <w:numId w:val="1022"/>
        </w:numPr>
      </w:pPr>
      <w:r>
        <w:t xml:space="preserve">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wählt A das Gebäude und wechselt zu</w:t>
      </w:r>
      <w:r>
        <w:t xml:space="preserve"> </w:t>
      </w:r>
      <w:r>
        <w:rPr>
          <w:b/>
          <w:bCs/>
        </w:rPr>
        <w:t xml:space="preserve">Energy data</w:t>
      </w:r>
      <w:r>
        <w:t xml:space="preserve">: Die</w:t>
      </w:r>
      <w:r>
        <w:t xml:space="preserve"> </w:t>
      </w:r>
      <w:r>
        <w:t xml:space="preserve">Jahresübersicht zeigt den Soll-Eintrag neben den Ist-Jahren – auf einen</w:t>
      </w:r>
      <w:r>
        <w:t xml:space="preserve"> </w:t>
      </w:r>
      <w:r>
        <w:t xml:space="preserve">Blick, wie nah der reale Verbrauch am Plan liegt.</w:t>
      </w:r>
    </w:p>
    <w:p>
      <w:pPr>
        <w:pStyle w:val="CaptionedFigure"/>
      </w:pPr>
      <w:r>
        <w:drawing>
          <wp:inline>
            <wp:extent cx="5334000" cy="2183920"/>
            <wp:effectExtent b="0" l="0" r="0" t="0"/>
            <wp:docPr descr="Die Pointe des Soll-Ist-Vergleichs: In der Jahresübersicht steht der Plan-Eintrag („planned”) neben den Ist-Jahren desselben Gebäudes" title="" id="119" name="Picture"/>
            <a:graphic>
              <a:graphicData uri="http://schemas.openxmlformats.org/drawingml/2006/picture">
                <pic:pic>
                  <pic:nvPicPr>
                    <pic:cNvPr descr="figures/soll-ist-payoff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Soll-Ist-Vergleichs: In der Jahresübersicht steht der Plan-Eintrag („planned”) neben den Ist-Jahren desselben Gebäudes</w:t>
      </w:r>
    </w:p>
    <w:bookmarkEnd w:id="121"/>
    <w:bookmarkStart w:id="128" w:name="X03da6b348cd61bc192d9c3a7fb942e1ef461fae"/>
    <w:p>
      <w:pPr>
        <w:pStyle w:val="Heading2"/>
      </w:pPr>
      <w:r>
        <w:t xml:space="preserve">Vertriebsoptimierung durchgespielt: Ein Gebäude teilen – aus beiden Perspektiven</w:t>
      </w:r>
    </w:p>
    <w:p>
      <w:pPr>
        <w:pStyle w:val="FirstParagraph"/>
      </w:pPr>
      <w:r>
        <w:t xml:space="preserve">Beteiligt sind zwei Personen mit jeweils eigenem Solid Pod:</w:t>
      </w:r>
      <w:r>
        <w:t xml:space="preserve"> </w:t>
      </w:r>
      <w:r>
        <w:rPr>
          <w:b/>
          <w:bCs/>
        </w:rPr>
        <w:t xml:space="preserve">A</w:t>
      </w:r>
      <w:r>
        <w:t xml:space="preserve">, eine</w:t>
      </w:r>
      <w:r>
        <w:t xml:space="preserve"> </w:t>
      </w:r>
      <w:r>
        <w:t xml:space="preserve">Bestandshalterin, die ein Gebäude mit erfassten Energiejahren verwaltet, und</w:t>
      </w:r>
      <w:r>
        <w:t xml:space="preserve"> </w:t>
      </w:r>
      <w:r>
        <w:rPr>
          <w:b/>
          <w:bCs/>
        </w:rPr>
        <w:t xml:space="preserve">B</w:t>
      </w:r>
      <w:r>
        <w:t xml:space="preserve">, ein Geschäftspartner – etwa ein Investor oder ein Makler bzw. Berater,</w:t>
      </w:r>
      <w:r>
        <w:t xml:space="preserve"> </w:t>
      </w:r>
      <w:r>
        <w:t xml:space="preserve">der sich einen Marktüberblick verschafft (der Anwendungsfall</w:t>
      </w:r>
      <w:r>
        <w:t xml:space="preserve"> </w:t>
      </w:r>
      <w:r>
        <w:t xml:space="preserve">„Vertriebsoptimierung”) –, der diese Daten einsehen soll.</w:t>
      </w:r>
      <w:r>
        <w:t xml:space="preserve"> </w:t>
      </w:r>
      <w:r>
        <w:t xml:space="preserve">Wichtig vorab: Die Daten werden zu keinem Zeitpunkt kopiert oder an einen</w:t>
      </w:r>
      <w:r>
        <w:t xml:space="preserve"> </w:t>
      </w:r>
      <w:r>
        <w:t xml:space="preserve">zentralen Dienst übertragen – sie bleiben auf A’s Pod, und B liest sie dort</w:t>
      </w:r>
      <w:r>
        <w:t xml:space="preserve"> </w:t>
      </w:r>
      <w:r>
        <w:t xml:space="preserve">direkt mit seiner eigenen WebID.</w:t>
      </w:r>
    </w:p>
    <w:p>
      <w:pPr>
        <w:pStyle w:val="BodyText"/>
      </w:pPr>
      <w:r>
        <w:rPr>
          <w:b/>
          <w:bCs/>
        </w:rPr>
        <w:t xml:space="preserve">Was A tut (die teilende Seite):</w:t>
      </w:r>
    </w:p>
    <w:p>
      <w:pPr>
        <w:pStyle w:val="Compact"/>
        <w:numPr>
          <w:ilvl w:val="0"/>
          <w:numId w:val="1023"/>
        </w:numPr>
      </w:pPr>
      <w:r>
        <w:t xml:space="preserve">A öffnet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das Teilen-Symbol des</w:t>
      </w:r>
      <w:r>
        <w:t xml:space="preserve"> </w:t>
      </w:r>
      <w:r>
        <w:t xml:space="preserve">Gebäudes. Der Dialog „Share Building Data” erscheint.</w:t>
      </w:r>
    </w:p>
    <w:p>
      <w:pPr>
        <w:pStyle w:val="Compact"/>
        <w:numPr>
          <w:ilvl w:val="0"/>
          <w:numId w:val="1023"/>
        </w:numPr>
      </w:pPr>
      <w:r>
        <w:t xml:space="preserve">A wählt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und gibt B’s WebID ein – hat A schon einmal mit B</w:t>
      </w:r>
      <w:r>
        <w:t xml:space="preserve"> </w:t>
      </w:r>
      <w:r>
        <w:t xml:space="preserve">geteilt, schlägt das Adressbuch (siehe „Kontakte verwalten”) die WebID vor.</w:t>
      </w:r>
      <w:r>
        <w:t xml:space="preserve"> </w:t>
      </w:r>
      <w:r>
        <w:t xml:space="preserve">Alternativ wählt A</w:t>
      </w:r>
      <w:r>
        <w:t xml:space="preserve"> </w:t>
      </w:r>
      <w:r>
        <w:rPr>
          <w:b/>
          <w:bCs/>
        </w:rPr>
        <w:t xml:space="preserve">By role</w:t>
      </w:r>
      <w:r>
        <w:t xml:space="preserve">, wenn beide Mitglied desselben Datenraums</w:t>
      </w:r>
      <w:r>
        <w:t xml:space="preserve"> </w:t>
      </w:r>
      <w:r>
        <w:t xml:space="preserve">sind und B sich dort eine passende Rolle zugewiesen hat.</w:t>
      </w:r>
    </w:p>
    <w:p>
      <w:pPr>
        <w:pStyle w:val="Compact"/>
        <w:numPr>
          <w:ilvl w:val="0"/>
          <w:numId w:val="1023"/>
        </w:numPr>
      </w:pPr>
      <w:r>
        <w:t xml:space="preserve">A legt unter „What to share” den Umfang fest – etwa nur Stammdaten oder</w:t>
      </w:r>
      <w:r>
        <w:t xml:space="preserve"> </w:t>
      </w:r>
      <w:r>
        <w:t xml:space="preserve">Stammdaten mit ausgewählten Energiejahren – und bestätigt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FirstParagraph"/>
      </w:pPr>
      <w:r>
        <w:t xml:space="preserve">Anschließend sieht A die Freigabe direkt beim Gebäude unter „Shared with:” und</w:t>
      </w:r>
      <w:r>
        <w:t xml:space="preserve"> </w:t>
      </w:r>
      <w:r>
        <w:t xml:space="preserve">kann sie dort jederzeit wieder entfernen. B wird automatisch in A’s Kontakte</w:t>
      </w:r>
      <w:r>
        <w:t xml:space="preserve"> </w:t>
      </w:r>
      <w:r>
        <w:t xml:space="preserve">aufgenommen.</w:t>
      </w:r>
    </w:p>
    <w:p>
      <w:pPr>
        <w:pStyle w:val="BodyText"/>
      </w:pPr>
      <w:r>
        <w:rPr>
          <w:b/>
          <w:bCs/>
        </w:rPr>
        <w:t xml:space="preserve">Was B sieht (die empfangende Seite):</w:t>
      </w:r>
    </w:p>
    <w:p>
      <w:pPr>
        <w:pStyle w:val="Compact"/>
        <w:numPr>
          <w:ilvl w:val="0"/>
          <w:numId w:val="1024"/>
        </w:numPr>
      </w:pPr>
      <w:r>
        <w:t xml:space="preserve">Die Freigabe-Benachrichtigung landet im Posteingang von B’s Pod. Beim</w:t>
      </w:r>
      <w:r>
        <w:t xml:space="preserve"> </w:t>
      </w:r>
      <w:r>
        <w:t xml:space="preserve">nächsten Öffnen oder Neuladen der App verarbeitet B’s Anwendung sie</w:t>
      </w:r>
      <w:r>
        <w:t xml:space="preserve"> </w:t>
      </w:r>
      <w:r>
        <w:t xml:space="preserve">automatisch – B muss dafür nichts tun.</w:t>
      </w:r>
    </w:p>
    <w:p>
      <w:pPr>
        <w:pStyle w:val="Compact"/>
        <w:numPr>
          <w:ilvl w:val="0"/>
          <w:numId w:val="1024"/>
        </w:numPr>
      </w:pPr>
      <w:r>
        <w:t xml:space="preserve">Das Gebäude erscheint bei B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</w:t>
      </w:r>
      <w:r>
        <w:t xml:space="preserve"> </w:t>
      </w:r>
      <w:r>
        <w:t xml:space="preserve">you” und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dort als geteiltes</w:t>
      </w:r>
      <w:r>
        <w:t xml:space="preserve"> </w:t>
      </w:r>
      <w:r>
        <w:t xml:space="preserve">Gebäude gekennzeichnet und neben B’s eigenen Gebäuden auswertbar – auch in</w:t>
      </w:r>
      <w:r>
        <w:t xml:space="preserve"> </w:t>
      </w:r>
      <w:r>
        <w:t xml:space="preserve">der Energie-Linse, die geteilte Gebäude in B’s Marktüberblick einbezieht.</w:t>
      </w:r>
    </w:p>
    <w:p>
      <w:pPr>
        <w:pStyle w:val="Compact"/>
        <w:numPr>
          <w:ilvl w:val="0"/>
          <w:numId w:val="1024"/>
        </w:numPr>
      </w:pPr>
      <w:r>
        <w:t xml:space="preserve">B öffnet das Gebäude und sieht genau das, was A freigegeben hat: die</w:t>
      </w:r>
      <w:r>
        <w:t xml:space="preserve"> </w:t>
      </w:r>
      <w:r>
        <w:t xml:space="preserve">Stammdaten und – je nach gewähltem Umfang – die Energiejahre. Hat A „alle</w:t>
      </w:r>
      <w:r>
        <w:t xml:space="preserve"> </w:t>
      </w:r>
      <w:r>
        <w:t xml:space="preserve">Energiejahre” freigegeben, sieht B auch Jahre, die A erst später erfasst.</w:t>
      </w:r>
    </w:p>
    <w:p>
      <w:pPr>
        <w:pStyle w:val="Compact"/>
        <w:numPr>
          <w:ilvl w:val="0"/>
          <w:numId w:val="1024"/>
        </w:numPr>
      </w:pPr>
      <w:r>
        <w:t xml:space="preserve">Möchte B das Gebäude vorübergehend nicht in seinen Listen sehen, blendet er</w:t>
      </w:r>
      <w:r>
        <w:t xml:space="preserve"> </w:t>
      </w:r>
      <w:r>
        <w:t xml:space="preserve">es über das Augen-Symbol aus – die Freigabe selbst bleibt bestehen.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Pointe des Teilens bei B: Auf B’s Karte steht A’s freigegebenes Gebäude neben B’s eigenen Beständen – an der Markierung mit A’s Firmenlogo zu erkennen –, und die Detailansicht zeigt A’s Stammdaten, live von A’s Pod gelesen" title="" id="123" name="Picture"/>
            <a:graphic>
              <a:graphicData uri="http://schemas.openxmlformats.org/drawingml/2006/picture">
                <pic:pic>
                  <pic:nvPicPr>
                    <pic:cNvPr descr="figures/teilen-payoff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Teilens bei B: Auf B’s Karte steht A’s freigegebenes Gebäude neben B’s eigenen Beständen – an der Markierung mit A’s Firmenlogo zu erkennen –, und die Detailansicht zeigt A’s Stammdaten, live von A’s Pod gelesen</w:t>
      </w:r>
    </w:p>
    <w:p>
      <w:pPr>
        <w:pStyle w:val="BodyText"/>
      </w:pPr>
      <w:r>
        <w:t xml:space="preserve">Widerruft A die Freigabe später (siehe „Zugriff widerrufen”), wird B</w:t>
      </w:r>
      <w:r>
        <w:t xml:space="preserve"> </w:t>
      </w:r>
      <w:r>
        <w:t xml:space="preserve">benachrichtigt, und das Gebäude verschwindet beim nächsten Abruf aus B’s</w:t>
      </w:r>
      <w:r>
        <w:t xml:space="preserve"> </w:t>
      </w:r>
      <w:r>
        <w:t xml:space="preserve">Ansicht. Beide Seiten behalten so jederzeit den Überblick: A sieht in ihrem Pod,</w:t>
      </w:r>
      <w:r>
        <w:t xml:space="preserve"> </w:t>
      </w:r>
      <w:r>
        <w:t xml:space="preserve">was sie an wen freigegeben hat; B sieht, was mit ihm geteilt wurde – und beides</w:t>
      </w:r>
      <w:r>
        <w:t xml:space="preserve"> </w:t>
      </w:r>
      <w:r>
        <w:t xml:space="preserve">bleibt auch nach dem Widerruf nachvollziehbar.</w:t>
      </w:r>
    </w:p>
    <w:p>
      <w:pPr>
        <w:pStyle w:val="CaptionedFigure"/>
      </w:pPr>
      <w:r>
        <w:drawing>
          <wp:inline>
            <wp:extent cx="5334000" cy="3535706"/>
            <wp:effectExtent b="0" l="0" r="0" t="0"/>
            <wp:docPr descr="Gebäude teilen aus beiden Perspektiven: A vergibt die Freigabe auf dem eigenen Pod, B wird benachrichtigt und liest die Daten direkt von A’s Pod" title="" id="126" name="Picture"/>
            <a:graphic>
              <a:graphicData uri="http://schemas.openxmlformats.org/drawingml/2006/picture">
                <pic:pic>
                  <pic:nvPicPr>
                    <pic:cNvPr descr="figures/szenario-teilen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5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 teilen aus beiden Perspektiven: A vergibt die Freigabe auf dem eigenen Pod, B wird benachrichtigt und liest die Daten direkt von A’s Pod</w:t>
      </w:r>
    </w:p>
    <w:bookmarkEnd w:id="128"/>
    <w:bookmarkStart w:id="138" w:name="X36eef2922c55e19bd5022f6da9ea2b43a8139bc"/>
    <w:p>
      <w:pPr>
        <w:pStyle w:val="Heading2"/>
      </w:pPr>
      <w:r>
        <w:t xml:space="preserve">Energieverbrauchsbenchmark durchgespielt: Peer-Benchmarking mit einem Benchmark-Dienstleister</w:t>
      </w:r>
    </w:p>
    <w:p>
      <w:pPr>
        <w:pStyle w:val="FirstParagraph"/>
      </w:pPr>
      <w:r>
        <w:t xml:space="preserve">Ein einzelner Bestandshalter kann seine Gebäude nur mit dem eigenen Portfolio</w:t>
      </w:r>
      <w:r>
        <w:t xml:space="preserve"> </w:t>
      </w:r>
      <w:r>
        <w:t xml:space="preserve">vergleichen. Ein echter</w:t>
      </w:r>
      <w:r>
        <w:t xml:space="preserve"> </w:t>
      </w:r>
      <w:r>
        <w:rPr>
          <w:b/>
          <w:bCs/>
        </w:rPr>
        <w:t xml:space="preserve">Peer-Vergleich</w:t>
      </w:r>
      <w:r>
        <w:t xml:space="preserve"> </w:t>
      </w:r>
      <w:r>
        <w:t xml:space="preserve">– „Wie steht mein Gebäude im</w:t>
      </w:r>
      <w:r>
        <w:t xml:space="preserve"> </w:t>
      </w:r>
      <w:r>
        <w:t xml:space="preserve">Branchendurchschnitt da?</w:t>
      </w:r>
      <w:r>
        <w:t xml:space="preserve">“</w:t>
      </w:r>
      <w:r>
        <w:t xml:space="preserve">, der eingangs beschriebene Anwendungsfall</w:t>
      </w:r>
      <w:r>
        <w:t xml:space="preserve"> </w:t>
      </w:r>
      <w:r>
        <w:t xml:space="preserve">„Energieverbrauchsbenchmark</w:t>
      </w:r>
      <w:r>
        <w:t xml:space="preserve">”</w:t>
      </w:r>
      <w:r>
        <w:t xml:space="preserve"> </w:t>
      </w:r>
      <w:r>
        <w:t xml:space="preserve">– braucht Daten mehrerer Eigentümer, ohne dass</w:t>
      </w:r>
      <w:r>
        <w:t xml:space="preserve"> </w:t>
      </w:r>
      <w:r>
        <w:t xml:space="preserve">diese ihre Gebäude einander offenlegen müssen. Genau das leistet das</w:t>
      </w:r>
      <w:r>
        <w:t xml:space="preserve"> </w:t>
      </w:r>
      <w:r>
        <w:t xml:space="preserve">Zusammenspiel von Gebäude-Freigabe und aggregierten Ansichten, mit drei</w:t>
      </w:r>
      <w:r>
        <w:t xml:space="preserve"> </w:t>
      </w:r>
      <w:r>
        <w:t xml:space="preserve">Beteiligten: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sind Bestandshalter mit eigenen Gebäuden und Energiedaten.</w:t>
      </w:r>
      <w:r>
        <w:t xml:space="preserve"> </w:t>
      </w:r>
      <w:r>
        <w:t xml:space="preserve">Sie kennen einander nicht notwendigerweise und sehen gegenseitig keine Daten.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ist ein</w:t>
      </w:r>
      <w:r>
        <w:t xml:space="preserve"> </w:t>
      </w:r>
      <w:r>
        <w:rPr>
          <w:b/>
          <w:bCs/>
        </w:rPr>
        <w:t xml:space="preserve">Benchmark-Dienstleister</w:t>
      </w:r>
      <w:r>
        <w:t xml:space="preserve"> </w:t>
      </w:r>
      <w:r>
        <w:t xml:space="preserve">(Benchmark Service Provider) – kein</w:t>
      </w:r>
      <w:r>
        <w:t xml:space="preserve"> </w:t>
      </w:r>
      <w:r>
        <w:t xml:space="preserve">Server und kein Sonderkonto, sondern ein gewöhnlicher Nutzer derselben App</w:t>
      </w:r>
      <w:r>
        <w:t xml:space="preserve"> </w:t>
      </w:r>
      <w:r>
        <w:t xml:space="preserve">mit eigenem Pod.</w:t>
      </w:r>
    </w:p>
    <w:p>
      <w:pPr>
        <w:pStyle w:val="FirstParagraph"/>
      </w:pPr>
      <w:r>
        <w:rPr>
          <w:b/>
          <w:bCs/>
        </w:rPr>
        <w:t xml:space="preserve">Was A und B tun (die beitragende Seite):</w:t>
      </w:r>
    </w:p>
    <w:p>
      <w:pPr>
        <w:pStyle w:val="Compact"/>
        <w:numPr>
          <w:ilvl w:val="0"/>
          <w:numId w:val="1026"/>
        </w:numPr>
      </w:pPr>
      <w:r>
        <w:t xml:space="preserve">Jeder teilt seine Gebäude über den normalen Teilen-Dialog an C – genau die</w:t>
      </w:r>
      <w:r>
        <w:t xml:space="preserve"> </w:t>
      </w:r>
      <w:r>
        <w:t xml:space="preserve">Schritte aus „Vertriebsoptimierung durchgespielt”, nur dass A unter „What to share” diesmal</w:t>
      </w:r>
      <w:r>
        <w:t xml:space="preserve"> </w:t>
      </w:r>
      <w:r>
        <w:rPr>
          <w:b/>
          <w:bCs/>
        </w:rPr>
        <w:t xml:space="preserve">einschließlich Energiedaten</w:t>
      </w:r>
      <w:r>
        <w:t xml:space="preserve"> </w:t>
      </w:r>
      <w:r>
        <w:t xml:space="preserve">freigibt, wahlweise alle Jahre oder gezielt</w:t>
      </w:r>
      <w:r>
        <w:t xml:space="preserve"> </w:t>
      </w:r>
      <w:r>
        <w:t xml:space="preserve">ausgewählte.</w:t>
      </w:r>
    </w:p>
    <w:p>
      <w:pPr>
        <w:pStyle w:val="Compact"/>
        <w:numPr>
          <w:ilvl w:val="0"/>
          <w:numId w:val="1026"/>
        </w:numPr>
      </w:pPr>
      <w:r>
        <w:t xml:space="preserve">Sind alle drei Mitglied desselben Datenraums, geht es auch in einem Zug</w:t>
      </w:r>
      <w:r>
        <w:t xml:space="preserve"> </w:t>
      </w:r>
      <w:r>
        <w:t xml:space="preserve">rollenbasiert: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an die Rolle</w:t>
      </w:r>
      <w:r>
        <w:t xml:space="preserve"> </w:t>
      </w:r>
      <w:r>
        <w:rPr>
          <w:b/>
          <w:bCs/>
        </w:rPr>
        <w:t xml:space="preserve">Benchmark Service Provider</w:t>
      </w:r>
      <w:r>
        <w:t xml:space="preserve"> </w:t>
      </w:r>
      <w:r>
        <w:t xml:space="preserve">erreicht C, ohne dass A und B dessen WebID kennen müssen.</w:t>
      </w:r>
    </w:p>
    <w:p>
      <w:pPr>
        <w:pStyle w:val="FirstParagraph"/>
      </w:pPr>
      <w:r>
        <w:rPr>
          <w:b/>
          <w:bCs/>
        </w:rPr>
        <w:t xml:space="preserve">Was C tut (der Dienstleister):</w:t>
      </w:r>
    </w:p>
    <w:p>
      <w:pPr>
        <w:pStyle w:val="Compact"/>
        <w:numPr>
          <w:ilvl w:val="0"/>
          <w:numId w:val="1027"/>
        </w:numPr>
      </w:pPr>
      <w:r>
        <w:t xml:space="preserve">Die Beiträge von A und B erreichen C wie jedes geteilte Gebäude: Sie</w:t>
      </w:r>
      <w:r>
        <w:t xml:space="preserve"> </w:t>
      </w:r>
      <w:r>
        <w:t xml:space="preserve">erscheinen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„Buildings shared with you”.</w:t>
      </w:r>
    </w:p>
    <w:p>
      <w:pPr>
        <w:pStyle w:val="Compact"/>
        <w:numPr>
          <w:ilvl w:val="0"/>
          <w:numId w:val="1027"/>
        </w:numPr>
      </w:pPr>
      <w:r>
        <w:t xml:space="preserve">C wechselt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views”, klickt</w:t>
      </w:r>
      <w:r>
        <w:t xml:space="preserve"> </w:t>
      </w:r>
      <w:r>
        <w:rPr>
          <w:b/>
          <w:bCs/>
        </w:rPr>
        <w:t xml:space="preserve">Create View</w:t>
      </w:r>
      <w:r>
        <w:t xml:space="preserve"> </w:t>
      </w:r>
      <w:r>
        <w:t xml:space="preserve">und wählt die Art</w:t>
      </w:r>
      <w:r>
        <w:t xml:space="preserve"> </w:t>
      </w:r>
      <w:r>
        <w:rPr>
          <w:b/>
          <w:bCs/>
        </w:rPr>
        <w:t xml:space="preserve">Compare shared buildings</w:t>
      </w:r>
      <w:r>
        <w:t xml:space="preserve">. Zur Auswahl</w:t>
      </w:r>
      <w:r>
        <w:t xml:space="preserve"> </w:t>
      </w:r>
      <w:r>
        <w:t xml:space="preserve">stehen genau die Gebäude, die</w:t>
      </w:r>
      <w:r>
        <w:t xml:space="preserve"> </w:t>
      </w:r>
      <w:r>
        <w:rPr>
          <w:b/>
          <w:bCs/>
        </w:rPr>
        <w:t xml:space="preserve">mit C geteilt</w:t>
      </w:r>
      <w:r>
        <w:t xml:space="preserve"> </w:t>
      </w:r>
      <w:r>
        <w:t xml:space="preserve">wurden – also die Beiträge</w:t>
      </w:r>
      <w:r>
        <w:t xml:space="preserve"> </w:t>
      </w:r>
      <w:r>
        <w:t xml:space="preserve">von A und B.</w:t>
      </w:r>
    </w:p>
    <w:p>
      <w:pPr>
        <w:pStyle w:val="Compact"/>
        <w:numPr>
          <w:ilvl w:val="0"/>
          <w:numId w:val="1027"/>
        </w:numPr>
      </w:pPr>
      <w:r>
        <w:t xml:space="preserve">C vergibt einen Namen, wählt die Kennzahlen (jährlicher Strom-, Wärme-,</w:t>
      </w:r>
      <w:r>
        <w:t xml:space="preserve"> </w:t>
      </w:r>
      <w:r>
        <w:t xml:space="preserve">Wasser- und Abwasserverbrauch) und die Aggregatsfunktion</w:t>
      </w:r>
      <w:r>
        <w:t xml:space="preserve"> </w:t>
      </w:r>
      <w:r>
        <w:rPr>
          <w:b/>
          <w:bCs/>
        </w:rPr>
        <w:t xml:space="preserve">Durchschnitt</w:t>
      </w:r>
      <w:r>
        <w:t xml:space="preserve"> </w:t>
      </w:r>
      <w:r>
        <w:t xml:space="preserve">und erstellt die Ansicht; beim ersten Öffnen berechnet die App das Ergebnis</w:t>
      </w:r>
      <w:r>
        <w:t xml:space="preserve"> </w:t>
      </w:r>
      <w:r>
        <w:t xml:space="preserve">als Snapshot (siehe „Aggregierte Ansicht erstellen und teilen”).</w:t>
      </w:r>
    </w:p>
    <w:p>
      <w:pPr>
        <w:pStyle w:val="Compact"/>
        <w:numPr>
          <w:ilvl w:val="0"/>
          <w:numId w:val="1027"/>
        </w:numPr>
      </w:pPr>
      <w:r>
        <w:t xml:space="preserve">C teilt die fertige Ansicht über das Teilen-Symbol an alle Beitragenden</w:t>
      </w:r>
      <w:r>
        <w:t xml:space="preserve"> </w:t>
      </w:r>
      <w:r>
        <w:t xml:space="preserve">zurück. Im Teilen-Dialog bietet die App dafür eine Ein-Klick-Hilfe an:</w:t>
      </w:r>
      <w:r>
        <w:t xml:space="preserve"> </w:t>
      </w:r>
      <w:r>
        <w:rPr>
          <w:b/>
          <w:bCs/>
        </w:rPr>
        <w:t xml:space="preserve">Add all contributors</w:t>
      </w:r>
      <w:r>
        <w:t xml:space="preserve"> </w:t>
      </w:r>
      <w:r>
        <w:t xml:space="preserve">trägt automatisch alle ein, deren Gebäude in den</w:t>
      </w:r>
      <w:r>
        <w:t xml:space="preserve"> </w:t>
      </w:r>
      <w:r>
        <w:t xml:space="preserve">Benchmark eingeflossen sind – hier A und B.</w:t>
      </w:r>
    </w:p>
    <w:p>
      <w:pPr>
        <w:pStyle w:val="FirstParagraph"/>
      </w:pPr>
      <w:r>
        <w:rPr>
          <w:b/>
          <w:bCs/>
        </w:rPr>
        <w:t xml:space="preserve">Was A und B sehen (der Rückfluss):</w:t>
      </w:r>
    </w:p>
    <w:p>
      <w:pPr>
        <w:pStyle w:val="Compact"/>
        <w:numPr>
          <w:ilvl w:val="0"/>
          <w:numId w:val="1028"/>
        </w:numPr>
      </w:pPr>
      <w:r>
        <w:t xml:space="preserve">Die zurückerhaltene Ansicht erscheint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 „Views shared</w:t>
      </w:r>
      <w:r>
        <w:t xml:space="preserve"> </w:t>
      </w:r>
      <w:r>
        <w:t xml:space="preserve">with you” – mit den empfangenen Durchschnittswerten zum Aufklappen (siehe</w:t>
      </w:r>
      <w:r>
        <w:t xml:space="preserve"> </w:t>
      </w:r>
      <w:r>
        <w:t xml:space="preserve">die Abbildung im Abschnitt „Mit Ihnen geteilte Daten”).</w:t>
      </w:r>
    </w:p>
    <w:p>
      <w:pPr>
        <w:pStyle w:val="Compact"/>
        <w:numPr>
          <w:ilvl w:val="0"/>
          <w:numId w:val="1028"/>
        </w:numPr>
      </w:pPr>
      <w:r>
        <w:t xml:space="preserve">Vor allem aber füllt sich auf der Energie-Detailseite der eigenen Gebäude</w:t>
      </w:r>
      <w:r>
        <w:t xml:space="preserve"> </w:t>
      </w:r>
      <w:r>
        <w:t xml:space="preserve">die Spalte</w:t>
      </w:r>
      <w:r>
        <w:t xml:space="preserve"> </w:t>
      </w:r>
      <w:r>
        <w:rPr>
          <w:b/>
          <w:bCs/>
        </w:rPr>
        <w:t xml:space="preserve">Benchmark</w:t>
      </w:r>
      <w:r>
        <w:t xml:space="preserve">: Der eigene Verbrauch wird nun gegen den externen</w:t>
      </w:r>
      <w:r>
        <w:t xml:space="preserve"> </w:t>
      </w:r>
      <w:r>
        <w:t xml:space="preserve">Branchenwert eingefärbt statt nur gegen den eigenen Portfolio-Durchschnitt,</w:t>
      </w:r>
      <w:r>
        <w:t xml:space="preserve"> </w:t>
      </w:r>
      <w:r>
        <w:t xml:space="preserve">und ein Hinweis nennt den Dienstleister, der den Benchmark berechnet hat.</w:t>
      </w:r>
    </w:p>
    <w:p>
      <w:pPr>
        <w:pStyle w:val="CaptionedFigure"/>
      </w:pPr>
      <w:r>
        <w:drawing>
          <wp:inline>
            <wp:extent cx="5334000" cy="890596"/>
            <wp:effectExtent b="0" l="0" r="0" t="0"/>
            <wp:docPr descr="Die Pointe des Roundtrips: Auf der Energie-Detailseite von A (und ebenso von B) steht der eigene Verbrauch jetzt einer gefüllten Spalte „Benchmark” gegenüber – den von C zurückgeteilten Branchenwerten über die Gebäude aller Beitragenden" title="" id="130" name="Picture"/>
            <a:graphic>
              <a:graphicData uri="http://schemas.openxmlformats.org/drawingml/2006/picture">
                <pic:pic>
                  <pic:nvPicPr>
                    <pic:cNvPr descr="figures/benchmark-payof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0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Pointe des Roundtrips: Auf der Energie-Detailseite von A (und ebenso von B) steht der eigene Verbrauch jetzt einer gefüllten Spalte „Benchmark” gegenüber – den von C zurückgeteilten Branchenwerten über die Gebäude aller Beitragenden</w:t>
      </w:r>
    </w:p>
    <w:p>
      <w:pPr>
        <w:pStyle w:val="CaptionedFigure"/>
      </w:pPr>
      <w:r>
        <w:drawing>
          <wp:inline>
            <wp:extent cx="5334000" cy="3075192"/>
            <wp:effectExtent b="0" l="0" r="0" t="0"/>
            <wp:docPr descr="Der Benchmark-Roundtrip: A und B teilen Gebäude an den Dienstleister C, C berechnet den Durchschnitt und teilt nur den Snapshot zurück" title="" id="133" name="Picture"/>
            <a:graphic>
              <a:graphicData uri="http://schemas.openxmlformats.org/drawingml/2006/picture">
                <pic:pic>
                  <pic:nvPicPr>
                    <pic:cNvPr descr="figures/szenario-benchmark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Benchmark-Roundtrip: A und B teilen Gebäude an den Dienstleister C, C berechnet den Durchschnitt und teilt nur den Snapshot zurück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Die Sicht des Benchmark-Dienstleisters beim Zurückteilen: „Add all contributors” trägt alle Beitragenden mit einem Klick als Empfänger ein" title="" id="136" name="Picture"/>
            <a:graphic>
              <a:graphicData uri="http://schemas.openxmlformats.org/drawingml/2006/picture">
                <pic:pic>
                  <pic:nvPicPr>
                    <pic:cNvPr descr="figures/benchmark-share-back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Sicht des Benchmark-Dienstleisters beim Zurückteilen: „Add all contributors” trägt alle Beitragenden mit einem Klick als Empfänger ein</w:t>
      </w:r>
    </w:p>
    <w:p>
      <w:pPr>
        <w:pStyle w:val="BodyText"/>
      </w:pPr>
      <w:r>
        <w:t xml:space="preserve">Entscheidend ist, was dabei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 wird: A und B sehen zu keinem</w:t>
      </w:r>
      <w:r>
        <w:t xml:space="preserve"> </w:t>
      </w:r>
      <w:r>
        <w:t xml:space="preserve">Zeitpunkt die Gebäude des jeweils anderen. Der zurückgeteilte Snapshot enthält</w:t>
      </w:r>
      <w:r>
        <w:t xml:space="preserve"> </w:t>
      </w:r>
      <w:r>
        <w:t xml:space="preserve">nur die berechneten Durchschnittswerte und die Anzahl der eingeflossenen</w:t>
      </w:r>
      <w:r>
        <w:t xml:space="preserve"> </w:t>
      </w:r>
      <w:r>
        <w:t xml:space="preserve">Gebäude – nicht, welche Gebäude das waren. Jeder Beitragende kann seine</w:t>
      </w:r>
      <w:r>
        <w:t xml:space="preserve"> </w:t>
      </w:r>
      <w:r>
        <w:t xml:space="preserve">Freigabe an C zudem jederzeit widerrufen und steigt damit aus künftigen</w:t>
      </w:r>
      <w:r>
        <w:t xml:space="preserve"> </w:t>
      </w:r>
      <w:r>
        <w:t xml:space="preserve">Benchmark-Berechnungen aus.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– sie enthält die IRIs der beitragenden Gebäude – bleibt</w:t>
      </w:r>
      <w:r>
        <w:t xml:space="preserve"> </w:t>
      </w:r>
      <w:r>
        <w:t xml:space="preserve">auf C’s Pod und wird nie geteilt; nur der berechnete Snapshot wandert zu den</w:t>
      </w:r>
      <w:r>
        <w:t xml:space="preserve"> </w:t>
      </w:r>
      <w:r>
        <w:t xml:space="preserve">Empfängern. Der Snapshot ist dabei als Benchmark-Ergebnis typisiert und</w:t>
      </w:r>
      <w:r>
        <w:t xml:space="preserve"> </w:t>
      </w:r>
      <w:r>
        <w:t xml:space="preserve">vermerkt den berechnenden Agenten und den abgedeckten Zeitraum, sodass die</w:t>
      </w:r>
      <w:r>
        <w:t xml:space="preserve"> </w:t>
      </w:r>
      <w:r>
        <w:t xml:space="preserve">Energie-Ansicht der Empfänger ihn von gewöhnlichen geteilten Ansichten</w:t>
      </w:r>
      <w:r>
        <w:t xml:space="preserve"> </w:t>
      </w:r>
      <w:r>
        <w:t xml:space="preserve">unterscheiden und als Vergleichswert bevorzugen kann (Reihenfolge: externer</w:t>
      </w:r>
      <w:r>
        <w:t xml:space="preserve"> </w:t>
      </w:r>
      <w:r>
        <w:t xml:space="preserve">Benchmark vor Betreiber-Durchschnitt vor Portfolio-Durchschnitt).</w:t>
      </w:r>
    </w:p>
    <w:bookmarkEnd w:id="138"/>
    <w:bookmarkEnd w:id="139"/>
    <w:bookmarkStart w:id="140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Das Forschungsprojekt ist ein Vorhaben der Industriellen Gemeinschaftsforschung</w:t>
      </w:r>
      <w:r>
        <w:t xml:space="preserve"> </w:t>
      </w:r>
      <w:r>
        <w:t xml:space="preserve">(IGF) und 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p>
      <w:pPr>
        <w:pStyle w:val="BodyText"/>
      </w:pPr>
      <w:r>
        <w:t xml:space="preserve">Die Granergize-App ist</w:t>
      </w:r>
      <w:r>
        <w:t xml:space="preserve"> </w:t>
      </w:r>
      <w:r>
        <w:rPr>
          <w:b/>
          <w:bCs/>
        </w:rPr>
        <w:t xml:space="preserve">quelloffen</w:t>
      </w:r>
      <w:r>
        <w:t xml:space="preserve">: Der Quellcode steht unter der GNU Affero</w:t>
      </w:r>
      <w:r>
        <w:t xml:space="preserve"> </w:t>
      </w:r>
      <w:r>
        <w:t xml:space="preserve">General Public License, Version 3 (AGPL-3.0) auf GitHub zur Verfügung –</w:t>
      </w:r>
      <w:r>
        <w:t xml:space="preserve"> </w:t>
      </w:r>
      <w:hyperlink r:id="rId40">
        <w:r>
          <w:rPr>
            <w:rStyle w:val="Hyperlink"/>
          </w:rPr>
          <w:t xml:space="preserve">github.com/wintechis/granergize-webapp</w:t>
        </w:r>
      </w:hyperlink>
      <w:r>
        <w:t xml:space="preserve">.</w:t>
      </w:r>
      <w:r>
        <w:t xml:space="preserve"> </w:t>
      </w:r>
      <w:r>
        <w:t xml:space="preserve">Die Lizenz erlaubt es jedem, die Anwendung frei zu nutzen, den Quellcode zu</w:t>
      </w:r>
      <w:r>
        <w:t xml:space="preserve"> </w:t>
      </w:r>
      <w:r>
        <w:t xml:space="preserve">prüfen, sie anzupassen und selbst zu betreiben (siehe Abschnitt „Einen eigenen</w:t>
      </w:r>
      <w:r>
        <w:t xml:space="preserve"> </w:t>
      </w:r>
      <w:r>
        <w:t xml:space="preserve">Solid-Server betreiben”); wer eine veränderte Fassung als Dienst anbietet, muss</w:t>
      </w:r>
      <w:r>
        <w:t xml:space="preserve"> </w:t>
      </w:r>
      <w:r>
        <w:t xml:space="preserve">deren Quellcode ebenfalls offenlegen. Für die Trennung von Identität, Daten und</w:t>
      </w:r>
      <w:r>
        <w:t xml:space="preserve"> </w:t>
      </w:r>
      <w:r>
        <w:t xml:space="preserve">Anwendung heißt das: Auch der dritte Baustein ist überprüfbar und liegt nicht</w:t>
      </w:r>
      <w:r>
        <w:t xml:space="preserve"> </w:t>
      </w:r>
      <w:r>
        <w:t xml:space="preserve">in der Hand eines einzelnen Anbieters.</w:t>
      </w:r>
    </w:p>
    <w:bookmarkEnd w:id="140"/>
    <w:bookmarkStart w:id="142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41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0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107" Target="media/rId107.png" /><Relationship Type="http://schemas.openxmlformats.org/officeDocument/2006/relationships/image" Id="rId42" Target="media/rId42.png" /><Relationship Type="http://schemas.openxmlformats.org/officeDocument/2006/relationships/image" Id="rId28" Target="media/rId28.png" /><Relationship Type="http://schemas.openxmlformats.org/officeDocument/2006/relationships/image" Id="rId129" Target="media/rId129.png" /><Relationship Type="http://schemas.openxmlformats.org/officeDocument/2006/relationships/image" Id="rId135" Target="media/rId135.png" /><Relationship Type="http://schemas.openxmlformats.org/officeDocument/2006/relationships/image" Id="rId96" Target="media/rId96.png" /><Relationship Type="http://schemas.openxmlformats.org/officeDocument/2006/relationships/image" Id="rId104" Target="media/rId104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85" Target="media/rId85.png" /><Relationship Type="http://schemas.openxmlformats.org/officeDocument/2006/relationships/image" Id="rId118" Target="media/rId118.png" /><Relationship Type="http://schemas.openxmlformats.org/officeDocument/2006/relationships/image" Id="rId132" Target="media/rId132.png" /><Relationship Type="http://schemas.openxmlformats.org/officeDocument/2006/relationships/image" Id="rId125" Target="media/rId125.png" /><Relationship Type="http://schemas.openxmlformats.org/officeDocument/2006/relationships/image" Id="rId122" Target="media/rId12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41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ommunitysolidserver.github.io/CommunitySolidServer/" TargetMode="External" /><Relationship Type="http://schemas.openxmlformats.org/officeDocument/2006/relationships/hyperlink" Id="rId141" Target="https://finance.ec.europa.eu/sustainable-finance/tools-and-standards/eu-taxonomy-sustainable-activities_en" TargetMode="External" /><Relationship Type="http://schemas.openxmlformats.org/officeDocument/2006/relationships/hyperlink" Id="rId40" Target="https://github.com/wintechis/granergize-webapp" TargetMode="External" /><Relationship Type="http://schemas.openxmlformats.org/officeDocument/2006/relationships/hyperlink" Id="rId39" Target="https://nodejs.org/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2026-06-12T11:23:55Z</dcterms:created>
  <dcterms:modified xsi:type="dcterms:W3CDTF">2026-06-12T11:23:55Z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f96076a+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