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38.png" ContentType="image/png"/>
  <Override PartName="/word/media/rId28.png" ContentType="image/png"/>
  <Override PartName="/word/media/rId78.png" ContentType="image/png"/>
  <Override PartName="/word/media/rId57.png" ContentType="image/png"/>
  <Override PartName="/word/media/rId61.png" ContentType="image/png"/>
  <Override PartName="/word/media/rId73.png" ContentType="image/png"/>
  <Override PartName="/word/media/rId66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Juni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von Granergize – einer 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27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26" w:name="Xea4ec0664910c34db5b53014d039b2f0f8a7522"/>
    <w:p>
      <w:pPr>
        <w:pStyle w:val="Heading2"/>
      </w:pPr>
      <w:r>
        <w:t xml:space="preserve">Praxisbeispiele: Use Cases für die Anwendung</w:t>
      </w:r>
    </w:p>
    <w:bookmarkStart w:id="2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einen zentralen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bookmarkEnd w:id="23"/>
    <w:bookmarkStart w:id="24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weiterer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Granergize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</w:t>
      </w:r>
    </w:p>
    <w:bookmarkEnd w:id="24"/>
    <w:bookmarkStart w:id="25" w:name="vertriebsoptimierung"/>
    <w:p>
      <w:pPr>
        <w:pStyle w:val="Heading3"/>
      </w:pPr>
      <w:r>
        <w:t xml:space="preserve">Vertriebsoptimierung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Ziel ist es,</w:t>
      </w:r>
      <w:r>
        <w:t xml:space="preserve"> </w:t>
      </w:r>
      <w:r>
        <w:t xml:space="preserve">Logistik- und Gewerbeobjekte systematisch zu verorten sowie hinsichtlich ihrer</w:t>
      </w:r>
      <w:r>
        <w:t xml:space="preserve"> </w:t>
      </w:r>
      <w:r>
        <w:t xml:space="preserve">energetischen Eigenschaften zu visualisieren. Eine visuelle Kategorisierung</w:t>
      </w:r>
      <w:r>
        <w:t xml:space="preserve"> </w:t>
      </w:r>
      <w:r>
        <w:t xml:space="preserve">anhand des Energieverbrauchs erleichtert die Einordnung der jeweiligen</w:t>
      </w:r>
      <w:r>
        <w:t xml:space="preserve"> </w:t>
      </w:r>
      <w:r>
        <w:t xml:space="preserve">Logistikimmobilie in ihr Wettbewerbsumfeld. So kann hervorgehoben werden, dass</w:t>
      </w:r>
      <w:r>
        <w:t xml:space="preserve"> </w:t>
      </w:r>
      <w:r>
        <w:t xml:space="preserve">eine Immobilie im Vergleich zu benachbarten Hallen besonders energieeffizient</w:t>
      </w:r>
      <w:r>
        <w:t xml:space="preserve"> </w:t>
      </w:r>
      <w:r>
        <w:t xml:space="preserve">ist. Die bereitgestellten Informationen unterstützen Investoren und Makler bei</w:t>
      </w:r>
      <w:r>
        <w:t xml:space="preserve"> </w:t>
      </w:r>
      <w:r>
        <w:t xml:space="preserve">der Vermarktung von Immobilien und fördern die Zusammenarbeit zwischen Beratern,</w:t>
      </w:r>
      <w:r>
        <w:t xml:space="preserve"> </w:t>
      </w:r>
      <w:r>
        <w:t xml:space="preserve">Facility Managern und Nutzern. Für diesen Anwendungsfall werden vor allem</w:t>
      </w:r>
      <w:r>
        <w:t xml:space="preserve"> </w:t>
      </w:r>
      <w:r>
        <w:t xml:space="preserve">aggregierte Verbrauchsdaten sowie allgemeine Objektdaten benötigt.</w:t>
      </w:r>
    </w:p>
    <w:bookmarkEnd w:id="25"/>
    <w:bookmarkEnd w:id="26"/>
    <w:bookmarkEnd w:id="27"/>
    <w:bookmarkStart w:id="34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32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Granergize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Granergize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Granergize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31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Granergize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29" name="Picture"/>
            <a:graphic>
              <a:graphicData uri="http://schemas.openxmlformats.org/drawingml/2006/picture">
                <pic:pic>
                  <pic:nvPicPr>
                    <pic:cNvPr descr="figures/architektu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31"/>
    <w:bookmarkEnd w:id="32"/>
    <w:bookmarkStart w:id="33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Granergize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</w:t>
      </w:r>
    </w:p>
    <w:bookmarkEnd w:id="33"/>
    <w:bookmarkEnd w:id="34"/>
    <w:bookmarkStart w:id="65" w:name="granergize-in-der-praxis-nutzen"/>
    <w:p>
      <w:pPr>
        <w:pStyle w:val="Heading1"/>
      </w:pPr>
      <w:r>
        <w:t xml:space="preserve">Granergize in der Praxis nutzen</w:t>
      </w:r>
    </w:p>
    <w:bookmarkStart w:id="35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Granergize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35"/>
    <w:bookmarkStart w:id="37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Granergize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36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oder auf einen kommerziellen Anbieter umsteigen (siehe</w:t>
      </w:r>
      <w:r>
        <w:t xml:space="preserve"> </w:t>
      </w:r>
      <w:r>
        <w:t xml:space="preserve">Abschnitt „Datenschutz”).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2"/>
        </w:numPr>
      </w:pPr>
      <w:r>
        <w:t xml:space="preserve">Öffnen Sie</w:t>
      </w:r>
      <w:r>
        <w:t xml:space="preserve"> </w:t>
      </w:r>
      <w:hyperlink r:id="rId36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2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2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Granergize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37"/>
    <w:bookmarkStart w:id="41" w:name="X65ec234808e91e227c2728b892970507ac97e55"/>
    <w:p>
      <w:pPr>
        <w:pStyle w:val="Heading2"/>
      </w:pPr>
      <w:r>
        <w:t xml:space="preserve">Erste Anmeldung in der Granergize-Anwendung</w:t>
      </w:r>
    </w:p>
    <w:p>
      <w:pPr>
        <w:pStyle w:val="FirstParagraph"/>
      </w:pPr>
      <w:r>
        <w:t xml:space="preserve">Nachdem Sie Ihren Solid Pod eingerichtet haben, können Sie sich bei Granergize</w:t>
      </w:r>
      <w:r>
        <w:t xml:space="preserve"> </w:t>
      </w:r>
      <w:r>
        <w:t xml:space="preserve">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3"/>
        </w:numPr>
      </w:pPr>
      <w:r>
        <w:t xml:space="preserve">Öffnen Sie die Granergize-Webanwendung in Ihrem Browser. Auf der Startseite</w:t>
      </w:r>
      <w:r>
        <w:t xml:space="preserve"> </w:t>
      </w:r>
      <w:r>
        <w:t xml:space="preserve">sehen Sie eine kurze Erklärung der Anwendung und einen „Login”-Button.</w:t>
      </w:r>
    </w:p>
    <w:p>
      <w:pPr>
        <w:pStyle w:val="Compact"/>
        <w:numPr>
          <w:ilvl w:val="0"/>
          <w:numId w:val="1003"/>
        </w:numPr>
      </w:pPr>
      <w:r>
        <w:t xml:space="preserve">Wählen Sie Ihren Identity Provider – den Dienst, bei dem Ihr Solid Pod liegt.</w:t>
      </w:r>
      <w:r>
        <w:t xml:space="preserve"> </w:t>
      </w:r>
      <w:r>
        <w:t xml:space="preserve">Wenn Sie Ihren Pod bei 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</w:t>
      </w:r>
      <w:r>
        <w:t xml:space="preserve"> </w:t>
      </w:r>
      <w:r>
        <w:t xml:space="preserve">Alternativ können Sie auch Ihre vollständige WebID eingeben.</w:t>
      </w:r>
    </w:p>
    <w:p>
      <w:pPr>
        <w:pStyle w:val="Compact"/>
        <w:numPr>
          <w:ilvl w:val="0"/>
          <w:numId w:val="1003"/>
        </w:numPr>
      </w:pPr>
      <w:r>
        <w:t xml:space="preserve">Melden Sie sich beim Anbieter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Granergize</w:t>
      </w:r>
      <w:r>
        <w:t xml:space="preserve"> </w:t>
      </w:r>
      <w:r>
        <w:t xml:space="preserve">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39" name="Picture"/>
            <a:graphic>
              <a:graphicData uri="http://schemas.openxmlformats.org/drawingml/2006/picture">
                <pic:pic>
                  <pic:nvPicPr>
                    <pic:cNvPr descr="figures/anmelde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Dashboard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bietet Ihnen Granergize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an, beispielhafte Demo-Gebäude hinzuzufügen („Add examples”); diesen Hinweis</w:t>
      </w:r>
      <w:r>
        <w:t xml:space="preserve"> </w:t>
      </w:r>
      <w:r>
        <w:t xml:space="preserve">können Sie auch ausblenden.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bookmarkEnd w:id="41"/>
    <w:bookmarkStart w:id="42" w:name="ihre-rolle-als-datenproduzent-festlegen"/>
    <w:p>
      <w:pPr>
        <w:pStyle w:val="Heading2"/>
      </w:pPr>
      <w:r>
        <w:t xml:space="preserve">Ihre Rolle als Datenproduzent festlegen</w:t>
      </w:r>
    </w:p>
    <w:p>
      <w:pPr>
        <w:pStyle w:val="FirstParagraph"/>
      </w:pPr>
      <w:r>
        <w:t xml:space="preserve">Ihre</w:t>
      </w:r>
      <w:r>
        <w:t xml:space="preserve"> </w:t>
      </w:r>
      <w:r>
        <w:rPr>
          <w:b/>
          <w:bCs/>
        </w:rPr>
        <w:t xml:space="preserve">Datenproduzenten-Rolle</w:t>
      </w:r>
      <w:r>
        <w:t xml:space="preserve"> </w:t>
      </w:r>
      <w:r>
        <w:t xml:space="preserve">legen Sie einmalig in Ihrem Profil fest – nicht</w:t>
      </w:r>
      <w:r>
        <w:t xml:space="preserve"> </w:t>
      </w:r>
      <w:r>
        <w:t xml:space="preserve">bei jeder Dateneingabe. Öffnen Sie dazu über das Avatar-Symbol (oben rechts) den</w:t>
      </w:r>
      <w:r>
        <w:t xml:space="preserve"> </w:t>
      </w:r>
      <w:r>
        <w:t xml:space="preserve">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und wählen Sie Ihre Rolle (z. B. Investor, Nutzer oder</w:t>
      </w:r>
      <w:r>
        <w:t xml:space="preserve"> </w:t>
      </w:r>
      <w:r>
        <w:t xml:space="preserve">Benchmark Service Provider). Diese Rolle wird anschließend automatisch als</w:t>
      </w:r>
      <w:r>
        <w:t xml:space="preserve"> </w:t>
      </w:r>
      <w:r>
        <w:t xml:space="preserve">Herkunft (Provenienz) jedes Gebäudes vermerkt, das Sie anlegen.</w:t>
      </w:r>
    </w:p>
    <w:p>
      <w:pPr>
        <w:pStyle w:val="BodyText"/>
      </w:pPr>
      <w:r>
        <w:t xml:space="preserve">Die Rolle bei der Dateneingabe ist damit entkoppelt: Im „Add Building”-Dialog</w:t>
      </w:r>
      <w:r>
        <w:t xml:space="preserve"> </w:t>
      </w:r>
      <w:r>
        <w:t xml:space="preserve">wählen Sie nur noch die</w:t>
      </w:r>
      <w:r>
        <w:t xml:space="preserve"> </w:t>
      </w:r>
      <w:r>
        <w:rPr>
          <w:b/>
          <w:bCs/>
        </w:rPr>
        <w:t xml:space="preserve">Vorlage</w:t>
      </w:r>
      <w:r>
        <w:t xml:space="preserve"> </w:t>
      </w:r>
      <w:r>
        <w:t xml:space="preserve">(das Tabellenformat), nicht mehr die Rolle.</w:t>
      </w:r>
    </w:p>
    <w:bookmarkEnd w:id="42"/>
    <w:bookmarkStart w:id="52" w:name="X445e733ce7bf1dd58052a274d528cd9f1260fab"/>
    <w:p>
      <w:pPr>
        <w:pStyle w:val="Heading2"/>
      </w:pPr>
      <w:r>
        <w:t xml:space="preserve">Wie Granergize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Granergize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 Energiedaten gehören Ihnen und liegen auf</w:t>
      </w:r>
      <w:r>
        <w:t xml:space="preserve"> </w:t>
      </w:r>
      <w:r>
        <w:t xml:space="preserve">Ihrem eigenen Solid Pod – nicht auf einem Server, den andere kontrollieren.</w:t>
      </w:r>
    </w:p>
    <w:bookmarkStart w:id="46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Granergize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44" name="Picture"/>
            <a:graphic>
              <a:graphicData uri="http://schemas.openxmlformats.org/drawingml/2006/picture">
                <pic:pic>
                  <pic:nvPicPr>
                    <pic:cNvPr descr="figures/wac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46"/>
    <w:bookmarkStart w:id="50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Granergize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Granergize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Granergize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48" name="Picture"/>
            <a:graphic>
              <a:graphicData uri="http://schemas.openxmlformats.org/drawingml/2006/picture">
                <pic:pic>
                  <pic:nvPicPr>
                    <pic:cNvPr descr="figures/wissensgraph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50"/>
    <w:bookmarkStart w:id="51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Granergize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steht hierzu bereits eine Wetterdatenansicht je Gebäude zur Verfügung</w:t>
      </w:r>
      <w:r>
        <w:t xml:space="preserve"> </w:t>
      </w:r>
      <w:r>
        <w:t xml:space="preserve">(Reiter</w:t>
      </w:r>
      <w:r>
        <w:t xml:space="preserve"> </w:t>
      </w:r>
      <w:r>
        <w:rPr>
          <w:b/>
          <w:bCs/>
        </w:rPr>
        <w:t xml:space="preserve">Weather data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Gebäudeklassifikationen, Agenten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Messwert-Metadaten, Einheiten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Organisationen, Kunden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Granergize-spezifische</w:t>
      </w:r>
      <w:r>
        <w:t xml:space="preserve"> </w:t>
      </w:r>
      <w:r>
        <w:t xml:space="preserve">Erweiterungen</w:t>
      </w:r>
    </w:p>
    <w:bookmarkEnd w:id="51"/>
    <w:bookmarkEnd w:id="52"/>
    <w:bookmarkStart w:id="56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unter „Your buildings” stehen zwei Wege zur Verfügung: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Add Building:</w:t>
      </w:r>
      <w:r>
        <w:t xml:space="preserve"> </w:t>
      </w:r>
      <w:r>
        <w:t xml:space="preserve">Ein einzelnes Gebäude über das Formular erfassen (Adresse,</w:t>
      </w:r>
      <w:r>
        <w:t xml:space="preserve"> </w:t>
      </w:r>
      <w:r>
        <w:t xml:space="preserve">Koordinaten, Fläche usw.). Über „Get coordinates” können die Koordinaten aus</w:t>
      </w:r>
      <w:r>
        <w:t xml:space="preserve"> </w:t>
      </w:r>
      <w:r>
        <w:t xml:space="preserve">der Adresse automatisch ermittelt werden.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Autofill from file:</w:t>
      </w:r>
      <w:r>
        <w:t xml:space="preserve"> </w:t>
      </w:r>
      <w:r>
        <w:t xml:space="preserve">Mehrere Gebäude auf einmal aus einer Excel-Vorlage</w:t>
      </w:r>
      <w:r>
        <w:t xml:space="preserve"> </w:t>
      </w:r>
      <w:r>
        <w:t xml:space="preserve">importieren. Die eingelesenen Gebäude können Sie vor dem Speichern prüfen und</w:t>
      </w:r>
      <w:r>
        <w:t xml:space="preserve"> </w:t>
      </w:r>
      <w:r>
        <w:t xml:space="preserve">anpassen; fehlende Koordinaten werden beim Import automatisch ergänzt.</w:t>
      </w:r>
    </w:p>
    <w:p>
      <w:pPr>
        <w:pStyle w:val="FirstParagraph"/>
      </w:pPr>
      <w:r>
        <w:t xml:space="preserve">Im Dialog wählen Sie zunächst die</w:t>
      </w:r>
      <w:r>
        <w:t xml:space="preserve"> </w:t>
      </w:r>
      <w:r>
        <w:rPr>
          <w:b/>
          <w:bCs/>
        </w:rPr>
        <w:t xml:space="preserve">Vorlage</w:t>
      </w:r>
      <w:r>
        <w:t xml:space="preserve"> </w:t>
      </w:r>
      <w:r>
        <w:t xml:space="preserve">(das Tabellenformat). Nachdem Sie</w:t>
      </w:r>
      <w:r>
        <w:t xml:space="preserve"> </w:t>
      </w:r>
      <w:r>
        <w:t xml:space="preserve">die Felder ausgefüllt bzw. die Datei eingelesen haben, klicken Sie auf „Add</w:t>
      </w:r>
      <w:r>
        <w:t xml:space="preserve"> </w:t>
      </w:r>
      <w:r>
        <w:t xml:space="preserve">Building”. Die eingegebenen Daten werden automatisch in das richtige Format</w:t>
      </w:r>
      <w:r>
        <w:t xml:space="preserve"> </w:t>
      </w:r>
      <w:r>
        <w:t xml:space="preserve">(RDF) überführt und in Ihrem Solid Pod gespeichert; anschließend erscheint das</w:t>
      </w:r>
      <w:r>
        <w:t xml:space="preserve"> </w:t>
      </w:r>
      <w:r>
        <w:t xml:space="preserve">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das Formular „Add Building” zum Erfassen eines Gebäudes" title="" id="54" name="Picture"/>
            <a:graphic>
              <a:graphicData uri="http://schemas.openxmlformats.org/drawingml/2006/picture">
                <pic:pic>
                  <pic:nvPicPr>
                    <pic:cNvPr descr="figures/add-building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das Formular „Add Building”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56"/>
    <w:bookmarkStart w:id="60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im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gewünschten Gebäude über das Symbol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das Jahresformular: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Jahr erfassen oder aktualisieren:</w:t>
      </w:r>
      <w:r>
        <w:t xml:space="preserve"> </w:t>
      </w:r>
      <w:r>
        <w:t xml:space="preserve">Wählen Sie ein Jahr und tragen Sie die</w:t>
      </w:r>
      <w:r>
        <w:t xml:space="preserve"> </w:t>
      </w:r>
      <w:r>
        <w:t xml:space="preserve">Verbrauchswerte ein. Bereits erfasste Jahre lassen sich jederzeit nachträglich</w:t>
      </w:r>
      <w:r>
        <w:t xml:space="preserve"> </w:t>
      </w:r>
      <w:r>
        <w:t xml:space="preserve">ändern oder ergänzen – so halten Sie die Verbrauchsdaten über die Jahre</w:t>
      </w:r>
      <w:r>
        <w:t xml:space="preserve"> </w:t>
      </w:r>
      <w:r>
        <w:t xml:space="preserve">aktuell. (Damit ist insbesondere das Hinzufügen neuer Jahresscheiben und das</w:t>
      </w:r>
      <w:r>
        <w:t xml:space="preserve"> </w:t>
      </w:r>
      <w:r>
        <w:t xml:space="preserve">spätere Aktualisieren von Verbrauchsdaten möglich.)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geplante</w:t>
      </w:r>
      <w:r>
        <w:t xml:space="preserve"> </w:t>
      </w:r>
      <w:r>
        <w:t xml:space="preserve">(Soll-)Werte. In der Energieansicht des Gebäudes werden Soll</w:t>
      </w:r>
      <w:r>
        <w:t xml:space="preserve"> </w:t>
      </w:r>
      <w:r>
        <w:t xml:space="preserve">und Ist je Jahr nebeneinander dargestellt.</w:t>
      </w:r>
    </w:p>
    <w:p>
      <w:pPr>
        <w:pStyle w:val="FirstParagraph"/>
      </w:pPr>
      <w:r>
        <w:t xml:space="preserve">Über das Symbol</w:t>
      </w:r>
      <w:r>
        <w:t xml:space="preserve"> </w:t>
      </w:r>
      <w:r>
        <w:rPr>
          <w:b/>
          <w:bCs/>
        </w:rPr>
        <w:t xml:space="preserve">„Upload energy certificate”</w:t>
      </w:r>
      <w:r>
        <w:t xml:space="preserve"> </w:t>
      </w:r>
      <w:r>
        <w:t xml:space="preserve">können Sie zusätzlich einen</w:t>
      </w:r>
      <w:r>
        <w:t xml:space="preserve"> </w:t>
      </w:r>
      <w:r>
        <w:t xml:space="preserve">Energieausweis (PDF) zum Gebäude hinterlegen.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Add / edit energy year”: Jahresverbrauch erfassen – mit geplanten (Soll) und tatsächlichen (Ist) Werten" title="" id="58" name="Picture"/>
            <a:graphic>
              <a:graphicData uri="http://schemas.openxmlformats.org/drawingml/2006/picture">
                <pic:pic>
                  <pic:nvPicPr>
                    <pic:cNvPr descr="figures/energy-ye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„Add / edit energy year”: Jahresverbrauch erfassen – mit geplanten (Soll) und tatsächlichen (Ist) Werten</w:t>
      </w:r>
    </w:p>
    <w:bookmarkEnd w:id="60"/>
    <w:bookmarkStart w:id="64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Wählen Sie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einen Gebäude-Marker. Im rechten Bereich wechseln</w:t>
      </w:r>
      <w:r>
        <w:t xml:space="preserve"> </w:t>
      </w:r>
      <w:r>
        <w:t xml:space="preserve">Sie über die Reiter zwischen</w:t>
      </w:r>
      <w:r>
        <w:t xml:space="preserve"> </w:t>
      </w:r>
      <w:r>
        <w:rPr>
          <w:b/>
          <w:bCs/>
        </w:rPr>
        <w:t xml:space="preserve">Building data</w:t>
      </w:r>
      <w:r>
        <w:t xml:space="preserve">,</w:t>
      </w:r>
      <w:r>
        <w:t xml:space="preserve"> </w:t>
      </w:r>
      <w:r>
        <w:rPr>
          <w:b/>
          <w:bCs/>
        </w:rPr>
        <w:t xml:space="preserve">Energy data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Weather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. Unter der Karte sehen Sie den Energiemix für den aktuell sichtbaren</w:t>
      </w:r>
      <w:r>
        <w:t xml:space="preserve"> </w:t>
      </w:r>
      <w:r>
        <w:t xml:space="preserve">Kartenausschnitt.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bäudedetails im Explore-Tab mit Reitern" title="" id="62" name="Picture"/>
            <a:graphic>
              <a:graphicData uri="http://schemas.openxmlformats.org/drawingml/2006/picture">
                <pic:pic>
                  <pic:nvPicPr>
                    <pic:cNvPr descr="figures/map-tab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Gebäudedetails im Explore-Tab mit Reitern</w:t>
      </w:r>
    </w:p>
    <w:bookmarkEnd w:id="64"/>
    <w:bookmarkEnd w:id="65"/>
    <w:bookmarkStart w:id="85" w:name="X7d72782c915f60697958dd391a69efa388f028d"/>
    <w:p>
      <w:pPr>
        <w:pStyle w:val="Heading1"/>
      </w:pPr>
      <w:r>
        <w:t xml:space="preserve">Daten gemeinsam nutzen und Mehrwerte schaffen</w:t>
      </w:r>
    </w:p>
    <w:bookmarkStart w:id="72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aggregierte Ansichten oder rollenbasierte Freigaben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Granergize" title="" id="67" name="Picture"/>
            <a:graphic>
              <a:graphicData uri="http://schemas.openxmlformats.org/drawingml/2006/picture">
                <pic:pic>
                  <pic:nvPicPr>
                    <pic:cNvPr descr="figures/sharing-vergleich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Granergize</w:t>
      </w:r>
    </w:p>
    <w:bookmarkStart w:id="69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können Sie zwischen zwei Stufen wählen: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Static building data only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Static building data and energy readings</w:t>
      </w:r>
      <w:r>
        <w:t xml:space="preserve"> </w:t>
      </w:r>
      <w:r>
        <w:t xml:space="preserve">– zusätzlich die Verbrauchswerte</w:t>
      </w:r>
      <w:r>
        <w:t xml:space="preserve"> </w:t>
      </w:r>
      <w:r>
        <w:t xml:space="preserve">(Strom, Gas, Fernwärme, Wasser).</w:t>
      </w:r>
    </w:p>
    <w:bookmarkEnd w:id="69"/>
    <w:bookmarkStart w:id="70" w:name="aggregierte-ansichten-teilen"/>
    <w:p>
      <w:pPr>
        <w:pStyle w:val="Heading3"/>
      </w:pPr>
      <w:r>
        <w:t xml:space="preserve">Aggregierte Ansichten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Granergize</w:t>
      </w:r>
      <w:r>
        <w:t xml:space="preserve"> </w:t>
      </w:r>
      <w:r>
        <w:rPr>
          <w:b/>
          <w:bCs/>
        </w:rPr>
        <w:t xml:space="preserve">aggregierte Ansichten</w:t>
      </w:r>
      <w:r>
        <w:t xml:space="preserve"> </w:t>
      </w:r>
      <w:r>
        <w:t xml:space="preserve">(„Views”) 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Granergize bietet vier Aggregationsfunktionen: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70"/>
    <w:bookmarkStart w:id="71" w:name="rollenbasierte-freigaben"/>
    <w:p>
      <w:pPr>
        <w:pStyle w:val="Heading3"/>
      </w:pPr>
      <w:r>
        <w:t xml:space="preserve">Rollenbasierte Freigaben</w:t>
      </w:r>
    </w:p>
    <w:p>
      <w:pPr>
        <w:pStyle w:val="FirstParagraph"/>
      </w:pPr>
      <w:r>
        <w:t xml:space="preserve">In der Praxis haben unterschiedliche Partner unterschiedliche Bedürfnisse: Ein</w:t>
      </w:r>
      <w:r>
        <w:t xml:space="preserve"> </w:t>
      </w:r>
      <w:r>
        <w:t xml:space="preserve">Investor benötigt grobe Jahreszahlen, ein Energiemanager hingegen hochauflösende</w:t>
      </w:r>
      <w:r>
        <w:t xml:space="preserve"> </w:t>
      </w:r>
      <w:r>
        <w:t xml:space="preserve">15-Minuten-Intervalle. Mit der rollenbasierten Freigabe teilen Sie mit allen</w:t>
      </w:r>
      <w:r>
        <w:t xml:space="preserve"> </w:t>
      </w:r>
      <w:r>
        <w:t xml:space="preserve">Mitgliedern eines Datenraums, die eine bestimmte Rolle innehaben – die Auswahl</w:t>
      </w:r>
      <w:r>
        <w:t xml:space="preserve"> </w:t>
      </w:r>
      <w:r>
        <w:t xml:space="preserve">der Empfänger ergibt sich aus der Rolle.</w:t>
      </w:r>
    </w:p>
    <w:bookmarkEnd w:id="71"/>
    <w:bookmarkEnd w:id="72"/>
    <w:bookmarkStart w:id="84" w:name="vorgehensweise-beim-datenteilen"/>
    <w:p>
      <w:pPr>
        <w:pStyle w:val="Heading2"/>
      </w:pPr>
      <w:r>
        <w:t xml:space="preserve">Vorgehensweise beim Datenteilen</w:t>
      </w:r>
    </w:p>
    <w:bookmarkStart w:id="76" w:name="X02cc8b8c675205394a9898fb5cbb8306158c66e"/>
    <w:p>
      <w:pPr>
        <w:pStyle w:val="Heading3"/>
      </w:pPr>
      <w:r>
        <w:t xml:space="preserve">Einem Datenraum beitreten oder einen Raum erstellen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Datenraum</w:t>
      </w:r>
      <w:r>
        <w:t xml:space="preserve"> </w:t>
      </w:r>
      <w:r>
        <w:t xml:space="preserve">bündelt die Akteure, die untereinander Daten teilen, und ist</w:t>
      </w:r>
      <w:r>
        <w:t xml:space="preserve"> </w:t>
      </w:r>
      <w:r>
        <w:t xml:space="preserve">die Grundlage für die rollenbasierte Freigabe.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Raum erstellen:</w:t>
      </w:r>
      <w:r>
        <w:t xml:space="preserve"> </w:t>
      </w:r>
      <w:r>
        <w:t xml:space="preserve">„Host a data room” legt einen Raum auf Ihrem Pod an. Teilen</w:t>
      </w:r>
      <w:r>
        <w:t xml:space="preserve"> </w:t>
      </w:r>
      <w:r>
        <w:t xml:space="preserve">Sie dessen Link oder QR-Code, damit andere beitreten können.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Fügen Sie eine Raum-URI in das Feld ein und klicken Sie auf</w:t>
      </w:r>
      <w:r>
        <w:t xml:space="preserve"> </w:t>
      </w:r>
      <w:r>
        <w:t xml:space="preserve">„Add”, oder nutzen Sie „Scan QR code”.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Rolle wählen:</w:t>
      </w:r>
      <w:r>
        <w:t xml:space="preserve"> </w:t>
      </w:r>
      <w:r>
        <w:t xml:space="preserve">Weisen Sie sich Ihre Rolle(n) im Raum zu und speichern Sie</w:t>
      </w:r>
      <w:r>
        <w:t xml:space="preserve"> </w:t>
      </w:r>
      <w:r>
        <w:t xml:space="preserve">mit „Save roles”. Über diese Rollen können andere gezielt „By role” mit Ihnen</w:t>
      </w:r>
      <w:r>
        <w:t xml:space="preserve"> </w:t>
      </w:r>
      <w:r>
        <w:t xml:space="preserve">teilen. (Diese Raum-Rolle ist unabhängig von der Datenproduzenten-Rolle aus</w:t>
      </w:r>
      <w:r>
        <w:t xml:space="preserve"> </w:t>
      </w:r>
      <w:r>
        <w:t xml:space="preserve">Ihrem Profil.)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Raum erstellen oder beitreten und Rolle wählen" title="" id="74" name="Picture"/>
            <a:graphic>
              <a:graphicData uri="http://schemas.openxmlformats.org/drawingml/2006/picture">
                <pic:pic>
                  <pic:nvPicPr>
                    <pic:cNvPr descr="figures/room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Raum erstellen oder beitreten und Rolle wählen</w:t>
      </w:r>
    </w:p>
    <w:bookmarkEnd w:id="76"/>
    <w:bookmarkStart w:id="77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hat jedes Gebäude unter „Your buildings” eigene Symbole:</w:t>
      </w:r>
      <w:r>
        <w:t xml:space="preserve"> </w:t>
      </w:r>
      <w:r>
        <w:t xml:space="preserve">Bearbeiten, Energieausweis hochladen, Energie-Jahr erfassen, Teilen,</w:t>
      </w:r>
      <w:r>
        <w:t xml:space="preserve"> </w:t>
      </w:r>
      <w:r>
        <w:t xml:space="preserve">Herunterladen und Löschen.</w:t>
      </w:r>
    </w:p>
    <w:p>
      <w:pPr>
        <w:pStyle w:val="Compact"/>
        <w:numPr>
          <w:ilvl w:val="0"/>
          <w:numId w:val="1010"/>
        </w:numPr>
      </w:pPr>
      <w:r>
        <w:t xml:space="preserve">Klicken Sie beim gewünschten Gebäude auf das Teilen-Symbol. Der Dialog „Share</w:t>
      </w:r>
      <w:r>
        <w:t xml:space="preserve"> </w:t>
      </w:r>
      <w:r>
        <w:t xml:space="preserve">Building Data” öffnet sich.</w:t>
      </w:r>
    </w:p>
    <w:p>
      <w:pPr>
        <w:pStyle w:val="Compact"/>
        <w:numPr>
          <w:ilvl w:val="0"/>
          <w:numId w:val="1010"/>
        </w:numPr>
      </w:pPr>
      <w:r>
        <w:t xml:space="preserve">Wählen Sie, an wen geteilt wird: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(eine oder mehrere WebIDs</w:t>
      </w:r>
      <w:r>
        <w:t xml:space="preserve"> </w:t>
      </w:r>
      <w:r>
        <w:t xml:space="preserve">eingeben) oder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(eine Rolle wählen – geteilt wird mit allen</w:t>
      </w:r>
      <w:r>
        <w:t xml:space="preserve"> </w:t>
      </w:r>
      <w:r>
        <w:t xml:space="preserve">Raum-Mitgliedern, die diese Rolle haben).</w:t>
      </w:r>
    </w:p>
    <w:p>
      <w:pPr>
        <w:pStyle w:val="Compact"/>
        <w:numPr>
          <w:ilvl w:val="0"/>
          <w:numId w:val="1010"/>
        </w:numPr>
      </w:pPr>
      <w:r>
        <w:t xml:space="preserve">Wählen Sie die Freigabestufe („Static building data only” oder „Static</w:t>
      </w:r>
      <w:r>
        <w:t xml:space="preserve"> </w:t>
      </w:r>
      <w:r>
        <w:t xml:space="preserve">building data and energy readings”) und bestätigen Sie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Granergize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bookmarkEnd w:id="77"/>
    <w:bookmarkStart w:id="81" w:name="aggregierte-ansicht-erstellen-und-teilen"/>
    <w:p>
      <w:pPr>
        <w:pStyle w:val="Heading3"/>
      </w:pPr>
      <w:r>
        <w:t xml:space="preserve">Aggregierte Ansicht erstellen und teilen</w:t>
      </w:r>
    </w:p>
    <w:p>
      <w:pPr>
        <w:pStyle w:val="Compact"/>
        <w:numPr>
          <w:ilvl w:val="0"/>
          <w:numId w:val="1011"/>
        </w:numPr>
      </w:pPr>
      <w:r>
        <w:t xml:space="preserve">Wechseln Sie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 und klicken</w:t>
      </w:r>
      <w:r>
        <w:t xml:space="preserve"> </w:t>
      </w:r>
      <w:r>
        <w:t xml:space="preserve">Sie auf „Create View”.</w:t>
      </w:r>
    </w:p>
    <w:p>
      <w:pPr>
        <w:pStyle w:val="Compact"/>
        <w:numPr>
          <w:ilvl w:val="0"/>
          <w:numId w:val="1011"/>
        </w:numPr>
      </w:pPr>
      <w:r>
        <w:t xml:space="preserve">Geben Sie einen Namen ein, wählen Sie die zu aggregierenden Gebäude und</w:t>
      </w:r>
      <w:r>
        <w:t xml:space="preserve"> </w:t>
      </w:r>
      <w:r>
        <w:t xml:space="preserve">Kennzahlen sowie die Aggregatsfunktion und erstellen Sie die Ansicht.</w:t>
      </w:r>
    </w:p>
    <w:p>
      <w:pPr>
        <w:pStyle w:val="Compact"/>
        <w:numPr>
          <w:ilvl w:val="0"/>
          <w:numId w:val="1011"/>
        </w:numPr>
      </w:pPr>
      <w:r>
        <w:t xml:space="preserve">Teilen Sie die fertige Ansicht über das Teilen-Symbol mit der WebID des</w:t>
      </w:r>
      <w:r>
        <w:t xml:space="preserve"> </w:t>
      </w:r>
      <w:r>
        <w:t xml:space="preserve">Empfängers.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zur Erstellung aggregierter Ansichten" title="" id="79" name="Picture"/>
            <a:graphic>
              <a:graphicData uri="http://schemas.openxmlformats.org/drawingml/2006/picture">
                <pic:pic>
                  <pic:nvPicPr>
                    <pic:cNvPr descr="figures/create-view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zur Erstellung aggregierter Ansichten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81"/>
    <w:bookmarkStart w:id="82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</w:t>
      </w:r>
      <w:r>
        <w:t xml:space="preserve"> </w:t>
      </w:r>
      <w:r>
        <w:t xml:space="preserve">„Buildings shared with you”. Sie erscheinen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sodass Sie sie gemeinsam mit Ihren eigenen Gebäuden auswerten</w:t>
      </w:r>
      <w:r>
        <w:t xml:space="preserve"> </w:t>
      </w:r>
      <w:r>
        <w:t xml:space="preserve">können. Aggregierte Ansichten, die andere mit Ihnen geteilt haben, finden Sie</w:t>
      </w:r>
      <w:r>
        <w:t xml:space="preserve"> </w:t>
      </w:r>
      <w:r>
        <w:t xml:space="preserve">ebenda unter „Views shared with you”.</w:t>
      </w:r>
    </w:p>
    <w:bookmarkEnd w:id="82"/>
    <w:bookmarkStart w:id="83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Ansicht) unter „Shared with:” den Empfänger über</w:t>
      </w:r>
      <w:r>
        <w:t xml:space="preserve"> </w:t>
      </w:r>
      <w:r>
        <w:t xml:space="preserve">das Lösch-Symbol. Der Empfänger wird benachrichtigt; beim nächsten Abruf</w:t>
      </w:r>
      <w:r>
        <w:t xml:space="preserve"> </w:t>
      </w:r>
      <w:r>
        <w:t xml:space="preserve">verschwindet das Gebäude bzw. die Ansicht aus seiner Liste der mit ihm geteilten</w:t>
      </w:r>
      <w:r>
        <w:t xml:space="preserve"> </w:t>
      </w:r>
      <w:r>
        <w:t xml:space="preserve">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83"/>
    <w:bookmarkEnd w:id="84"/>
    <w:bookmarkEnd w:id="85"/>
    <w:bookmarkStart w:id="86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Granergize ist ein Projekt der Industriellen Gemeinschaftsforschung (IGF) und</w:t>
      </w:r>
      <w:r>
        <w:t xml:space="preserve"> </w:t>
      </w:r>
      <w:r>
        <w:t xml:space="preserve">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bookmarkEnd w:id="86"/>
    <w:bookmarkStart w:id="88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87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38" Target="media/rId38.png" /><Relationship Type="http://schemas.openxmlformats.org/officeDocument/2006/relationships/image" Id="rId28" Target="media/rId28.png" /><Relationship Type="http://schemas.openxmlformats.org/officeDocument/2006/relationships/image" Id="rId78" Target="media/rId78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3" Target="media/rId73.png" /><Relationship Type="http://schemas.openxmlformats.org/officeDocument/2006/relationships/image" Id="rId66" Target="media/rId66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hyperlink" Id="rId87" Target="https://finance.ec.europa.eu/sustainable-finance/tools-and-standards/eu-taxonomy-sustainable-activities_en" TargetMode="External" /><Relationship Type="http://schemas.openxmlformats.org/officeDocument/2006/relationships/hyperlink" Id="rId36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https://finance.ec.europa.eu/sustainable-finance/tools-and-standards/eu-taxonomy-sustainable-activities_en" TargetMode="External" /><Relationship Type="http://schemas.openxmlformats.org/officeDocument/2006/relationships/hyperlink" Id="rId36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2026-06-06T08:24:55Z</dcterms:created>
  <dcterms:modified xsi:type="dcterms:W3CDTF">2026-06-06T08:24:55Z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Juni 2026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