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8.png" ContentType="image/png"/>
  <Override PartName="/word/media/rId28.png" ContentType="image/png"/>
  <Override PartName="/word/media/rId85.png" ContentType="image/png"/>
  <Override PartName="/word/media/rId93.png" ContentType="image/png"/>
  <Override PartName="/word/media/rId69.png" ContentType="image/png"/>
  <Override PartName="/word/media/rId61.png" ContentType="image/png"/>
  <Override PartName="/word/media/rId57.png" ContentType="image/png"/>
  <Override PartName="/word/media/rId65.png" ContentType="image/png"/>
  <Override PartName="/word/media/rId81.png" ContentType="image/png"/>
  <Override PartName="/word/media/rId89.png" ContentType="image/png"/>
  <Override PartName="/word/media/rId97.png" ContentType="image/png"/>
  <Override PartName="/word/media/rId7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von Granergize – einer 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Granergize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Granergize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Granergize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Granergize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Granergize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Granergize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</w:t>
      </w:r>
    </w:p>
    <w:bookmarkEnd w:id="33"/>
    <w:bookmarkEnd w:id="34"/>
    <w:bookmarkStart w:id="73" w:name="granergize-in-der-praxis-nutzen"/>
    <w:p>
      <w:pPr>
        <w:pStyle w:val="Heading1"/>
      </w:pPr>
      <w:r>
        <w:t xml:space="preserve">Granergize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Granergize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Granergize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oder auf einen kommerziellen Anbieter umsteigen (siehe</w:t>
      </w:r>
      <w:r>
        <w:t xml:space="preserve"> </w:t>
      </w:r>
      <w:r>
        <w:t xml:space="preserve">Abschnitt „Datenschutz”).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Granergize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5ec234808e91e227c2728b892970507ac97e55"/>
    <w:p>
      <w:pPr>
        <w:pStyle w:val="Heading2"/>
      </w:pPr>
      <w:r>
        <w:t xml:space="preserve">Erste Anmeldung in der Granergize-Anwendung</w:t>
      </w:r>
    </w:p>
    <w:p>
      <w:pPr>
        <w:pStyle w:val="FirstParagraph"/>
      </w:pPr>
      <w:r>
        <w:t xml:space="preserve">Nachdem Sie Ihren Solid Pod eingerichtet haben, können Sie sich bei Granergize</w:t>
      </w:r>
      <w:r>
        <w:t xml:space="preserve"> </w:t>
      </w:r>
      <w:r>
        <w:t xml:space="preserve">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3"/>
        </w:numPr>
      </w:pPr>
      <w:r>
        <w:t xml:space="preserve">Öffnen Sie die Granergize-Webanwendung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3"/>
        </w:numPr>
      </w:pPr>
      <w:r>
        <w:t xml:space="preserve">Wählen Sie Ihren Identity Provider – den Dienst, bei dem Ihr Solid Pod liegt.</w:t>
      </w:r>
      <w:r>
        <w:t xml:space="preserve"> </w:t>
      </w:r>
      <w:r>
        <w:t xml:space="preserve">Wenn Sie Ihren Pod bei 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3"/>
        </w:numPr>
      </w:pPr>
      <w:r>
        <w:t xml:space="preserve">Melden Sie sich beim Anbieter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Granergize</w:t>
      </w:r>
      <w:r>
        <w:t xml:space="preserve"> </w:t>
      </w:r>
      <w:r>
        <w:t xml:space="preserve">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39" name="Picture"/>
            <a:graphic>
              <a:graphicData uri="http://schemas.openxmlformats.org/drawingml/2006/picture">
                <pic:pic>
                  <pic:nvPicPr>
                    <pic:cNvPr descr="figures/anmelde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Granergize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an, beispielhafte Demo-Gebäude hinzuzufügen („Add examples”); diesen Hinweis</w:t>
      </w:r>
      <w:r>
        <w:t xml:space="preserve"> </w:t>
      </w:r>
      <w:r>
        <w:t xml:space="preserve">können Sie auch ausblenden.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1"/>
    <w:bookmarkStart w:id="42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(über Ihren Pod-Anbieter gepflegt), nicht aus diesem</w:t>
      </w:r>
      <w:r>
        <w:t xml:space="preserve"> </w:t>
      </w:r>
      <w:r>
        <w:t xml:space="preserve">Dialog. Ist dort ein Name hinterlegt, erscheint er überall dort, wo Granergize</w:t>
      </w:r>
      <w:r>
        <w:t xml:space="preserve"> </w:t>
      </w:r>
      <w:r>
        <w:t xml:space="preserve">Sie als Person ausweist – etwa als Absender einer Freigabe.</w:t>
      </w:r>
    </w:p>
    <w:bookmarkEnd w:id="42"/>
    <w:bookmarkStart w:id="52" w:name="X445e733ce7bf1dd58052a274d528cd9f1260fab"/>
    <w:p>
      <w:pPr>
        <w:pStyle w:val="Heading2"/>
      </w:pPr>
      <w:r>
        <w:t xml:space="preserve">Wie Granergize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Granergize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 Energiedaten gehören Ihnen und liegen auf</w:t>
      </w:r>
      <w:r>
        <w:t xml:space="preserve"> </w:t>
      </w:r>
      <w:r>
        <w:t xml:space="preserve">Ihrem eigenen Solid Pod – nicht auf einem Server, den andere kontrollieren.</w:t>
      </w:r>
    </w:p>
    <w:bookmarkStart w:id="46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Granergize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4" name="Picture"/>
            <a:graphic>
              <a:graphicData uri="http://schemas.openxmlformats.org/drawingml/2006/picture">
                <pic:pic>
                  <pic:nvPicPr>
                    <pic:cNvPr descr="figures/wa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46"/>
    <w:bookmarkStart w:id="50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Granergize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Granergize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Granergize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48" name="Picture"/>
            <a:graphic>
              <a:graphicData uri="http://schemas.openxmlformats.org/drawingml/2006/picture">
                <pic:pic>
                  <pic:nvPicPr>
                    <pic:cNvPr descr="figures/wissensgrap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0"/>
    <w:bookmarkStart w:id="51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Granergize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1"/>
    <w:bookmarkEnd w:id="52"/>
    <w:bookmarkStart w:id="56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stehen zwei Wege zur Verfügung: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4" name="Picture"/>
            <a:graphic>
              <a:graphicData uri="http://schemas.openxmlformats.org/drawingml/2006/picture">
                <pic:pic>
                  <pic:nvPicPr>
                    <pic:cNvPr descr="figures/add-build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56"/>
    <w:bookmarkStart w:id="60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153329"/>
            <wp:effectExtent b="0" l="0" r="0" t="0"/>
            <wp:docPr descr="Aktionen je Gebäude im Tab „Manage”: bearbeiten, Dateien, Energiejahr, teilen, herunterladen, löschen" title="" id="58" name="Picture"/>
            <a:graphic>
              <a:graphicData uri="http://schemas.openxmlformats.org/drawingml/2006/picture">
                <pic:pic>
                  <pic:nvPicPr>
                    <pic:cNvPr descr="figures/manage-action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60"/>
    <w:bookmarkStart w:id="64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</w:t>
      </w:r>
      <w:r>
        <w:t xml:space="preserve"> </w:t>
      </w:r>
      <w:r>
        <w:t xml:space="preserve">erfassten Jahre mit ihren Werten auf – so sehen Sie auf einen Blick, was</w:t>
      </w:r>
      <w:r>
        <w:t xml:space="preserve"> </w:t>
      </w:r>
      <w:r>
        <w:t xml:space="preserve">gespeichert ist; darunter steht das Eingabeformular.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62" name="Picture"/>
            <a:graphic>
              <a:graphicData uri="http://schemas.openxmlformats.org/drawingml/2006/picture">
                <pic:pic>
                  <pic:nvPicPr>
                    <pic:cNvPr descr="figures/energy-yea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4"/>
    <w:bookmarkStart w:id="68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Sind weitere Gebäude</w:t>
      </w:r>
      <w:r>
        <w:t xml:space="preserve"> </w:t>
      </w:r>
      <w:r>
        <w:rPr>
          <w:b/>
          <w:bCs/>
        </w:rPr>
        <w:t xml:space="preserve">mit demselben Betreiber</w:t>
      </w:r>
      <w:r>
        <w:t xml:space="preserve"> </w:t>
      </w:r>
      <w:r>
        <w:t xml:space="preserve">(Feld „Operated By”) und Verbrauchsdaten für</w:t>
      </w:r>
      <w:r>
        <w:t xml:space="preserve"> </w:t>
      </w:r>
      <w:r>
        <w:t xml:space="preserve">dasselbe Jahr vorhanden, wird Ihr Verbrauch zusätzlich gegen diesen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 eingeordnet. Maßgeblich ist also der</w:t>
      </w:r>
      <w:r>
        <w:t xml:space="preserve"> </w:t>
      </w:r>
      <w:r>
        <w:t xml:space="preserve">eingetragene Betreiber, nicht etwa gleiche Fläche oder gleiches Baujahr – ohne</w:t>
      </w:r>
      <w:r>
        <w:t xml:space="preserve"> </w:t>
      </w:r>
      <w:r>
        <w:t xml:space="preserve">einen zweiten Betreiber-Gleichen mit Daten erscheint kein Benchmark.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66" name="Picture"/>
            <a:graphic>
              <a:graphicData uri="http://schemas.openxmlformats.org/drawingml/2006/picture">
                <pic:pic>
                  <pic:nvPicPr>
                    <pic:cNvPr descr="figures/map-tab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bookmarkEnd w:id="68"/>
    <w:bookmarkStart w:id="72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70" name="Picture"/>
            <a:graphic>
              <a:graphicData uri="http://schemas.openxmlformats.org/drawingml/2006/picture">
                <pic:pic>
                  <pic:nvPicPr>
                    <pic:cNvPr descr="figures/energy-len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72"/>
    <w:bookmarkEnd w:id="73"/>
    <w:bookmarkStart w:id="103" w:name="X7d72782c915f60697958dd391a69efa388f028d"/>
    <w:p>
      <w:pPr>
        <w:pStyle w:val="Heading1"/>
      </w:pPr>
      <w:r>
        <w:t xml:space="preserve">Daten gemeinsam nutzen und Mehrwerte schaffen</w:t>
      </w:r>
    </w:p>
    <w:bookmarkStart w:id="80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Granergize" title="" id="75" name="Picture"/>
            <a:graphic>
              <a:graphicData uri="http://schemas.openxmlformats.org/drawingml/2006/picture">
                <pic:pic>
                  <pic:nvPicPr>
                    <pic:cNvPr descr="figures/sharing-vergleich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Granergize</w:t>
      </w:r>
    </w:p>
    <w:bookmarkStart w:id="77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zurückhalten.</w:t>
      </w:r>
    </w:p>
    <w:bookmarkEnd w:id="77"/>
    <w:bookmarkStart w:id="78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Granergize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Granergize bietet vier Aggregationsfunktionen: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78"/>
    <w:bookmarkStart w:id="79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Granergize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79"/>
    <w:bookmarkEnd w:id="80"/>
    <w:bookmarkStart w:id="102" w:name="vorgehensweise-beim-datenteilen"/>
    <w:p>
      <w:pPr>
        <w:pStyle w:val="Heading2"/>
      </w:pPr>
      <w:r>
        <w:t xml:space="preserve">Vorgehensweise beim Datenteilen</w:t>
      </w:r>
    </w:p>
    <w:bookmarkStart w:id="84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82" name="Picture"/>
            <a:graphic>
              <a:graphicData uri="http://schemas.openxmlformats.org/drawingml/2006/picture">
                <pic:pic>
                  <pic:nvPicPr>
                    <pic:cNvPr descr="figures/room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84"/>
    <w:bookmarkStart w:id="88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Granergize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86" name="Picture"/>
            <a:graphic>
              <a:graphicData uri="http://schemas.openxmlformats.org/drawingml/2006/picture">
                <pic:pic>
                  <pic:nvPicPr>
                    <pic:cNvPr descr="figures/contact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88"/>
    <w:bookmarkStart w:id="92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15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5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5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90" name="Picture"/>
            <a:graphic>
              <a:graphicData uri="http://schemas.openxmlformats.org/drawingml/2006/picture">
                <pic:pic>
                  <pic:nvPicPr>
                    <pic:cNvPr descr="figures/share-building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Granergize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bookmarkEnd w:id="92"/>
    <w:bookmarkStart w:id="96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16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16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</w:t>
      </w:r>
    </w:p>
    <w:p>
      <w:pPr>
        <w:pStyle w:val="Compact"/>
        <w:numPr>
          <w:ilvl w:val="0"/>
          <w:numId w:val="1016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94" name="Picture"/>
            <a:graphic>
              <a:graphicData uri="http://schemas.openxmlformats.org/drawingml/2006/picture">
                <pic:pic>
                  <pic:nvPicPr>
                    <pic:cNvPr descr="figures/create-view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96"/>
    <w:bookmarkStart w:id="100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mit Ihnen geteilte Gebäude unter „Buildings shared with you”" title="" id="98" name="Picture"/>
            <a:graphic>
              <a:graphicData uri="http://schemas.openxmlformats.org/drawingml/2006/picture">
                <pic:pic>
                  <pic:nvPicPr>
                    <pic:cNvPr descr="figures/shared-with-you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mit Ihnen geteilte Gebäude unter „Buildings shared with you”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00"/>
    <w:bookmarkStart w:id="101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01"/>
    <w:bookmarkEnd w:id="102"/>
    <w:bookmarkEnd w:id="103"/>
    <w:bookmarkStart w:id="104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Granergize ist ein Projekt der Industriellen Gemeinschaftsforschung (IGF) und</w:t>
      </w:r>
      <w:r>
        <w:t xml:space="preserve"> </w:t>
      </w:r>
      <w:r>
        <w:t xml:space="preserve">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bookmarkEnd w:id="104"/>
    <w:bookmarkStart w:id="106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05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28" Target="media/rId28.png" /><Relationship Type="http://schemas.openxmlformats.org/officeDocument/2006/relationships/image" Id="rId85" Target="media/rId85.png" /><Relationship Type="http://schemas.openxmlformats.org/officeDocument/2006/relationships/image" Id="rId93" Target="media/rId93.png" /><Relationship Type="http://schemas.openxmlformats.org/officeDocument/2006/relationships/image" Id="rId69" Target="media/rId69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97" Target="media/rId97.png" /><Relationship Type="http://schemas.openxmlformats.org/officeDocument/2006/relationships/image" Id="rId74" Target="media/rId7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105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2026-06-09T14:56:33Z</dcterms:created>
  <dcterms:modified xsi:type="dcterms:W3CDTF">2026-06-09T14:56:33Z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