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0B9AA8F4" w:rsidR="006921B5" w:rsidRDefault="006921B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302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02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004B7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9AB67F" w14:textId="3D351E94" w:rsidR="00C97EA3" w:rsidRPr="003652B0" w:rsidRDefault="003652B0" w:rsidP="00C97EA3">
      <w:pPr>
        <w:pStyle w:val="a5"/>
        <w:spacing w:line="252" w:lineRule="auto"/>
        <w:ind w:firstLine="709"/>
      </w:pPr>
      <w:r w:rsidRPr="003652B0">
        <w:t xml:space="preserve">В </w:t>
      </w:r>
      <w:r w:rsidR="005302D8">
        <w:t>сентябре</w:t>
      </w:r>
      <w:r w:rsidRPr="003652B0">
        <w:t xml:space="preserve"> 2021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2F1A3111" w:rsidR="00C97EA3" w:rsidRPr="003652B0" w:rsidRDefault="00C97EA3" w:rsidP="00B062F8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B062F8" w:rsidRPr="00B062F8">
        <w:t>114</w:t>
      </w:r>
      <w:r w:rsidR="00B062F8">
        <w:t>,2</w:t>
      </w:r>
      <w:r w:rsidRPr="003652B0">
        <w:t xml:space="preserve"> млн. рублей;</w:t>
      </w:r>
    </w:p>
    <w:p w14:paraId="4D88A813" w14:textId="7FC94B0E" w:rsidR="00C97EA3" w:rsidRDefault="00C97EA3" w:rsidP="005E7680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5E7680" w:rsidRPr="005E7680">
        <w:t>145</w:t>
      </w:r>
      <w:r w:rsidR="005E7680">
        <w:t>,2</w:t>
      </w:r>
      <w:r w:rsidRPr="002A2F9B">
        <w:t xml:space="preserve"> </w:t>
      </w:r>
      <w:r w:rsidRPr="003652B0">
        <w:t>млн. рублей</w:t>
      </w:r>
      <w:r>
        <w:t>;</w:t>
      </w:r>
    </w:p>
    <w:p w14:paraId="0EA4B054" w14:textId="0A7BE181" w:rsidR="00C97EA3" w:rsidRDefault="00C97EA3" w:rsidP="006B1E44">
      <w:pPr>
        <w:pStyle w:val="a5"/>
        <w:spacing w:line="252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="006B1E44" w:rsidRPr="006B1E44">
        <w:t>78</w:t>
      </w:r>
      <w:r w:rsidR="006B1E44">
        <w:t>,</w:t>
      </w:r>
      <w:r w:rsidR="006B1E44" w:rsidRPr="006B1E44">
        <w:t>1</w:t>
      </w:r>
      <w:r>
        <w:t> млн. рублей</w:t>
      </w:r>
      <w:r w:rsidRPr="00326627">
        <w:t>.</w:t>
      </w:r>
    </w:p>
    <w:p w14:paraId="787C3B74" w14:textId="31A5E3CF" w:rsidR="00FD2671" w:rsidRPr="008369BD" w:rsidRDefault="00FD2671" w:rsidP="001655BE">
      <w:pPr>
        <w:pStyle w:val="a5"/>
        <w:spacing w:line="252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1655BE" w:rsidRPr="001655BE">
        <w:t>257</w:t>
      </w:r>
      <w:r w:rsidR="001655BE">
        <w:t xml:space="preserve">,7 </w:t>
      </w:r>
      <w:r w:rsidRPr="008369BD">
        <w:t xml:space="preserve">млн. рублей, возвращенные с депозитов ВЭБ.РФ в </w:t>
      </w:r>
      <w:r w:rsidR="001655BE">
        <w:t>августе</w:t>
      </w:r>
      <w:r w:rsidRPr="008369BD">
        <w:t xml:space="preserve"> 202</w:t>
      </w:r>
      <w:r>
        <w:t>1</w:t>
      </w:r>
      <w:r w:rsidRPr="008369BD">
        <w:t xml:space="preserve"> г., конвертированы в</w:t>
      </w:r>
      <w:r w:rsidR="00973FCE">
        <w:t xml:space="preserve"> </w:t>
      </w:r>
      <w:r w:rsidR="00973FCE" w:rsidRPr="00973FCE">
        <w:t>22,</w:t>
      </w:r>
      <w:r w:rsidR="00973FCE">
        <w:t>8</w:t>
      </w:r>
      <w:r>
        <w:t xml:space="preserve"> </w:t>
      </w:r>
      <w:r w:rsidRPr="00BB7CED">
        <w:t>млн. китайских юаней</w:t>
      </w:r>
      <w:r w:rsidRPr="008369BD">
        <w:t>.</w:t>
      </w:r>
    </w:p>
    <w:p w14:paraId="3D308335" w14:textId="16C2342E" w:rsidR="006921B5" w:rsidRPr="000B3D1A" w:rsidRDefault="43DB4546" w:rsidP="004318B5">
      <w:pPr>
        <w:pStyle w:val="a5"/>
        <w:spacing w:line="252" w:lineRule="auto"/>
        <w:ind w:firstLine="709"/>
      </w:pPr>
      <w:r>
        <w:t xml:space="preserve">По состоянию на 1 </w:t>
      </w:r>
      <w:r w:rsidR="00973FCE">
        <w:t>ок</w:t>
      </w:r>
      <w:r w:rsidR="00F010C2">
        <w:t xml:space="preserve">тября </w:t>
      </w:r>
      <w:r>
        <w:t>202</w:t>
      </w:r>
      <w:r w:rsidR="004D540A">
        <w:t>1</w:t>
      </w:r>
      <w:r>
        <w:t xml:space="preserve"> г. объем ФНБ составил </w:t>
      </w:r>
      <w:r w:rsidR="002272A7" w:rsidRPr="002272A7">
        <w:t>13 898 521,8</w:t>
      </w:r>
      <w:r w:rsidR="00F010C2" w:rsidRPr="00F010C2">
        <w:t xml:space="preserve"> </w:t>
      </w:r>
      <w:r w:rsidRPr="004A0648">
        <w:t xml:space="preserve">млн. рублей или </w:t>
      </w:r>
      <w:r w:rsidR="00FA1DC5" w:rsidRPr="00BC7C8B">
        <w:t>1</w:t>
      </w:r>
      <w:r w:rsidR="00F010C2">
        <w:t>2</w:t>
      </w:r>
      <w:r w:rsidR="00FA1DC5" w:rsidRPr="00BC7C8B">
        <w:t>,</w:t>
      </w:r>
      <w:r w:rsidR="002272A7">
        <w:t>0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1E1A28">
        <w:rPr>
          <w:szCs w:val="28"/>
        </w:rPr>
        <w:t xml:space="preserve"> </w:t>
      </w:r>
      <w:r w:rsidR="001E1A28" w:rsidRPr="001E1A28">
        <w:t>191</w:t>
      </w:r>
      <w:r w:rsidR="001E1A28">
        <w:t> </w:t>
      </w:r>
      <w:r w:rsidR="001E1A28" w:rsidRPr="001E1A28">
        <w:t>016,6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C74BE8">
      <w:pPr>
        <w:pStyle w:val="a5"/>
        <w:spacing w:line="252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F06D1D">
      <w:pPr>
        <w:pStyle w:val="a5"/>
        <w:spacing w:line="252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C74BE8">
      <w:pPr>
        <w:pStyle w:val="a5"/>
        <w:spacing w:line="252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676B55B6" w:rsidR="0063635E" w:rsidRPr="00BB7CED" w:rsidRDefault="00FA7E2C" w:rsidP="00C74BE8">
      <w:pPr>
        <w:pStyle w:val="a5"/>
        <w:spacing w:line="252" w:lineRule="auto"/>
        <w:ind w:firstLine="709"/>
      </w:pPr>
      <w:r w:rsidRPr="00BB7CED">
        <w:t xml:space="preserve">- </w:t>
      </w:r>
      <w:r w:rsidR="0063635E" w:rsidRPr="0063635E">
        <w:t xml:space="preserve">226 648,0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2E7AC0">
      <w:pPr>
        <w:pStyle w:val="a5"/>
        <w:spacing w:line="252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222A0648" w:rsidR="00F820EA" w:rsidRPr="00532A7A" w:rsidRDefault="00091206" w:rsidP="002E7AC0">
      <w:pPr>
        <w:pStyle w:val="a5"/>
        <w:spacing w:line="252" w:lineRule="auto"/>
        <w:ind w:firstLine="709"/>
      </w:pPr>
      <w:r>
        <w:t xml:space="preserve">- </w:t>
      </w:r>
      <w:r w:rsidR="00CB750B" w:rsidRPr="00CB750B">
        <w:t xml:space="preserve">337,5 </w:t>
      </w:r>
      <w:r w:rsidR="003C0890">
        <w:t>млн. рублей;</w:t>
      </w:r>
    </w:p>
    <w:p w14:paraId="6C5EB32D" w14:textId="48878EAD" w:rsidR="006921B5" w:rsidRPr="000B3D1A" w:rsidRDefault="006921B5" w:rsidP="00CB750B">
      <w:pPr>
        <w:pStyle w:val="a5"/>
        <w:spacing w:line="252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Pr="006D776A">
        <w:t xml:space="preserve"> </w:t>
      </w:r>
      <w:r w:rsidR="00CB750B" w:rsidRPr="00CB750B">
        <w:t>531</w:t>
      </w:r>
      <w:r w:rsidR="00CB750B">
        <w:t xml:space="preserve"> </w:t>
      </w:r>
      <w:r w:rsidR="00CB750B" w:rsidRPr="00CB750B">
        <w:t>760,9</w:t>
      </w:r>
      <w:r w:rsidR="007C2D52" w:rsidRPr="007C2D52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C74BE8">
      <w:pPr>
        <w:pStyle w:val="a5"/>
        <w:spacing w:line="25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C74BE8">
      <w:pPr>
        <w:pStyle w:val="a5"/>
        <w:spacing w:line="25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1B757C3C" w:rsidR="00606684" w:rsidRDefault="43DB4546" w:rsidP="003D01AA">
      <w:pPr>
        <w:pStyle w:val="a5"/>
        <w:spacing w:line="25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lastRenderedPageBreak/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DA1E4F" w:rsidRPr="00DA1E4F">
        <w:t xml:space="preserve">3 798 672,9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4EF0DDC6" w:rsidR="006921B5" w:rsidRPr="000B3D1A" w:rsidRDefault="00606684" w:rsidP="00C74BE8">
      <w:pPr>
        <w:pStyle w:val="a5"/>
        <w:spacing w:line="25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DA1E4F" w:rsidRPr="00DA1E4F">
        <w:t xml:space="preserve">58 583,3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29E56AB2" w:rsidR="003A748C" w:rsidRPr="000B3D1A" w:rsidRDefault="003A748C" w:rsidP="0040078E">
      <w:pPr>
        <w:pStyle w:val="a5"/>
        <w:spacing w:line="252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1C0F83">
        <w:t>ок</w:t>
      </w:r>
      <w:r w:rsidR="00753ED1" w:rsidRPr="00293504">
        <w:t>тября</w:t>
      </w:r>
      <w:r w:rsidR="00357886" w:rsidRPr="00293504">
        <w:t xml:space="preserve"> </w:t>
      </w:r>
      <w:r w:rsidRPr="00293504">
        <w:t>202</w:t>
      </w:r>
      <w:r w:rsidR="00357886" w:rsidRPr="00293504">
        <w:t>1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1C0F83" w:rsidRPr="001C0F83">
        <w:t>8 279 660,</w:t>
      </w:r>
      <w:r w:rsidR="004270BD">
        <w:t>4</w:t>
      </w:r>
      <w:r w:rsidR="001C0F83" w:rsidRPr="001C0F83">
        <w:t xml:space="preserve"> </w:t>
      </w:r>
      <w:r w:rsidRPr="000B3D1A">
        <w:t xml:space="preserve">млн. рублей или </w:t>
      </w:r>
      <w:r w:rsidR="001C0F83" w:rsidRPr="001C0F83">
        <w:t>113 792,</w:t>
      </w:r>
      <w:r w:rsidR="004270BD">
        <w:t>9</w:t>
      </w:r>
      <w:bookmarkStart w:id="1" w:name="_GoBack"/>
      <w:bookmarkEnd w:id="1"/>
      <w:r w:rsidR="001C0F83" w:rsidRPr="001C0F83">
        <w:t xml:space="preserve"> </w:t>
      </w:r>
      <w:r w:rsidRPr="000B3D1A">
        <w:t>млн. долл. США (</w:t>
      </w:r>
      <w:r w:rsidR="00854C26" w:rsidRPr="0040078E">
        <w:t>7</w:t>
      </w:r>
      <w:r w:rsidRPr="0040078E">
        <w:t>,</w:t>
      </w:r>
      <w:r w:rsidR="001C0F83">
        <w:t>2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6539D88C" w:rsidR="009A006B" w:rsidRDefault="006921B5" w:rsidP="0085259C">
      <w:pPr>
        <w:pStyle w:val="a5"/>
        <w:spacing w:line="252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E136B0">
        <w:t>0</w:t>
      </w:r>
      <w:r w:rsidR="00874EA8" w:rsidRPr="00874EA8">
        <w:t xml:space="preserve"> </w:t>
      </w:r>
      <w:r w:rsidR="00E136B0">
        <w:t>сентября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4318B5" w:rsidRPr="004318B5">
        <w:t>(-)</w:t>
      </w:r>
      <w:r w:rsidR="00065A0C" w:rsidRPr="00065A0C">
        <w:t>46,2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4318B5">
        <w:br/>
        <w:t>(</w:t>
      </w:r>
      <w:r w:rsidR="004318B5" w:rsidRPr="004318B5">
        <w:t>-</w:t>
      </w:r>
      <w:r w:rsidR="004318B5">
        <w:t>)</w:t>
      </w:r>
      <w:r w:rsidR="00065A0C" w:rsidRPr="00065A0C">
        <w:t>3 358,9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451EFC2E" w:rsidR="000254FA" w:rsidRPr="00FB2F50" w:rsidRDefault="000254FA" w:rsidP="00A610E2">
      <w:pPr>
        <w:pStyle w:val="a5"/>
        <w:spacing w:line="252" w:lineRule="auto"/>
        <w:ind w:firstLine="709"/>
      </w:pPr>
      <w:r w:rsidRPr="00826CD3"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954374">
        <w:t>0</w:t>
      </w:r>
      <w:r w:rsidR="00880894">
        <w:t> </w:t>
      </w:r>
      <w:r w:rsidR="00294B3F">
        <w:t>сентября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BA024F" w:rsidRPr="00BA024F">
        <w:t>(-)</w:t>
      </w:r>
      <w:r w:rsidR="003377C6" w:rsidRPr="003377C6">
        <w:t>390 692,8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7DF3FCB4" w:rsidR="000254FA" w:rsidRPr="00275936" w:rsidRDefault="000254FA" w:rsidP="0010601B">
      <w:pPr>
        <w:pStyle w:val="a5"/>
        <w:spacing w:line="252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(</w:t>
      </w:r>
      <w:r w:rsidR="00BA024F" w:rsidRPr="00BA024F">
        <w:t>-</w:t>
      </w:r>
      <w:r w:rsidR="00BA024F">
        <w:t>)</w:t>
      </w:r>
      <w:r w:rsidR="00986EC3" w:rsidRPr="00986EC3">
        <w:t>382 762,1</w:t>
      </w:r>
      <w:r w:rsidR="0094074C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BA024F" w:rsidRPr="00BA024F">
        <w:t>(-)</w:t>
      </w:r>
      <w:r w:rsidR="00986EC3" w:rsidRPr="00986EC3">
        <w:t>341 376,9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986EC3" w:rsidRPr="00986EC3">
        <w:t>(-)41 385,2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7CE32F56" w:rsidR="000254FA" w:rsidRPr="000B3D1A" w:rsidRDefault="000254FA" w:rsidP="007952CC">
      <w:pPr>
        <w:pStyle w:val="a5"/>
        <w:spacing w:line="25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7A54DA">
        <w:t>(</w:t>
      </w:r>
      <w:r w:rsidR="007A54DA" w:rsidRPr="007A54DA">
        <w:t>-</w:t>
      </w:r>
      <w:r w:rsidR="007A54DA">
        <w:t>)</w:t>
      </w:r>
      <w:r w:rsidR="009D3C89" w:rsidRPr="009D3C89">
        <w:t>3 344,7</w:t>
      </w:r>
      <w:r w:rsidR="00CD4CF3">
        <w:t xml:space="preserve"> </w:t>
      </w:r>
      <w:r w:rsidRPr="000B3D1A">
        <w:t>млн. рублей;</w:t>
      </w:r>
    </w:p>
    <w:p w14:paraId="1832CA6E" w14:textId="188ABB2C" w:rsidR="00024418" w:rsidRDefault="000254FA" w:rsidP="0091630A">
      <w:pPr>
        <w:pStyle w:val="a5"/>
        <w:spacing w:line="25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91630A">
        <w:t>(</w:t>
      </w:r>
      <w:r w:rsidR="0091630A" w:rsidRPr="0091630A">
        <w:t>-</w:t>
      </w:r>
      <w:r w:rsidR="0091630A">
        <w:t>)</w:t>
      </w:r>
      <w:r w:rsidR="009D3C89" w:rsidRPr="009D3C89">
        <w:t>4 586,0</w:t>
      </w:r>
      <w:r w:rsidR="00AB7192">
        <w:t xml:space="preserve"> </w:t>
      </w:r>
      <w:r w:rsidRPr="000B3D1A">
        <w:t>млн. рублей.</w:t>
      </w:r>
    </w:p>
    <w:p w14:paraId="7BA329DC" w14:textId="157BB7C3" w:rsidR="00104A25" w:rsidRDefault="00104A2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A657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118C6177" w14:textId="77777777" w:rsidR="00A657C4" w:rsidRDefault="00104A25" w:rsidP="00E168D8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 w:rsidRPr="00E168D8">
        <w:t xml:space="preserve">а) </w:t>
      </w:r>
      <w:r w:rsidR="00A657C4" w:rsidRPr="008958C9">
        <w:rPr>
          <w:rStyle w:val="CharStyle5"/>
          <w:color w:val="000000"/>
          <w:sz w:val="28"/>
          <w:szCs w:val="28"/>
        </w:rPr>
        <w:t xml:space="preserve">на депозитах в </w:t>
      </w:r>
      <w:r w:rsidR="00A657C4" w:rsidRPr="004D7206">
        <w:rPr>
          <w:rStyle w:val="CharStyle5"/>
          <w:color w:val="000000"/>
          <w:sz w:val="28"/>
          <w:szCs w:val="28"/>
        </w:rPr>
        <w:t>ВЭБ.РФ</w:t>
      </w:r>
      <w:r w:rsidR="00A657C4" w:rsidRPr="008958C9">
        <w:rPr>
          <w:rStyle w:val="CharStyle5"/>
          <w:color w:val="000000"/>
          <w:sz w:val="28"/>
          <w:szCs w:val="28"/>
        </w:rPr>
        <w:t xml:space="preserve"> – в сумме </w:t>
      </w:r>
      <w:r w:rsidR="00A657C4" w:rsidRPr="00A657C4">
        <w:t>10 257,4</w:t>
      </w:r>
      <w:r w:rsidR="00A657C4" w:rsidRPr="00373204">
        <w:rPr>
          <w:rStyle w:val="CharStyle5"/>
          <w:color w:val="000000"/>
          <w:sz w:val="28"/>
          <w:szCs w:val="28"/>
        </w:rPr>
        <w:t xml:space="preserve"> млн. рублей, что эквивалентно</w:t>
      </w:r>
      <w:r w:rsidR="00A657C4">
        <w:rPr>
          <w:rStyle w:val="CharStyle5"/>
          <w:color w:val="000000"/>
          <w:sz w:val="28"/>
          <w:szCs w:val="28"/>
        </w:rPr>
        <w:t xml:space="preserve"> </w:t>
      </w:r>
    </w:p>
    <w:p w14:paraId="5D0BBA08" w14:textId="0803C324" w:rsidR="00A657C4" w:rsidRDefault="00A657C4" w:rsidP="00A657C4">
      <w:pPr>
        <w:widowControl/>
        <w:jc w:val="both"/>
      </w:pPr>
      <w:r w:rsidRPr="00A657C4">
        <w:rPr>
          <w:color w:val="auto"/>
          <w:sz w:val="28"/>
          <w:szCs w:val="20"/>
        </w:rPr>
        <w:t>140,5</w:t>
      </w:r>
      <w:r>
        <w:rPr>
          <w:rStyle w:val="CharStyle5"/>
          <w:sz w:val="28"/>
          <w:szCs w:val="28"/>
        </w:rPr>
        <w:t xml:space="preserve"> млн. долл. США</w:t>
      </w:r>
      <w:r w:rsidRPr="002C5096">
        <w:rPr>
          <w:rStyle w:val="CharStyle5"/>
          <w:sz w:val="28"/>
          <w:szCs w:val="28"/>
        </w:rPr>
        <w:t>;</w:t>
      </w:r>
    </w:p>
    <w:p w14:paraId="07359AB9" w14:textId="2FCA78FF" w:rsidR="00C25CEC" w:rsidRDefault="00A657C4" w:rsidP="00041069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>
        <w:t xml:space="preserve">б) </w:t>
      </w:r>
      <w:r w:rsidR="00E168D8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C02B3D" w:rsidRPr="00C02B3D">
        <w:t>353,2</w:t>
      </w:r>
      <w:r w:rsidR="00E168D8" w:rsidRPr="00E168D8">
        <w:t xml:space="preserve"> млн. рублей, что эквивалентно </w:t>
      </w:r>
      <w:r w:rsidR="00C02B3D" w:rsidRPr="00C02B3D">
        <w:t>4,9</w:t>
      </w:r>
      <w:r w:rsidR="00E168D8" w:rsidRPr="00E168D8">
        <w:t xml:space="preserve"> млн. долларов США</w:t>
      </w:r>
      <w:r w:rsidR="00041069">
        <w:rPr>
          <w:rStyle w:val="CharStyle5"/>
          <w:color w:val="000000"/>
          <w:sz w:val="28"/>
          <w:szCs w:val="28"/>
        </w:rPr>
        <w:t>.</w:t>
      </w:r>
    </w:p>
    <w:p w14:paraId="4215129C" w14:textId="44AD8D40" w:rsidR="005A3959" w:rsidRPr="000B3D1A" w:rsidRDefault="005A3959" w:rsidP="00B447BB">
      <w:pPr>
        <w:pStyle w:val="a5"/>
        <w:spacing w:line="252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5B669B" w:rsidRP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>246</w:t>
      </w:r>
      <w:r w:rsid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B669B" w:rsidRP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>767,4</w:t>
      </w:r>
      <w:r w:rsid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t>млн. рублей, что эквивалентно</w:t>
      </w:r>
      <w:r w:rsidR="001822A8">
        <w:t xml:space="preserve"> </w:t>
      </w:r>
      <w:r w:rsidR="006956A0" w:rsidRPr="006956A0">
        <w:t>3</w:t>
      </w:r>
      <w:r w:rsidR="006956A0">
        <w:t xml:space="preserve"> </w:t>
      </w:r>
      <w:r w:rsidR="006956A0" w:rsidRPr="006956A0">
        <w:t>360,9</w:t>
      </w:r>
      <w:r w:rsidR="00E317AC">
        <w:t xml:space="preserve"> </w:t>
      </w:r>
      <w:r>
        <w:t>млн. долл. США.</w:t>
      </w:r>
    </w:p>
    <w:p w14:paraId="02EB378F" w14:textId="77777777" w:rsidR="006921B5" w:rsidRPr="000B3D1A" w:rsidRDefault="006921B5" w:rsidP="00C74BE8">
      <w:pPr>
        <w:pStyle w:val="a5"/>
        <w:spacing w:line="252" w:lineRule="auto"/>
        <w:ind w:firstLine="709"/>
      </w:pPr>
    </w:p>
    <w:p w14:paraId="3C04B774" w14:textId="0841C5BF" w:rsidR="006921B5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lastRenderedPageBreak/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189E93E1" w14:textId="5E5E5455" w:rsidR="005C334C" w:rsidRDefault="43DB4546" w:rsidP="005C334C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>Московская Биржа 3</w:t>
      </w:r>
      <w:r w:rsidR="00973FCE">
        <w:t>0</w:t>
      </w:r>
      <w:r w:rsidR="005C334C" w:rsidRPr="00024F85">
        <w:t xml:space="preserve"> </w:t>
      </w:r>
      <w:r w:rsidR="00973FCE">
        <w:t>сентября</w:t>
      </w:r>
      <w:r w:rsidR="005C334C" w:rsidRPr="00024F85">
        <w:t xml:space="preserve"> 2021 г.</w:t>
      </w:r>
    </w:p>
    <w:p w14:paraId="407ACA3F" w14:textId="26F0EC0A" w:rsidR="43DB4546" w:rsidRDefault="43DB4546" w:rsidP="43DB454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14A24DD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0BD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4270BD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6080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6440"/>
    <w:rsid w:val="000B76AB"/>
    <w:rsid w:val="000C1A6F"/>
    <w:rsid w:val="000C7296"/>
    <w:rsid w:val="000D0555"/>
    <w:rsid w:val="000D085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2CFD"/>
    <w:rsid w:val="001333BF"/>
    <w:rsid w:val="00133B75"/>
    <w:rsid w:val="00134776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E1786"/>
    <w:rsid w:val="001E1A28"/>
    <w:rsid w:val="001E1D98"/>
    <w:rsid w:val="001E3742"/>
    <w:rsid w:val="001E3B3A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78D1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87DBD"/>
    <w:rsid w:val="00292860"/>
    <w:rsid w:val="00293504"/>
    <w:rsid w:val="00294081"/>
    <w:rsid w:val="002941AD"/>
    <w:rsid w:val="00294B3F"/>
    <w:rsid w:val="00294FDC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06F01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1AA"/>
    <w:rsid w:val="003D071B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3BBC"/>
    <w:rsid w:val="00434120"/>
    <w:rsid w:val="00435CF9"/>
    <w:rsid w:val="00436D4E"/>
    <w:rsid w:val="004370C4"/>
    <w:rsid w:val="004379CA"/>
    <w:rsid w:val="00437EA8"/>
    <w:rsid w:val="00440BA1"/>
    <w:rsid w:val="00441844"/>
    <w:rsid w:val="00441D8F"/>
    <w:rsid w:val="004426BD"/>
    <w:rsid w:val="0044306C"/>
    <w:rsid w:val="00445B43"/>
    <w:rsid w:val="004463ED"/>
    <w:rsid w:val="00447ED8"/>
    <w:rsid w:val="004507B5"/>
    <w:rsid w:val="0045239B"/>
    <w:rsid w:val="004531D6"/>
    <w:rsid w:val="0045368D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1E8F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A12"/>
    <w:rsid w:val="00590A34"/>
    <w:rsid w:val="005911E4"/>
    <w:rsid w:val="005918F9"/>
    <w:rsid w:val="00591961"/>
    <w:rsid w:val="00592178"/>
    <w:rsid w:val="00592AF4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E7680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2FF6"/>
    <w:rsid w:val="00613898"/>
    <w:rsid w:val="00614528"/>
    <w:rsid w:val="00614EC8"/>
    <w:rsid w:val="006150CF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54E5"/>
    <w:rsid w:val="0066655E"/>
    <w:rsid w:val="00667892"/>
    <w:rsid w:val="00667E93"/>
    <w:rsid w:val="006709EF"/>
    <w:rsid w:val="00672F27"/>
    <w:rsid w:val="00675623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60BB"/>
    <w:rsid w:val="006B60C2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D1D02"/>
    <w:rsid w:val="006D1E9E"/>
    <w:rsid w:val="006D1FC9"/>
    <w:rsid w:val="006D246F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5671"/>
    <w:rsid w:val="007560CB"/>
    <w:rsid w:val="00756E24"/>
    <w:rsid w:val="0076170F"/>
    <w:rsid w:val="007623E0"/>
    <w:rsid w:val="00762C8D"/>
    <w:rsid w:val="00763E6E"/>
    <w:rsid w:val="00766E67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8021B5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3667"/>
    <w:rsid w:val="008744C2"/>
    <w:rsid w:val="00874DAA"/>
    <w:rsid w:val="00874EA8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4E2"/>
    <w:rsid w:val="0091396F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F52"/>
    <w:rsid w:val="00966480"/>
    <w:rsid w:val="00970B6F"/>
    <w:rsid w:val="00971C4B"/>
    <w:rsid w:val="00971D43"/>
    <w:rsid w:val="00972070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6D84"/>
    <w:rsid w:val="00A47D96"/>
    <w:rsid w:val="00A5206D"/>
    <w:rsid w:val="00A52BCE"/>
    <w:rsid w:val="00A610E2"/>
    <w:rsid w:val="00A61610"/>
    <w:rsid w:val="00A621CE"/>
    <w:rsid w:val="00A6273D"/>
    <w:rsid w:val="00A636DB"/>
    <w:rsid w:val="00A657B9"/>
    <w:rsid w:val="00A657C4"/>
    <w:rsid w:val="00A677FC"/>
    <w:rsid w:val="00A701AF"/>
    <w:rsid w:val="00A70398"/>
    <w:rsid w:val="00A74164"/>
    <w:rsid w:val="00A75DEF"/>
    <w:rsid w:val="00A7752D"/>
    <w:rsid w:val="00A77F65"/>
    <w:rsid w:val="00A81EB5"/>
    <w:rsid w:val="00A827E5"/>
    <w:rsid w:val="00A82830"/>
    <w:rsid w:val="00A83912"/>
    <w:rsid w:val="00A83E9F"/>
    <w:rsid w:val="00A83F94"/>
    <w:rsid w:val="00A90CE7"/>
    <w:rsid w:val="00A91168"/>
    <w:rsid w:val="00A934EF"/>
    <w:rsid w:val="00A937AE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3479"/>
    <w:rsid w:val="00B439E2"/>
    <w:rsid w:val="00B447BB"/>
    <w:rsid w:val="00B5024B"/>
    <w:rsid w:val="00B55522"/>
    <w:rsid w:val="00B57206"/>
    <w:rsid w:val="00B57926"/>
    <w:rsid w:val="00B57F4A"/>
    <w:rsid w:val="00B67FCA"/>
    <w:rsid w:val="00B7006C"/>
    <w:rsid w:val="00B7047A"/>
    <w:rsid w:val="00B70AA4"/>
    <w:rsid w:val="00B70E41"/>
    <w:rsid w:val="00B74E89"/>
    <w:rsid w:val="00B7598B"/>
    <w:rsid w:val="00B763E6"/>
    <w:rsid w:val="00B771F6"/>
    <w:rsid w:val="00B801F7"/>
    <w:rsid w:val="00B8271B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B3D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AE5"/>
    <w:rsid w:val="00C23BCF"/>
    <w:rsid w:val="00C24835"/>
    <w:rsid w:val="00C24A33"/>
    <w:rsid w:val="00C24B8C"/>
    <w:rsid w:val="00C24F16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F5D"/>
    <w:rsid w:val="00C535C0"/>
    <w:rsid w:val="00C54F22"/>
    <w:rsid w:val="00C55AF2"/>
    <w:rsid w:val="00C55BB3"/>
    <w:rsid w:val="00C56662"/>
    <w:rsid w:val="00C567F7"/>
    <w:rsid w:val="00C60875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593F"/>
    <w:rsid w:val="00D61CB0"/>
    <w:rsid w:val="00D653CE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2B0"/>
    <w:rsid w:val="00D9778A"/>
    <w:rsid w:val="00DA0157"/>
    <w:rsid w:val="00DA1E4F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0F04"/>
    <w:rsid w:val="00DD1A21"/>
    <w:rsid w:val="00DD5EAA"/>
    <w:rsid w:val="00DD694D"/>
    <w:rsid w:val="00DD7DC8"/>
    <w:rsid w:val="00DE515C"/>
    <w:rsid w:val="00DE556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6B0"/>
    <w:rsid w:val="00E13E62"/>
    <w:rsid w:val="00E168D8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3272"/>
    <w:rsid w:val="00EA671D"/>
    <w:rsid w:val="00EA78BD"/>
    <w:rsid w:val="00EA7F0C"/>
    <w:rsid w:val="00EB00F7"/>
    <w:rsid w:val="00EB082A"/>
    <w:rsid w:val="00EB13DD"/>
    <w:rsid w:val="00EB1BD4"/>
    <w:rsid w:val="00EB1DC0"/>
    <w:rsid w:val="00EB5F9D"/>
    <w:rsid w:val="00EC137D"/>
    <w:rsid w:val="00EC13D2"/>
    <w:rsid w:val="00EC2E90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7B4C"/>
    <w:rsid w:val="00EF7D02"/>
    <w:rsid w:val="00F008EE"/>
    <w:rsid w:val="00F010C2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8DB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3A6F"/>
    <w:rsid w:val="00F93EBE"/>
    <w:rsid w:val="00F948CA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671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60801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7A1B4-381D-4885-BB66-4A5EBF02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91</cp:revision>
  <cp:lastPrinted>2021-10-04T07:30:00Z</cp:lastPrinted>
  <dcterms:created xsi:type="dcterms:W3CDTF">2021-09-24T14:54:00Z</dcterms:created>
  <dcterms:modified xsi:type="dcterms:W3CDTF">2021-10-04T07:40:00Z</dcterms:modified>
</cp:coreProperties>
</file>