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DD5D0B">
        <w:rPr>
          <w:rStyle w:val="CharStyle5"/>
          <w:color w:val="000000"/>
          <w:sz w:val="28"/>
          <w:szCs w:val="28"/>
        </w:rPr>
        <w:t>30 сентября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Pr="00C50CC4" w:rsidRDefault="009A467C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DD5D0B">
        <w:rPr>
          <w:rStyle w:val="CharStyle5"/>
          <w:color w:val="000000"/>
          <w:sz w:val="28"/>
          <w:szCs w:val="28"/>
        </w:rPr>
        <w:t>октября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DD5D0B">
        <w:rPr>
          <w:rStyle w:val="CharStyle5"/>
          <w:color w:val="000000"/>
          <w:sz w:val="28"/>
          <w:szCs w:val="28"/>
        </w:rPr>
        <w:t>037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D5D0B">
        <w:rPr>
          <w:rStyle w:val="CharStyle5"/>
          <w:color w:val="000000"/>
          <w:sz w:val="28"/>
          <w:szCs w:val="28"/>
        </w:rPr>
        <w:t>19 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92F6E">
        <w:rPr>
          <w:rStyle w:val="CharStyle5"/>
          <w:color w:val="000000"/>
          <w:sz w:val="28"/>
          <w:szCs w:val="28"/>
        </w:rPr>
        <w:t>32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D5D0B">
        <w:rPr>
          <w:rStyle w:val="CharStyle5"/>
          <w:color w:val="000000"/>
          <w:sz w:val="28"/>
          <w:szCs w:val="28"/>
        </w:rPr>
        <w:t>26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92F6E">
        <w:rPr>
          <w:rStyle w:val="CharStyle5"/>
          <w:color w:val="000000"/>
          <w:sz w:val="28"/>
          <w:szCs w:val="28"/>
        </w:rPr>
        <w:t>14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50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92F6E">
        <w:rPr>
          <w:rStyle w:val="CharStyle5"/>
          <w:color w:val="000000"/>
          <w:sz w:val="28"/>
          <w:szCs w:val="28"/>
        </w:rPr>
        <w:t>13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15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30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DD5D0B">
        <w:rPr>
          <w:rStyle w:val="CharStyle5"/>
          <w:color w:val="000000"/>
          <w:sz w:val="28"/>
          <w:szCs w:val="28"/>
        </w:rPr>
        <w:t>30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="00DD5D0B">
        <w:rPr>
          <w:rStyle w:val="CharStyle5"/>
          <w:color w:val="000000"/>
          <w:sz w:val="28"/>
          <w:szCs w:val="28"/>
        </w:rPr>
        <w:t>сентября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DD5D0B">
        <w:rPr>
          <w:rStyle w:val="CharStyle5"/>
          <w:color w:val="000000"/>
          <w:sz w:val="28"/>
          <w:szCs w:val="28"/>
        </w:rPr>
        <w:t xml:space="preserve">25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DD5D0B">
        <w:rPr>
          <w:rStyle w:val="CharStyle5"/>
          <w:color w:val="000000"/>
          <w:sz w:val="28"/>
          <w:szCs w:val="28"/>
        </w:rPr>
        <w:t>15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D5D0B">
        <w:rPr>
          <w:rStyle w:val="CharStyle5"/>
          <w:color w:val="000000"/>
          <w:sz w:val="28"/>
          <w:szCs w:val="28"/>
        </w:rPr>
        <w:t>67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DD5D0B">
        <w:rPr>
          <w:rStyle w:val="CharStyle5"/>
          <w:color w:val="000000"/>
          <w:sz w:val="28"/>
          <w:szCs w:val="28"/>
        </w:rPr>
        <w:t>30 сентября</w:t>
      </w:r>
      <w:r w:rsidR="00DD5D0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790596">
        <w:rPr>
          <w:rStyle w:val="CharStyle5"/>
          <w:color w:val="000000"/>
          <w:sz w:val="28"/>
          <w:szCs w:val="28"/>
        </w:rPr>
        <w:t>433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790596">
        <w:rPr>
          <w:rStyle w:val="CharStyle5"/>
          <w:color w:val="000000"/>
          <w:sz w:val="28"/>
          <w:szCs w:val="28"/>
        </w:rPr>
        <w:t>38</w:t>
      </w:r>
      <w:r w:rsidR="0079059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F3DDF" w:rsidRDefault="00315DE0" w:rsidP="003C594F">
      <w:pPr>
        <w:pStyle w:val="Style4"/>
        <w:shd w:val="clear" w:color="auto" w:fill="auto"/>
        <w:spacing w:before="0" w:after="0" w:line="324" w:lineRule="auto"/>
        <w:ind w:firstLine="709"/>
        <w:rPr>
          <w:snapToGrid w:val="0"/>
          <w:sz w:val="28"/>
          <w:szCs w:val="28"/>
        </w:rPr>
      </w:pPr>
      <w:r w:rsidRPr="003C039B">
        <w:rPr>
          <w:snapToGrid w:val="0"/>
          <w:sz w:val="28"/>
          <w:szCs w:val="28"/>
        </w:rPr>
        <w:t xml:space="preserve">В </w:t>
      </w:r>
      <w:r w:rsidR="00BF3DDF">
        <w:rPr>
          <w:snapToGrid w:val="0"/>
          <w:sz w:val="28"/>
          <w:szCs w:val="28"/>
        </w:rPr>
        <w:t>сентябре</w:t>
      </w:r>
      <w:r w:rsidR="00BF3DDF" w:rsidRPr="003C039B">
        <w:rPr>
          <w:snapToGrid w:val="0"/>
          <w:sz w:val="28"/>
          <w:szCs w:val="28"/>
        </w:rPr>
        <w:t xml:space="preserve"> </w:t>
      </w:r>
      <w:r w:rsidRPr="003C039B">
        <w:rPr>
          <w:snapToGrid w:val="0"/>
          <w:sz w:val="28"/>
          <w:szCs w:val="28"/>
        </w:rPr>
        <w:t>2016 г</w:t>
      </w:r>
      <w:r w:rsidR="003C039B">
        <w:rPr>
          <w:snapToGrid w:val="0"/>
          <w:sz w:val="28"/>
          <w:szCs w:val="28"/>
        </w:rPr>
        <w:t>.</w:t>
      </w:r>
      <w:r w:rsidR="00CE7D76" w:rsidRPr="00CE7D76">
        <w:rPr>
          <w:rStyle w:val="CharStyle5"/>
          <w:color w:val="000000"/>
          <w:sz w:val="28"/>
        </w:rPr>
        <w:t xml:space="preserve"> </w:t>
      </w:r>
      <w:r w:rsidR="00CE7D76" w:rsidRPr="00D24C50">
        <w:rPr>
          <w:rStyle w:val="CharStyle5"/>
          <w:color w:val="000000"/>
          <w:sz w:val="28"/>
        </w:rPr>
        <w:t>в соответствии с постановлением Правительства Российской Федерации от 19</w:t>
      </w:r>
      <w:r w:rsidR="00CE7D76">
        <w:rPr>
          <w:rStyle w:val="CharStyle5"/>
          <w:color w:val="000000"/>
          <w:sz w:val="28"/>
        </w:rPr>
        <w:t xml:space="preserve"> </w:t>
      </w:r>
      <w:r w:rsidR="00CE7D76" w:rsidRPr="00D24C50">
        <w:rPr>
          <w:rStyle w:val="CharStyle5"/>
          <w:color w:val="000000"/>
          <w:sz w:val="28"/>
        </w:rPr>
        <w:t xml:space="preserve">января </w:t>
      </w:r>
      <w:smartTag w:uri="urn:schemas-microsoft-com:office:smarttags" w:element="metricconverter">
        <w:smartTagPr>
          <w:attr w:name="ProductID" w:val="2008 г"/>
        </w:smartTagPr>
        <w:r w:rsidR="00CE7D76" w:rsidRPr="00D24C50">
          <w:rPr>
            <w:rStyle w:val="CharStyle5"/>
            <w:color w:val="000000"/>
            <w:sz w:val="28"/>
          </w:rPr>
          <w:t>2008 г</w:t>
        </w:r>
      </w:smartTag>
      <w:r w:rsidR="00CE7D76" w:rsidRPr="00D24C50">
        <w:rPr>
          <w:rStyle w:val="CharStyle5"/>
          <w:color w:val="000000"/>
          <w:sz w:val="28"/>
        </w:rPr>
        <w:t xml:space="preserve">. № 18 «О порядке </w:t>
      </w:r>
      <w:r w:rsidR="000D0EC7">
        <w:rPr>
          <w:rStyle w:val="CharStyle5"/>
          <w:color w:val="000000"/>
          <w:sz w:val="28"/>
        </w:rPr>
        <w:t>управления</w:t>
      </w:r>
      <w:r w:rsidR="00CE7D76" w:rsidRPr="00D24C50">
        <w:rPr>
          <w:rStyle w:val="CharStyle5"/>
          <w:color w:val="000000"/>
          <w:sz w:val="28"/>
        </w:rPr>
        <w:t xml:space="preserve"> средств</w:t>
      </w:r>
      <w:r w:rsidR="000D0EC7">
        <w:rPr>
          <w:rStyle w:val="CharStyle5"/>
          <w:color w:val="000000"/>
          <w:sz w:val="28"/>
        </w:rPr>
        <w:t>ами</w:t>
      </w:r>
      <w:r w:rsidR="00CE7D76" w:rsidRPr="00D24C50">
        <w:rPr>
          <w:rStyle w:val="CharStyle5"/>
          <w:color w:val="000000"/>
          <w:sz w:val="28"/>
        </w:rPr>
        <w:t xml:space="preserve"> Фонда национального благосостояния»</w:t>
      </w:r>
      <w:r w:rsidRPr="003C039B">
        <w:rPr>
          <w:snapToGrid w:val="0"/>
          <w:sz w:val="28"/>
          <w:szCs w:val="28"/>
        </w:rPr>
        <w:t xml:space="preserve"> </w:t>
      </w:r>
      <w:r w:rsidR="00BF3DDF">
        <w:rPr>
          <w:snapToGrid w:val="0"/>
          <w:sz w:val="28"/>
          <w:szCs w:val="28"/>
        </w:rPr>
        <w:t xml:space="preserve">средства ФНБ </w:t>
      </w:r>
      <w:r w:rsidR="00BF3DDF" w:rsidRPr="003C039B">
        <w:rPr>
          <w:snapToGrid w:val="0"/>
          <w:sz w:val="28"/>
          <w:szCs w:val="28"/>
        </w:rPr>
        <w:t xml:space="preserve">в </w:t>
      </w:r>
      <w:r w:rsidR="00BF3DDF" w:rsidRPr="003C039B">
        <w:rPr>
          <w:snapToGrid w:val="0"/>
          <w:sz w:val="28"/>
          <w:szCs w:val="28"/>
        </w:rPr>
        <w:lastRenderedPageBreak/>
        <w:t>сумме 19,96</w:t>
      </w:r>
      <w:r w:rsidR="003126B5">
        <w:rPr>
          <w:snapToGrid w:val="0"/>
          <w:sz w:val="28"/>
          <w:szCs w:val="28"/>
        </w:rPr>
        <w:t> </w:t>
      </w:r>
      <w:r w:rsidR="00BF3DDF" w:rsidRPr="003C039B">
        <w:rPr>
          <w:snapToGrid w:val="0"/>
          <w:sz w:val="28"/>
          <w:szCs w:val="28"/>
        </w:rPr>
        <w:t>млн. рублей</w:t>
      </w:r>
      <w:r w:rsidR="00BF3DDF">
        <w:rPr>
          <w:snapToGrid w:val="0"/>
          <w:sz w:val="28"/>
          <w:szCs w:val="28"/>
        </w:rPr>
        <w:t xml:space="preserve">, </w:t>
      </w:r>
      <w:r w:rsidR="00CE7D76">
        <w:rPr>
          <w:sz w:val="28"/>
          <w:szCs w:val="28"/>
        </w:rPr>
        <w:t>поступившие на счет по учету средств ФНБ в</w:t>
      </w:r>
      <w:r w:rsidR="00CE7D76" w:rsidRPr="00865C0C">
        <w:rPr>
          <w:sz w:val="28"/>
          <w:szCs w:val="28"/>
        </w:rPr>
        <w:t xml:space="preserve"> </w:t>
      </w:r>
      <w:r w:rsidR="00CE7D76">
        <w:rPr>
          <w:sz w:val="28"/>
          <w:szCs w:val="28"/>
        </w:rPr>
        <w:t>августе 2016</w:t>
      </w:r>
      <w:r w:rsidR="003126B5">
        <w:rPr>
          <w:sz w:val="28"/>
          <w:szCs w:val="28"/>
        </w:rPr>
        <w:t> </w:t>
      </w:r>
      <w:r w:rsidR="00CE7D76" w:rsidRPr="00865C0C">
        <w:rPr>
          <w:sz w:val="28"/>
          <w:szCs w:val="28"/>
        </w:rPr>
        <w:t>г</w:t>
      </w:r>
      <w:r w:rsidR="00CE7D76">
        <w:rPr>
          <w:sz w:val="28"/>
          <w:szCs w:val="28"/>
        </w:rPr>
        <w:t xml:space="preserve">., были </w:t>
      </w:r>
      <w:r w:rsidR="002B297A">
        <w:rPr>
          <w:sz w:val="28"/>
          <w:szCs w:val="28"/>
        </w:rPr>
        <w:t>конвертированы в</w:t>
      </w:r>
      <w:r w:rsidR="00CE7D76">
        <w:rPr>
          <w:sz w:val="28"/>
          <w:szCs w:val="28"/>
        </w:rPr>
        <w:t xml:space="preserve"> </w:t>
      </w:r>
      <w:bookmarkStart w:id="1" w:name="_GoBack"/>
      <w:bookmarkEnd w:id="1"/>
      <w:r w:rsidR="00CE7D76">
        <w:rPr>
          <w:sz w:val="28"/>
          <w:szCs w:val="28"/>
        </w:rPr>
        <w:t>0,27</w:t>
      </w:r>
      <w:r w:rsidR="003126B5">
        <w:rPr>
          <w:sz w:val="28"/>
          <w:szCs w:val="28"/>
        </w:rPr>
        <w:t> </w:t>
      </w:r>
      <w:r w:rsidR="00CE7D76">
        <w:rPr>
          <w:sz w:val="28"/>
          <w:szCs w:val="28"/>
        </w:rPr>
        <w:t>млн. евро.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622BBC">
        <w:rPr>
          <w:rStyle w:val="CharStyle5"/>
          <w:color w:val="000000"/>
          <w:sz w:val="28"/>
          <w:szCs w:val="28"/>
        </w:rPr>
        <w:t>октября</w:t>
      </w:r>
      <w:r w:rsidR="00622BBC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622BBC">
        <w:rPr>
          <w:rStyle w:val="CharStyle5"/>
          <w:color w:val="000000"/>
          <w:sz w:val="28"/>
          <w:szCs w:val="28"/>
        </w:rPr>
        <w:t>617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22BBC">
        <w:rPr>
          <w:rStyle w:val="CharStyle5"/>
          <w:color w:val="000000"/>
          <w:sz w:val="28"/>
          <w:szCs w:val="28"/>
        </w:rPr>
        <w:t>54</w:t>
      </w:r>
      <w:r w:rsidR="00622BB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22BBC">
        <w:rPr>
          <w:rStyle w:val="CharStyle5"/>
          <w:color w:val="000000"/>
          <w:sz w:val="28"/>
          <w:szCs w:val="28"/>
        </w:rPr>
        <w:t>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22BBC">
        <w:rPr>
          <w:rStyle w:val="CharStyle5"/>
          <w:color w:val="000000"/>
          <w:sz w:val="28"/>
          <w:szCs w:val="28"/>
        </w:rPr>
        <w:t>11</w:t>
      </w:r>
      <w:r w:rsidR="00622BB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3C594F">
      <w:pPr>
        <w:pStyle w:val="Style4"/>
        <w:shd w:val="clear" w:color="auto" w:fill="auto"/>
        <w:spacing w:before="0" w:after="0" w:line="324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195,03 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77397E">
        <w:rPr>
          <w:rStyle w:val="CharStyle5"/>
          <w:color w:val="000000"/>
          <w:sz w:val="28"/>
          <w:szCs w:val="28"/>
        </w:rPr>
        <w:t>30 сентября</w:t>
      </w:r>
      <w:r w:rsidR="0077397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77397E">
        <w:rPr>
          <w:rStyle w:val="CharStyle5"/>
          <w:color w:val="000000"/>
          <w:sz w:val="28"/>
          <w:szCs w:val="28"/>
        </w:rPr>
        <w:t>26</w:t>
      </w:r>
      <w:r w:rsidR="0077397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77397E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77397E">
        <w:rPr>
          <w:rStyle w:val="CharStyle5"/>
          <w:color w:val="000000"/>
          <w:sz w:val="28"/>
          <w:szCs w:val="28"/>
        </w:rPr>
        <w:t>65</w:t>
      </w:r>
      <w:r w:rsidR="0077397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B01703">
        <w:rPr>
          <w:rStyle w:val="CharStyle5"/>
          <w:color w:val="000000"/>
          <w:sz w:val="28"/>
          <w:szCs w:val="28"/>
        </w:rPr>
        <w:t>30 </w:t>
      </w:r>
      <w:r w:rsidR="00B01703" w:rsidRPr="0015339B">
        <w:rPr>
          <w:rStyle w:val="CharStyle5"/>
          <w:color w:val="000000"/>
          <w:sz w:val="28"/>
          <w:szCs w:val="28"/>
        </w:rPr>
        <w:t xml:space="preserve"> </w:t>
      </w:r>
      <w:r w:rsidR="00B01703">
        <w:rPr>
          <w:rStyle w:val="CharStyle5"/>
          <w:color w:val="000000"/>
          <w:sz w:val="28"/>
          <w:szCs w:val="28"/>
        </w:rPr>
        <w:t>сентября</w:t>
      </w:r>
      <w:r w:rsidR="00B01703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155A87">
        <w:rPr>
          <w:snapToGrid w:val="0"/>
          <w:sz w:val="28"/>
          <w:szCs w:val="28"/>
        </w:rPr>
        <w:t>602</w:t>
      </w:r>
      <w:r w:rsidR="00753C65">
        <w:rPr>
          <w:snapToGrid w:val="0"/>
          <w:sz w:val="28"/>
          <w:szCs w:val="28"/>
        </w:rPr>
        <w:t>,</w:t>
      </w:r>
      <w:r w:rsidR="00155A87">
        <w:rPr>
          <w:snapToGrid w:val="0"/>
          <w:sz w:val="28"/>
          <w:szCs w:val="28"/>
        </w:rPr>
        <w:t>8</w:t>
      </w:r>
      <w:r w:rsidR="00B919A3">
        <w:rPr>
          <w:snapToGrid w:val="0"/>
          <w:sz w:val="28"/>
          <w:szCs w:val="28"/>
        </w:rPr>
        <w:t>8</w:t>
      </w:r>
      <w:r w:rsidR="00155A8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B04101">
        <w:rPr>
          <w:rStyle w:val="CharStyle5"/>
          <w:color w:val="000000"/>
          <w:sz w:val="28"/>
          <w:szCs w:val="28"/>
        </w:rPr>
        <w:t>472</w:t>
      </w:r>
      <w:r w:rsidR="009D3364">
        <w:rPr>
          <w:rStyle w:val="CharStyle5"/>
          <w:color w:val="000000"/>
          <w:sz w:val="28"/>
          <w:szCs w:val="28"/>
        </w:rPr>
        <w:t>,</w:t>
      </w:r>
      <w:r w:rsidR="00B04101">
        <w:rPr>
          <w:rStyle w:val="CharStyle5"/>
          <w:color w:val="000000"/>
          <w:sz w:val="28"/>
          <w:szCs w:val="28"/>
        </w:rPr>
        <w:t>88 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B04101">
        <w:rPr>
          <w:rStyle w:val="CharStyle5"/>
          <w:color w:val="000000"/>
          <w:sz w:val="28"/>
          <w:szCs w:val="28"/>
        </w:rPr>
        <w:t>60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B04101">
        <w:rPr>
          <w:rStyle w:val="CharStyle5"/>
          <w:color w:val="000000"/>
          <w:sz w:val="28"/>
          <w:szCs w:val="28"/>
        </w:rPr>
        <w:t>82</w:t>
      </w:r>
      <w:r w:rsidR="00B0410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3C594F">
      <w:pPr>
        <w:pStyle w:val="Style4"/>
        <w:widowControl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6B63B3">
        <w:rPr>
          <w:rStyle w:val="CharStyle5"/>
          <w:color w:val="000000"/>
          <w:sz w:val="28"/>
          <w:szCs w:val="28"/>
        </w:rPr>
        <w:t>29</w:t>
      </w:r>
      <w:r w:rsidR="0038066C">
        <w:rPr>
          <w:rStyle w:val="CharStyle5"/>
          <w:color w:val="000000"/>
          <w:sz w:val="28"/>
          <w:szCs w:val="28"/>
        </w:rPr>
        <w:t>,</w:t>
      </w:r>
      <w:r w:rsidR="006B63B3">
        <w:rPr>
          <w:rStyle w:val="CharStyle5"/>
          <w:color w:val="000000"/>
          <w:sz w:val="28"/>
          <w:szCs w:val="28"/>
        </w:rPr>
        <w:t>17</w:t>
      </w:r>
      <w:r w:rsidR="006B63B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6B63B3">
        <w:rPr>
          <w:rStyle w:val="CharStyle5"/>
          <w:color w:val="000000"/>
          <w:sz w:val="28"/>
          <w:szCs w:val="28"/>
        </w:rPr>
        <w:t>40</w:t>
      </w:r>
      <w:r w:rsidR="00753C65">
        <w:rPr>
          <w:rStyle w:val="CharStyle5"/>
          <w:color w:val="000000"/>
          <w:sz w:val="28"/>
          <w:szCs w:val="28"/>
        </w:rPr>
        <w:t>,</w:t>
      </w:r>
      <w:r w:rsidR="006B63B3">
        <w:rPr>
          <w:rStyle w:val="CharStyle5"/>
          <w:color w:val="000000"/>
          <w:sz w:val="28"/>
          <w:szCs w:val="28"/>
        </w:rPr>
        <w:t>00</w:t>
      </w:r>
      <w:r w:rsidR="006B63B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9A0916" w:rsidRDefault="002B38B8" w:rsidP="003C594F">
      <w:pPr>
        <w:tabs>
          <w:tab w:val="num" w:pos="1080"/>
        </w:tabs>
        <w:spacing w:line="324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В </w:t>
      </w:r>
      <w:r w:rsidR="00B01703">
        <w:rPr>
          <w:sz w:val="28"/>
          <w:szCs w:val="28"/>
          <w:shd w:val="clear" w:color="auto" w:fill="FFFFFF"/>
        </w:rPr>
        <w:t>сентябре</w:t>
      </w:r>
      <w:r w:rsidR="00B01703" w:rsidRPr="00364FCF">
        <w:rPr>
          <w:sz w:val="28"/>
          <w:szCs w:val="28"/>
          <w:shd w:val="clear" w:color="auto" w:fill="FFFFFF"/>
        </w:rPr>
        <w:t xml:space="preserve"> </w:t>
      </w:r>
      <w:r w:rsidRPr="004E5A8D">
        <w:rPr>
          <w:snapToGrid w:val="0"/>
          <w:sz w:val="28"/>
          <w:szCs w:val="28"/>
        </w:rPr>
        <w:t>201</w:t>
      </w:r>
      <w:r>
        <w:rPr>
          <w:snapToGrid w:val="0"/>
          <w:sz w:val="28"/>
          <w:szCs w:val="28"/>
        </w:rPr>
        <w:t>6</w:t>
      </w:r>
      <w:r w:rsidRPr="004E5A8D">
        <w:rPr>
          <w:snapToGrid w:val="0"/>
          <w:sz w:val="28"/>
          <w:szCs w:val="28"/>
        </w:rPr>
        <w:t xml:space="preserve"> г. в федеральный бюджет поступили доходы</w:t>
      </w:r>
      <w:r w:rsidRPr="008E4246">
        <w:rPr>
          <w:snapToGrid w:val="0"/>
          <w:sz w:val="28"/>
          <w:szCs w:val="28"/>
        </w:rPr>
        <w:t xml:space="preserve"> </w:t>
      </w:r>
      <w:r w:rsidRPr="004E5A8D">
        <w:rPr>
          <w:snapToGrid w:val="0"/>
          <w:sz w:val="28"/>
          <w:szCs w:val="28"/>
        </w:rPr>
        <w:t>в сумме</w:t>
      </w:r>
      <w:r>
        <w:rPr>
          <w:snapToGrid w:val="0"/>
          <w:sz w:val="28"/>
          <w:szCs w:val="28"/>
        </w:rPr>
        <w:t xml:space="preserve"> </w:t>
      </w:r>
      <w:r w:rsidR="00C53218">
        <w:rPr>
          <w:snapToGrid w:val="0"/>
          <w:sz w:val="28"/>
          <w:szCs w:val="28"/>
        </w:rPr>
        <w:t>1</w:t>
      </w:r>
      <w:r>
        <w:rPr>
          <w:snapToGrid w:val="0"/>
          <w:sz w:val="28"/>
          <w:szCs w:val="28"/>
        </w:rPr>
        <w:t>,</w:t>
      </w:r>
      <w:r w:rsidR="00C53218">
        <w:rPr>
          <w:snapToGrid w:val="0"/>
          <w:sz w:val="28"/>
          <w:szCs w:val="28"/>
        </w:rPr>
        <w:t>52 </w:t>
      </w:r>
      <w:r>
        <w:rPr>
          <w:snapToGrid w:val="0"/>
          <w:sz w:val="28"/>
          <w:szCs w:val="28"/>
        </w:rPr>
        <w:t>млрд. рублей (</w:t>
      </w:r>
      <w:r w:rsidRPr="004E5A8D">
        <w:rPr>
          <w:snapToGrid w:val="0"/>
          <w:sz w:val="28"/>
          <w:szCs w:val="28"/>
        </w:rPr>
        <w:t xml:space="preserve">эквивалент </w:t>
      </w:r>
      <w:r>
        <w:rPr>
          <w:snapToGrid w:val="0"/>
          <w:sz w:val="28"/>
          <w:szCs w:val="28"/>
        </w:rPr>
        <w:t>0,</w:t>
      </w:r>
      <w:r w:rsidR="00EB6CC7">
        <w:rPr>
          <w:snapToGrid w:val="0"/>
          <w:sz w:val="28"/>
          <w:szCs w:val="28"/>
        </w:rPr>
        <w:t>02</w:t>
      </w:r>
      <w:r w:rsidR="00EB6CC7" w:rsidRPr="004E5A8D">
        <w:rPr>
          <w:snapToGrid w:val="0"/>
          <w:sz w:val="28"/>
          <w:szCs w:val="28"/>
        </w:rPr>
        <w:t xml:space="preserve"> </w:t>
      </w:r>
      <w:r w:rsidRPr="004E5A8D">
        <w:rPr>
          <w:snapToGrid w:val="0"/>
          <w:sz w:val="28"/>
          <w:szCs w:val="28"/>
        </w:rPr>
        <w:t>млрд. долл</w:t>
      </w:r>
      <w:r w:rsidR="00854CBB">
        <w:rPr>
          <w:snapToGrid w:val="0"/>
          <w:sz w:val="28"/>
          <w:szCs w:val="28"/>
        </w:rPr>
        <w:t>.</w:t>
      </w:r>
      <w:r w:rsidRPr="004E5A8D">
        <w:rPr>
          <w:snapToGrid w:val="0"/>
          <w:sz w:val="28"/>
          <w:szCs w:val="28"/>
        </w:rPr>
        <w:t xml:space="preserve"> США</w:t>
      </w:r>
      <w:r>
        <w:rPr>
          <w:snapToGrid w:val="0"/>
          <w:sz w:val="28"/>
          <w:szCs w:val="28"/>
        </w:rPr>
        <w:t xml:space="preserve">) </w:t>
      </w:r>
      <w:r w:rsidRPr="004E5A8D">
        <w:rPr>
          <w:snapToGrid w:val="0"/>
          <w:sz w:val="28"/>
          <w:szCs w:val="28"/>
        </w:rPr>
        <w:t xml:space="preserve">от размещения </w:t>
      </w:r>
      <w:r w:rsidR="00C7251E">
        <w:rPr>
          <w:snapToGrid w:val="0"/>
          <w:sz w:val="28"/>
          <w:szCs w:val="28"/>
        </w:rPr>
        <w:t>с</w:t>
      </w:r>
      <w:r w:rsidRPr="004E5A8D">
        <w:rPr>
          <w:snapToGrid w:val="0"/>
          <w:sz w:val="28"/>
          <w:szCs w:val="28"/>
        </w:rPr>
        <w:t xml:space="preserve">редств Фонда </w:t>
      </w:r>
      <w:r w:rsidRPr="005D762C">
        <w:rPr>
          <w:snapToGrid w:val="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>
        <w:rPr>
          <w:snapToGrid w:val="0"/>
          <w:sz w:val="28"/>
          <w:szCs w:val="28"/>
        </w:rPr>
        <w:t>.</w:t>
      </w:r>
    </w:p>
    <w:p w:rsidR="00116942" w:rsidRDefault="00B6398D" w:rsidP="003C594F">
      <w:pPr>
        <w:autoSpaceDE w:val="0"/>
        <w:autoSpaceDN w:val="0"/>
        <w:adjustRightInd w:val="0"/>
        <w:spacing w:line="324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573E31">
        <w:rPr>
          <w:sz w:val="28"/>
          <w:szCs w:val="28"/>
        </w:rPr>
        <w:t>сентябрь</w:t>
      </w:r>
      <w:r w:rsidR="00573E31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573E31">
        <w:rPr>
          <w:sz w:val="28"/>
          <w:szCs w:val="28"/>
        </w:rPr>
        <w:t>25</w:t>
      </w:r>
      <w:r w:rsidR="006B4FC8" w:rsidRPr="00D94E0F">
        <w:rPr>
          <w:sz w:val="28"/>
          <w:szCs w:val="28"/>
        </w:rPr>
        <w:t>,</w:t>
      </w:r>
      <w:r w:rsidR="00573E31">
        <w:rPr>
          <w:sz w:val="28"/>
          <w:szCs w:val="28"/>
        </w:rPr>
        <w:t>96</w:t>
      </w:r>
      <w:r w:rsidR="00573E31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573E31">
        <w:rPr>
          <w:sz w:val="28"/>
          <w:szCs w:val="28"/>
        </w:rPr>
        <w:t>39 </w:t>
      </w:r>
      <w:r w:rsidR="006B4FC8" w:rsidRPr="00D94E0F">
        <w:rPr>
          <w:sz w:val="28"/>
          <w:szCs w:val="28"/>
        </w:rPr>
        <w:t xml:space="preserve">млрд. </w:t>
      </w:r>
      <w:r w:rsidR="00854CBB" w:rsidRPr="00D94E0F">
        <w:rPr>
          <w:sz w:val="28"/>
          <w:szCs w:val="28"/>
        </w:rPr>
        <w:t>долл</w:t>
      </w:r>
      <w:r w:rsidR="00854CBB">
        <w:rPr>
          <w:sz w:val="28"/>
          <w:szCs w:val="28"/>
        </w:rPr>
        <w:t>.</w:t>
      </w:r>
      <w:r w:rsidR="00854CB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3C594F">
      <w:pPr>
        <w:autoSpaceDE w:val="0"/>
        <w:autoSpaceDN w:val="0"/>
        <w:adjustRightInd w:val="0"/>
        <w:spacing w:line="324" w:lineRule="auto"/>
        <w:ind w:firstLine="720"/>
        <w:jc w:val="both"/>
        <w:rPr>
          <w:sz w:val="28"/>
        </w:rPr>
      </w:pPr>
    </w:p>
    <w:p w:rsidR="005C09AE" w:rsidRPr="00600647" w:rsidRDefault="005C09AE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3C594F">
          <w:headerReference w:type="even" r:id="rId9"/>
          <w:headerReference w:type="default" r:id="rId10"/>
          <w:type w:val="continuous"/>
          <w:pgSz w:w="11909" w:h="16834"/>
          <w:pgMar w:top="907" w:right="1134" w:bottom="794" w:left="1134" w:header="567" w:footer="6" w:gutter="0"/>
          <w:cols w:space="720"/>
          <w:noEndnote/>
          <w:titlePg/>
          <w:docGrid w:linePitch="360"/>
        </w:sectPr>
      </w:pPr>
    </w:p>
    <w:p w:rsidR="009A44FB" w:rsidRDefault="009A44FB" w:rsidP="003C594F">
      <w:pPr>
        <w:pStyle w:val="Style4"/>
        <w:widowControl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3C594F">
      <w:pPr>
        <w:pStyle w:val="Style4"/>
        <w:widowControl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lastRenderedPageBreak/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3C594F">
      <w:pPr>
        <w:pStyle w:val="Style4"/>
        <w:shd w:val="clear" w:color="auto" w:fill="auto"/>
        <w:spacing w:before="0" w:after="0" w:line="324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3C594F">
      <w:pPr>
        <w:pStyle w:val="Style4"/>
        <w:shd w:val="clear" w:color="auto" w:fill="auto"/>
        <w:spacing w:before="0" w:after="0" w:line="324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3C594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3C594F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93AEC" w:rsidRPr="00D93AEC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93AEC" w:rsidRPr="00D93AEC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18DB" w:rsidRPr="001418DB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18DB" w:rsidRPr="001418DB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revisionView w:markup="0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966D7"/>
    <w:rsid w:val="000B04F3"/>
    <w:rsid w:val="000B6766"/>
    <w:rsid w:val="000C631F"/>
    <w:rsid w:val="000D0EC7"/>
    <w:rsid w:val="00116942"/>
    <w:rsid w:val="00116F58"/>
    <w:rsid w:val="001418DB"/>
    <w:rsid w:val="00142957"/>
    <w:rsid w:val="00147205"/>
    <w:rsid w:val="0015339B"/>
    <w:rsid w:val="00155A87"/>
    <w:rsid w:val="00173993"/>
    <w:rsid w:val="001872D1"/>
    <w:rsid w:val="00191697"/>
    <w:rsid w:val="00192471"/>
    <w:rsid w:val="001B20DD"/>
    <w:rsid w:val="001B345C"/>
    <w:rsid w:val="001C4625"/>
    <w:rsid w:val="001D5C8E"/>
    <w:rsid w:val="001D61BF"/>
    <w:rsid w:val="001F1B76"/>
    <w:rsid w:val="00210CF9"/>
    <w:rsid w:val="00251425"/>
    <w:rsid w:val="002B297A"/>
    <w:rsid w:val="002B32BD"/>
    <w:rsid w:val="002B38B8"/>
    <w:rsid w:val="002B5C7E"/>
    <w:rsid w:val="002B687C"/>
    <w:rsid w:val="002C75D8"/>
    <w:rsid w:val="002D3C6F"/>
    <w:rsid w:val="002D6C50"/>
    <w:rsid w:val="002E7C24"/>
    <w:rsid w:val="002F4E29"/>
    <w:rsid w:val="002F67BF"/>
    <w:rsid w:val="00305260"/>
    <w:rsid w:val="003126B5"/>
    <w:rsid w:val="00315DE0"/>
    <w:rsid w:val="00330427"/>
    <w:rsid w:val="00333B53"/>
    <w:rsid w:val="003362E0"/>
    <w:rsid w:val="00337A04"/>
    <w:rsid w:val="003724AC"/>
    <w:rsid w:val="0038066C"/>
    <w:rsid w:val="00390CC4"/>
    <w:rsid w:val="003C039B"/>
    <w:rsid w:val="003C3172"/>
    <w:rsid w:val="003C594F"/>
    <w:rsid w:val="003C640B"/>
    <w:rsid w:val="003D1643"/>
    <w:rsid w:val="003D216E"/>
    <w:rsid w:val="003D4181"/>
    <w:rsid w:val="003E14D5"/>
    <w:rsid w:val="00402C3D"/>
    <w:rsid w:val="004065E4"/>
    <w:rsid w:val="00433385"/>
    <w:rsid w:val="00434E62"/>
    <w:rsid w:val="004744CA"/>
    <w:rsid w:val="00491F20"/>
    <w:rsid w:val="004B3A63"/>
    <w:rsid w:val="00525CDA"/>
    <w:rsid w:val="00530E11"/>
    <w:rsid w:val="00543EF7"/>
    <w:rsid w:val="00544BA3"/>
    <w:rsid w:val="00546860"/>
    <w:rsid w:val="00573E31"/>
    <w:rsid w:val="0059306B"/>
    <w:rsid w:val="005B21FC"/>
    <w:rsid w:val="005B393E"/>
    <w:rsid w:val="005C09AE"/>
    <w:rsid w:val="005D2830"/>
    <w:rsid w:val="005F2B97"/>
    <w:rsid w:val="00600647"/>
    <w:rsid w:val="00601A06"/>
    <w:rsid w:val="00615C88"/>
    <w:rsid w:val="00622BBC"/>
    <w:rsid w:val="0063345E"/>
    <w:rsid w:val="00641B66"/>
    <w:rsid w:val="00660603"/>
    <w:rsid w:val="006814E5"/>
    <w:rsid w:val="00684F11"/>
    <w:rsid w:val="0068658D"/>
    <w:rsid w:val="00692F6E"/>
    <w:rsid w:val="006A4F8F"/>
    <w:rsid w:val="006B4FC8"/>
    <w:rsid w:val="006B63B3"/>
    <w:rsid w:val="006B6530"/>
    <w:rsid w:val="006D2686"/>
    <w:rsid w:val="007121B6"/>
    <w:rsid w:val="00725F8C"/>
    <w:rsid w:val="00753C65"/>
    <w:rsid w:val="0075454C"/>
    <w:rsid w:val="0077397E"/>
    <w:rsid w:val="007749C0"/>
    <w:rsid w:val="00790596"/>
    <w:rsid w:val="007A6D1C"/>
    <w:rsid w:val="007F58E6"/>
    <w:rsid w:val="00814CEA"/>
    <w:rsid w:val="008253BD"/>
    <w:rsid w:val="008525CB"/>
    <w:rsid w:val="00854CBB"/>
    <w:rsid w:val="00855577"/>
    <w:rsid w:val="008659FD"/>
    <w:rsid w:val="008661F1"/>
    <w:rsid w:val="00883CAD"/>
    <w:rsid w:val="00890554"/>
    <w:rsid w:val="008B606B"/>
    <w:rsid w:val="00910A6C"/>
    <w:rsid w:val="009231C3"/>
    <w:rsid w:val="00933657"/>
    <w:rsid w:val="00994AE5"/>
    <w:rsid w:val="009A05AD"/>
    <w:rsid w:val="009A0916"/>
    <w:rsid w:val="009A0FE2"/>
    <w:rsid w:val="009A44FB"/>
    <w:rsid w:val="009A467C"/>
    <w:rsid w:val="009C6776"/>
    <w:rsid w:val="009D3364"/>
    <w:rsid w:val="009E2F39"/>
    <w:rsid w:val="009F02FE"/>
    <w:rsid w:val="009F3436"/>
    <w:rsid w:val="009F57B2"/>
    <w:rsid w:val="00A009D2"/>
    <w:rsid w:val="00A237AF"/>
    <w:rsid w:val="00A26E60"/>
    <w:rsid w:val="00A62413"/>
    <w:rsid w:val="00A718D0"/>
    <w:rsid w:val="00AD2160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765F"/>
    <w:rsid w:val="00B176EB"/>
    <w:rsid w:val="00B6398D"/>
    <w:rsid w:val="00B919A3"/>
    <w:rsid w:val="00BA00C4"/>
    <w:rsid w:val="00BA444F"/>
    <w:rsid w:val="00BC5D0B"/>
    <w:rsid w:val="00BE625A"/>
    <w:rsid w:val="00BF3DDF"/>
    <w:rsid w:val="00C15EA0"/>
    <w:rsid w:val="00C4650D"/>
    <w:rsid w:val="00C50CC4"/>
    <w:rsid w:val="00C53218"/>
    <w:rsid w:val="00C7251E"/>
    <w:rsid w:val="00C96C4E"/>
    <w:rsid w:val="00CA22EE"/>
    <w:rsid w:val="00CB0754"/>
    <w:rsid w:val="00CC40FA"/>
    <w:rsid w:val="00CD67B8"/>
    <w:rsid w:val="00CE7D76"/>
    <w:rsid w:val="00D507BC"/>
    <w:rsid w:val="00D769AF"/>
    <w:rsid w:val="00D93AEC"/>
    <w:rsid w:val="00D94E0F"/>
    <w:rsid w:val="00D9682B"/>
    <w:rsid w:val="00DA3CC8"/>
    <w:rsid w:val="00DB19B0"/>
    <w:rsid w:val="00DB7C28"/>
    <w:rsid w:val="00DD3A79"/>
    <w:rsid w:val="00DD50F6"/>
    <w:rsid w:val="00DD5D0B"/>
    <w:rsid w:val="00DE7801"/>
    <w:rsid w:val="00E008C7"/>
    <w:rsid w:val="00E307DE"/>
    <w:rsid w:val="00E90B2A"/>
    <w:rsid w:val="00EB069C"/>
    <w:rsid w:val="00EB6CC7"/>
    <w:rsid w:val="00ED57DF"/>
    <w:rsid w:val="00EE694F"/>
    <w:rsid w:val="00F250C6"/>
    <w:rsid w:val="00F2794B"/>
    <w:rsid w:val="00F307F9"/>
    <w:rsid w:val="00F5250B"/>
    <w:rsid w:val="00F6304E"/>
    <w:rsid w:val="00F767D5"/>
    <w:rsid w:val="00F80F4F"/>
    <w:rsid w:val="00FA23E3"/>
    <w:rsid w:val="00FA43B1"/>
    <w:rsid w:val="00FC1B2D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433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80BB4-1943-465D-AFD2-CE9AA1A7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2016-09-05T16:58:00Z</cp:lastPrinted>
  <dcterms:created xsi:type="dcterms:W3CDTF">2016-10-03T17:08:00Z</dcterms:created>
  <dcterms:modified xsi:type="dcterms:W3CDTF">2016-10-03T17:08:00Z</dcterms:modified>
</cp:coreProperties>
</file>