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R&amp;D Department Overview</w:t>
      </w:r>
    </w:p>
    <w:p>
      <w:pPr>
        <w:pStyle w:val="Heading2"/>
      </w:pPr>
      <w:r>
        <w:t>Technical Focus</w:t>
      </w:r>
    </w:p>
    <w:p>
      <w:r>
        <w:t>The system is designed to enhance the structure and execution logic of AI agent instructions used in API based integrations. It improves clarity, consistency, and output reliability without modifying the underlying AI model.</w:t>
      </w:r>
    </w:p>
    <w:p>
      <w:pPr>
        <w:pStyle w:val="Heading2"/>
      </w:pPr>
      <w:r>
        <w:t>Core Objectives</w:t>
      </w:r>
    </w:p>
    <w:p>
      <w:r>
        <w:t>Develop standardized instruction architectures that improve deterministic behavior in AI agents.</w:t>
      </w:r>
    </w:p>
    <w:p>
      <w:r>
        <w:t>Create reusable prompt frameworks that reduce ambiguity and variability in outputs.</w:t>
      </w:r>
    </w:p>
    <w:p>
      <w:r>
        <w:t>Design testing and validation mechanisms to measure instruction performance and reliability.</w:t>
      </w:r>
    </w:p>
    <w:p>
      <w:pPr>
        <w:pStyle w:val="Heading2"/>
      </w:pPr>
      <w:r>
        <w:t>Implementation Scope</w:t>
      </w:r>
    </w:p>
    <w:p>
      <w:r>
        <w:t>The system integrates at the instruction and orchestration layer of AI agents. It operates alongside models such as OpenAI, Gemini, and Anthropic through API connections.</w:t>
      </w:r>
    </w:p>
    <w:p>
      <w:pPr>
        <w:pStyle w:val="Heading2"/>
      </w:pPr>
      <w:r>
        <w:t>Expected Outcomes</w:t>
      </w:r>
    </w:p>
    <w:p>
      <w:r>
        <w:t>Improved output consistency across AI driven workflows.</w:t>
      </w:r>
    </w:p>
    <w:p>
      <w:r>
        <w:t>Reduced need for manual corrections and prompt iteration.</w:t>
      </w:r>
    </w:p>
    <w:p>
      <w:r>
        <w:t>Increased efficiency in enterprise AI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