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0786" w14:textId="79CEA108" w:rsidR="0072260B" w:rsidRPr="0072260B" w:rsidRDefault="0072260B" w:rsidP="0072260B">
      <w:pPr>
        <w:rPr>
          <w:b/>
          <w:bCs/>
          <w:lang w:val="en-US"/>
        </w:rPr>
      </w:pPr>
      <w:r w:rsidRPr="0072260B">
        <w:rPr>
          <w:b/>
          <w:bCs/>
          <w:lang w:val="en-US"/>
        </w:rPr>
        <w:t>Assessment of Respiratory Function in SCA-2 Ataxia</w:t>
      </w:r>
    </w:p>
    <w:p w14:paraId="4D566CBC" w14:textId="2EB7E4B9" w:rsidR="0072260B" w:rsidRPr="00DF3CD8" w:rsidRDefault="0072260B" w:rsidP="0072260B">
      <w:pPr>
        <w:rPr>
          <w:lang w:val="en-US"/>
        </w:rPr>
      </w:pPr>
    </w:p>
    <w:p w14:paraId="438D617E" w14:textId="77777777" w:rsidR="0072260B" w:rsidRPr="00DF3CD8" w:rsidRDefault="0072260B" w:rsidP="0072260B">
      <w:pPr>
        <w:rPr>
          <w:lang w:val="en-US"/>
        </w:rPr>
      </w:pPr>
    </w:p>
    <w:p w14:paraId="54572325" w14:textId="77777777" w:rsidR="00860407" w:rsidRPr="00860407" w:rsidRDefault="00860407" w:rsidP="00BE0D90">
      <w:pPr>
        <w:rPr>
          <w:b/>
          <w:bCs/>
          <w:lang w:val="en-US"/>
        </w:rPr>
      </w:pPr>
      <w:r w:rsidRPr="00860407">
        <w:rPr>
          <w:b/>
          <w:bCs/>
          <w:lang w:val="en-US"/>
        </w:rPr>
        <w:t>Results</w:t>
      </w:r>
    </w:p>
    <w:p w14:paraId="361B7599" w14:textId="75D9B831" w:rsidR="00860407" w:rsidRPr="00860407" w:rsidRDefault="00860407" w:rsidP="00A73D8B">
      <w:pPr>
        <w:spacing w:after="0" w:line="240" w:lineRule="auto"/>
        <w:jc w:val="both"/>
        <w:rPr>
          <w:sz w:val="20"/>
          <w:szCs w:val="20"/>
          <w:lang w:val="en-US"/>
        </w:rPr>
      </w:pPr>
      <w:r w:rsidRPr="00860407">
        <w:rPr>
          <w:sz w:val="20"/>
          <w:szCs w:val="20"/>
          <w:lang w:val="en-US"/>
        </w:rPr>
        <w:t xml:space="preserve">A total of 33 participants (39.4%, n=13 diagnosed with SCA2) were studied, with a mean age (SD) of 37.2 (14.4), </w:t>
      </w:r>
      <w:r>
        <w:rPr>
          <w:sz w:val="20"/>
          <w:szCs w:val="20"/>
          <w:lang w:val="en-US"/>
        </w:rPr>
        <w:t>and</w:t>
      </w:r>
      <w:r w:rsidRPr="00860407">
        <w:rPr>
          <w:sz w:val="20"/>
          <w:szCs w:val="20"/>
          <w:lang w:val="en-US"/>
        </w:rPr>
        <w:t xml:space="preserve"> significant difference between the healthy and SCA2 groups for BMI (34.9 versus 27.9, p=0.03) and mean phrenic amplitude (0.66 versus 0.44, p=0.01). In the SCA2 group, no significant correlations were observed between age and duration of illness with respiratory parameters obtained by spirometry, but a moderate positive correlation was observed from the Berlin scale with weight (rho=0.61; p=0.02), BMI (rho=0.61; p=0.03) and waist circumference (rho=0.67; p=0.01) and strong correlation with cervical circumference (rho=0.80; p&lt;0.01),  as well as a moderate negative correlation between height and FEV1 (rho=-0.73; p&lt;0.01). Also in this group, a strong positive correlation was found between the scores of the SARA and ICARS scales (rho=0.84; p&lt;0.01); the </w:t>
      </w:r>
      <w:r>
        <w:rPr>
          <w:sz w:val="20"/>
          <w:szCs w:val="20"/>
          <w:lang w:val="en-US"/>
        </w:rPr>
        <w:t>SARA</w:t>
      </w:r>
      <w:r w:rsidRPr="00860407">
        <w:rPr>
          <w:sz w:val="20"/>
          <w:szCs w:val="20"/>
          <w:lang w:val="en-US"/>
        </w:rPr>
        <w:t xml:space="preserve"> score had a moderate positive correlation with FEV1/FVC (rho=0.66; p=0.02) and disease duration (rho=0.75; p=0.03) and a moderate negative correlation with maximal inspiratory pressure in the sitting (rho=-0.64; p=0.03) and supine position</w:t>
      </w:r>
      <w:r>
        <w:rPr>
          <w:sz w:val="20"/>
          <w:szCs w:val="20"/>
          <w:lang w:val="en-US"/>
        </w:rPr>
        <w:t>s</w:t>
      </w:r>
      <w:r w:rsidRPr="00860407">
        <w:rPr>
          <w:sz w:val="20"/>
          <w:szCs w:val="20"/>
          <w:lang w:val="en-US"/>
        </w:rPr>
        <w:t xml:space="preserve"> (rho=-0.67; p=0.01). In addition, a strong positive correlation was also found between the ICARS score and </w:t>
      </w:r>
      <w:r w:rsidR="00DF3CD8">
        <w:rPr>
          <w:sz w:val="20"/>
          <w:szCs w:val="20"/>
          <w:lang w:val="en-US"/>
        </w:rPr>
        <w:t>FEV1/CVF</w:t>
      </w:r>
      <w:r w:rsidRPr="00860407">
        <w:rPr>
          <w:sz w:val="20"/>
          <w:szCs w:val="20"/>
          <w:lang w:val="en-US"/>
        </w:rPr>
        <w:t xml:space="preserve"> (rho=0.75; p&lt;0.01) and duration of the disease (rho=0.79; p=0.02).</w:t>
      </w:r>
    </w:p>
    <w:p w14:paraId="567B5036" w14:textId="77777777" w:rsidR="00860407" w:rsidRPr="00860407" w:rsidRDefault="00860407" w:rsidP="00A73D8B">
      <w:pPr>
        <w:rPr>
          <w:lang w:val="en-US"/>
        </w:rPr>
      </w:pPr>
      <w:r w:rsidRPr="00860407">
        <w:rPr>
          <w:lang w:val="en-US"/>
        </w:rPr>
        <w:t xml:space="preserve"> </w:t>
      </w:r>
    </w:p>
    <w:sectPr w:rsidR="00860407" w:rsidRPr="00860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8F"/>
    <w:rsid w:val="00083177"/>
    <w:rsid w:val="00175C0C"/>
    <w:rsid w:val="001F6BEF"/>
    <w:rsid w:val="002210EF"/>
    <w:rsid w:val="00264C16"/>
    <w:rsid w:val="00277290"/>
    <w:rsid w:val="0038400B"/>
    <w:rsid w:val="003D3323"/>
    <w:rsid w:val="0046192F"/>
    <w:rsid w:val="004A3416"/>
    <w:rsid w:val="004C5CA0"/>
    <w:rsid w:val="005242BA"/>
    <w:rsid w:val="005C75E2"/>
    <w:rsid w:val="00710934"/>
    <w:rsid w:val="0072260B"/>
    <w:rsid w:val="007C2170"/>
    <w:rsid w:val="00821556"/>
    <w:rsid w:val="00860407"/>
    <w:rsid w:val="00A37A1D"/>
    <w:rsid w:val="00CA1280"/>
    <w:rsid w:val="00D02F0C"/>
    <w:rsid w:val="00D7230D"/>
    <w:rsid w:val="00DF3CD8"/>
    <w:rsid w:val="00E6238F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0DF"/>
  <w15:chartTrackingRefBased/>
  <w15:docId w15:val="{88973254-1546-440D-BC32-2F61CAEB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07"/>
    <w:pPr>
      <w:spacing w:line="36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eastAsia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eastAsia="Arial MT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5</cp:revision>
  <dcterms:created xsi:type="dcterms:W3CDTF">2024-07-01T00:58:00Z</dcterms:created>
  <dcterms:modified xsi:type="dcterms:W3CDTF">2024-07-03T18:18:00Z</dcterms:modified>
</cp:coreProperties>
</file>