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49B2D" w14:textId="7C053505" w:rsidR="006466C0" w:rsidRPr="006466C0" w:rsidRDefault="006466C0" w:rsidP="00A51A8F">
      <w:pPr>
        <w:ind w:firstLine="0"/>
        <w:rPr>
          <w:b/>
          <w:bCs/>
          <w:lang w:val="en-US"/>
        </w:rPr>
      </w:pPr>
      <w:r w:rsidRPr="006466C0">
        <w:rPr>
          <w:b/>
          <w:bCs/>
        </w:rPr>
        <w:t>Impacto dos parâmetros respiratórios e</w:t>
      </w:r>
      <w:r>
        <w:rPr>
          <w:b/>
          <w:bCs/>
        </w:rPr>
        <w:t xml:space="preserve">m adultos com SCA2: O que realmente é importante? </w:t>
      </w:r>
      <w:r w:rsidRPr="006466C0">
        <w:rPr>
          <w:b/>
          <w:bCs/>
          <w:lang w:val="en-US"/>
        </w:rPr>
        <w:t xml:space="preserve">Um </w:t>
      </w:r>
      <w:proofErr w:type="spellStart"/>
      <w:r w:rsidRPr="006466C0">
        <w:rPr>
          <w:b/>
          <w:bCs/>
          <w:lang w:val="en-US"/>
        </w:rPr>
        <w:t>estudo</w:t>
      </w:r>
      <w:proofErr w:type="spellEnd"/>
      <w:r w:rsidRPr="006466C0">
        <w:rPr>
          <w:b/>
          <w:bCs/>
          <w:lang w:val="en-US"/>
        </w:rPr>
        <w:t xml:space="preserve"> transversal</w:t>
      </w:r>
    </w:p>
    <w:p w14:paraId="15AD12D6" w14:textId="6BFC617B" w:rsidR="002026BE" w:rsidRDefault="002026BE" w:rsidP="00A51A8F">
      <w:pPr>
        <w:ind w:firstLine="0"/>
        <w:rPr>
          <w:b/>
          <w:bCs/>
        </w:rPr>
      </w:pPr>
      <w:r w:rsidRPr="00A51A8F">
        <w:rPr>
          <w:b/>
          <w:bCs/>
          <w:lang w:val="en-US"/>
        </w:rPr>
        <w:t xml:space="preserve">Impact of respiratory </w:t>
      </w:r>
      <w:proofErr w:type="spellStart"/>
      <w:r w:rsidRPr="00A51A8F">
        <w:rPr>
          <w:b/>
          <w:bCs/>
          <w:lang w:val="en-US"/>
        </w:rPr>
        <w:t>Respiratory</w:t>
      </w:r>
      <w:proofErr w:type="spellEnd"/>
      <w:r w:rsidRPr="00A51A8F">
        <w:rPr>
          <w:b/>
          <w:bCs/>
          <w:lang w:val="en-US"/>
        </w:rPr>
        <w:t xml:space="preserve"> parameters in</w:t>
      </w:r>
      <w:r w:rsidR="00E06983" w:rsidRPr="00A51A8F">
        <w:rPr>
          <w:b/>
          <w:bCs/>
          <w:lang w:val="en-US"/>
        </w:rPr>
        <w:t xml:space="preserve"> adults with</w:t>
      </w:r>
      <w:r w:rsidRPr="00A51A8F">
        <w:rPr>
          <w:b/>
          <w:bCs/>
          <w:lang w:val="en-US"/>
        </w:rPr>
        <w:t xml:space="preserve"> SCA2: what</w:t>
      </w:r>
      <w:r w:rsidR="00B42D7E" w:rsidRPr="00A51A8F">
        <w:rPr>
          <w:b/>
          <w:bCs/>
          <w:lang w:val="en-US"/>
        </w:rPr>
        <w:t>’s really is important?</w:t>
      </w:r>
      <w:r w:rsidR="00EB2D75" w:rsidRPr="00A51A8F">
        <w:rPr>
          <w:b/>
          <w:bCs/>
          <w:lang w:val="en-US"/>
        </w:rPr>
        <w:t xml:space="preserve"> </w:t>
      </w:r>
      <w:r w:rsidR="00EB2D75" w:rsidRPr="00A51A8F">
        <w:rPr>
          <w:b/>
          <w:bCs/>
        </w:rPr>
        <w:t xml:space="preserve">A </w:t>
      </w:r>
      <w:proofErr w:type="spellStart"/>
      <w:r w:rsidR="00946538" w:rsidRPr="00A51A8F">
        <w:rPr>
          <w:b/>
          <w:bCs/>
        </w:rPr>
        <w:t>cros</w:t>
      </w:r>
      <w:r w:rsidR="00CC66A9" w:rsidRPr="00A51A8F">
        <w:rPr>
          <w:b/>
          <w:bCs/>
        </w:rPr>
        <w:t>s</w:t>
      </w:r>
      <w:r w:rsidR="00946538" w:rsidRPr="00A51A8F">
        <w:rPr>
          <w:b/>
          <w:bCs/>
        </w:rPr>
        <w:t>-sectional</w:t>
      </w:r>
      <w:proofErr w:type="spellEnd"/>
      <w:r w:rsidR="00EB2D75" w:rsidRPr="00A51A8F">
        <w:rPr>
          <w:b/>
          <w:bCs/>
        </w:rPr>
        <w:t xml:space="preserve"> </w:t>
      </w:r>
      <w:proofErr w:type="spellStart"/>
      <w:r w:rsidR="00EB2D75" w:rsidRPr="00A51A8F">
        <w:rPr>
          <w:b/>
          <w:bCs/>
        </w:rPr>
        <w:t>study</w:t>
      </w:r>
      <w:proofErr w:type="spellEnd"/>
    </w:p>
    <w:p w14:paraId="16525190" w14:textId="6F0FC964" w:rsidR="006466C0" w:rsidRDefault="006466C0" w:rsidP="00A51A8F">
      <w:pPr>
        <w:ind w:firstLine="0"/>
        <w:rPr>
          <w:b/>
          <w:bCs/>
        </w:rPr>
      </w:pPr>
    </w:p>
    <w:p w14:paraId="4BADF77D" w14:textId="77777777" w:rsidR="006466C0" w:rsidRPr="00A51A8F" w:rsidRDefault="006466C0" w:rsidP="00A51A8F">
      <w:pPr>
        <w:ind w:firstLine="0"/>
        <w:rPr>
          <w:b/>
          <w:bCs/>
        </w:rPr>
      </w:pPr>
    </w:p>
    <w:p w14:paraId="19100644" w14:textId="0FABF08D" w:rsidR="008516F0" w:rsidRPr="005224C3" w:rsidRDefault="008516F0" w:rsidP="00A51A8F"/>
    <w:p w14:paraId="1829FA79" w14:textId="77777777" w:rsidR="005D5294" w:rsidRPr="005224C3" w:rsidRDefault="005D5294" w:rsidP="00A51A8F">
      <w:proofErr w:type="spellStart"/>
      <w:r w:rsidRPr="005224C3">
        <w:t>Celiana</w:t>
      </w:r>
      <w:proofErr w:type="spellEnd"/>
      <w:r w:rsidRPr="005224C3">
        <w:t xml:space="preserve"> Figueiredo Viana (1), Cristina </w:t>
      </w:r>
      <w:proofErr w:type="spellStart"/>
      <w:r w:rsidRPr="005224C3">
        <w:t>Saade</w:t>
      </w:r>
      <w:proofErr w:type="spellEnd"/>
      <w:r w:rsidRPr="005224C3">
        <w:t xml:space="preserve"> Jaques (2) Orlando </w:t>
      </w:r>
      <w:proofErr w:type="spellStart"/>
      <w:r w:rsidRPr="005224C3">
        <w:t>Graziani</w:t>
      </w:r>
      <w:proofErr w:type="spellEnd"/>
      <w:r w:rsidRPr="005224C3">
        <w:t xml:space="preserve"> Povoas </w:t>
      </w:r>
      <w:proofErr w:type="spellStart"/>
      <w:r w:rsidRPr="005224C3">
        <w:t>Barsottini</w:t>
      </w:r>
      <w:proofErr w:type="spellEnd"/>
      <w:r w:rsidRPr="005224C3">
        <w:t xml:space="preserve"> (3), José Luiz Pedroso (4)</w:t>
      </w:r>
    </w:p>
    <w:p w14:paraId="0A024A9F" w14:textId="53124634" w:rsidR="005D5294" w:rsidRPr="005224C3" w:rsidRDefault="005D5294" w:rsidP="00A51A8F">
      <w:r w:rsidRPr="005224C3">
        <w:t xml:space="preserve">1 - Fisioterapeuta, </w:t>
      </w:r>
      <w:proofErr w:type="spellStart"/>
      <w:r w:rsidRPr="005224C3">
        <w:t>Ms</w:t>
      </w:r>
      <w:proofErr w:type="spellEnd"/>
      <w:r w:rsidRPr="005224C3">
        <w:t>, Doutoranda do setor de neurologia geral e neuro ataxia da UNIFESP/EPM</w:t>
      </w:r>
    </w:p>
    <w:p w14:paraId="14F57BBF" w14:textId="4E03E5CA" w:rsidR="005D5294" w:rsidRPr="005224C3" w:rsidRDefault="005D5294" w:rsidP="00A51A8F">
      <w:r w:rsidRPr="005224C3">
        <w:t xml:space="preserve">2 - Neurologista e Neurofisiologista, Doutoranda </w:t>
      </w:r>
      <w:bookmarkStart w:id="0" w:name="_Hlk185627842"/>
      <w:r w:rsidRPr="005224C3">
        <w:t>do setor de neurologia geral e neuro ataxia da UNIFESP/EPM</w:t>
      </w:r>
    </w:p>
    <w:p w14:paraId="28991AE4" w14:textId="23D75D80" w:rsidR="005D5294" w:rsidRPr="005224C3" w:rsidRDefault="005D5294" w:rsidP="00A51A8F">
      <w:bookmarkStart w:id="1" w:name="_Hlk185627754"/>
      <w:bookmarkEnd w:id="0"/>
      <w:r w:rsidRPr="005224C3">
        <w:t>3- Neurologista, Professor, Doutor- Livre docente do setor de neurologia geral e neuro ataxia da UNIFESP/EPM</w:t>
      </w:r>
    </w:p>
    <w:bookmarkEnd w:id="1"/>
    <w:p w14:paraId="411853E0" w14:textId="37FB18CE" w:rsidR="005D5294" w:rsidRPr="005224C3" w:rsidRDefault="005D5294" w:rsidP="00A51A8F">
      <w:r w:rsidRPr="005224C3">
        <w:t>4 - Neurologista, Professor, Doutor- Livre docente do setor de neurologia geral e neuro ataxia da UNIFESP/EPM</w:t>
      </w:r>
    </w:p>
    <w:p w14:paraId="5D5690A4" w14:textId="77777777" w:rsidR="005D5294" w:rsidRPr="005224C3" w:rsidRDefault="005D5294" w:rsidP="00A51A8F"/>
    <w:p w14:paraId="5CF7BC5E" w14:textId="77777777" w:rsidR="005D5294" w:rsidRPr="005224C3" w:rsidRDefault="005D5294" w:rsidP="00A51A8F"/>
    <w:p w14:paraId="2702455B" w14:textId="2E36322B" w:rsidR="005D5294" w:rsidRPr="005224C3" w:rsidRDefault="006466C0" w:rsidP="00A51A8F">
      <w:pPr>
        <w:rPr>
          <w:lang w:val="en-US"/>
        </w:rPr>
      </w:pPr>
      <w:r>
        <w:rPr>
          <w:b/>
          <w:bCs/>
        </w:rPr>
        <w:t>Autor correspondente</w:t>
      </w:r>
      <w:r w:rsidR="005D5294" w:rsidRPr="005224C3">
        <w:t xml:space="preserve">: José Luiz Pedroso, MD, PhD; </w:t>
      </w:r>
      <w:proofErr w:type="spellStart"/>
      <w:r w:rsidR="005D5294" w:rsidRPr="005224C3">
        <w:t>Department</w:t>
      </w:r>
      <w:proofErr w:type="spellEnd"/>
      <w:r w:rsidR="005D5294" w:rsidRPr="005224C3">
        <w:t xml:space="preserve"> </w:t>
      </w:r>
      <w:proofErr w:type="spellStart"/>
      <w:r w:rsidR="005D5294" w:rsidRPr="005224C3">
        <w:t>of</w:t>
      </w:r>
      <w:proofErr w:type="spellEnd"/>
      <w:r w:rsidR="005D5294" w:rsidRPr="005224C3">
        <w:t xml:space="preserve"> </w:t>
      </w:r>
      <w:proofErr w:type="spellStart"/>
      <w:r w:rsidR="005D5294" w:rsidRPr="005224C3">
        <w:t>Neurology</w:t>
      </w:r>
      <w:proofErr w:type="spellEnd"/>
      <w:r w:rsidR="005D5294" w:rsidRPr="005224C3">
        <w:t xml:space="preserve"> </w:t>
      </w:r>
      <w:proofErr w:type="spellStart"/>
      <w:r w:rsidR="005D5294" w:rsidRPr="005224C3">
        <w:t>and</w:t>
      </w:r>
      <w:proofErr w:type="spellEnd"/>
      <w:r w:rsidR="005D5294" w:rsidRPr="005224C3">
        <w:t xml:space="preserve"> </w:t>
      </w:r>
      <w:proofErr w:type="spellStart"/>
      <w:r w:rsidR="005D5294" w:rsidRPr="005224C3">
        <w:t>Neurosurgery</w:t>
      </w:r>
      <w:proofErr w:type="spellEnd"/>
      <w:r w:rsidR="005D5294" w:rsidRPr="005224C3">
        <w:t xml:space="preserve">, Escola Paulista de Medicina, Universidade Federal de São Paulo (UNIFESP), São Paulo, </w:t>
      </w:r>
      <w:proofErr w:type="spellStart"/>
      <w:r w:rsidR="005D5294" w:rsidRPr="005224C3">
        <w:t>Brazil</w:t>
      </w:r>
      <w:proofErr w:type="spellEnd"/>
      <w:r w:rsidR="005D5294" w:rsidRPr="005224C3">
        <w:t xml:space="preserve">. Pedro de Toledo Street, 650. ZIP CODE: 04039-002. Vila Clementino, São Paulo SP, </w:t>
      </w:r>
      <w:proofErr w:type="spellStart"/>
      <w:r w:rsidR="005D5294" w:rsidRPr="005224C3">
        <w:t>Brazil</w:t>
      </w:r>
      <w:proofErr w:type="spellEnd"/>
      <w:r w:rsidR="005D5294" w:rsidRPr="005224C3">
        <w:t xml:space="preserve">. </w:t>
      </w:r>
      <w:r w:rsidR="005D5294" w:rsidRPr="005224C3">
        <w:rPr>
          <w:lang w:val="en-US"/>
        </w:rPr>
        <w:t xml:space="preserve">Telephone number: +55 (11) 5576-4848. E-mail: </w:t>
      </w:r>
      <w:hyperlink r:id="rId5" w:history="1">
        <w:r w:rsidR="005D5294" w:rsidRPr="005224C3">
          <w:rPr>
            <w:rStyle w:val="Hyperlink"/>
            <w:rFonts w:eastAsia="Arial"/>
            <w:sz w:val="24"/>
            <w:szCs w:val="24"/>
            <w:lang w:val="en-US"/>
          </w:rPr>
          <w:t>jlpedroso.neuro@gmail.com</w:t>
        </w:r>
      </w:hyperlink>
    </w:p>
    <w:p w14:paraId="1D2B7A6B" w14:textId="77777777" w:rsidR="005D5294" w:rsidRPr="005224C3" w:rsidRDefault="005D5294" w:rsidP="00A51A8F">
      <w:pPr>
        <w:rPr>
          <w:lang w:val="en-US"/>
        </w:rPr>
      </w:pPr>
      <w:r w:rsidRPr="005224C3">
        <w:rPr>
          <w:lang w:val="en-US"/>
        </w:rPr>
        <w:t xml:space="preserve">Viana CF: (Nothing to disclose).    </w:t>
      </w:r>
    </w:p>
    <w:p w14:paraId="280423DA" w14:textId="77777777" w:rsidR="005D5294" w:rsidRPr="005224C3" w:rsidRDefault="005D5294" w:rsidP="00A51A8F">
      <w:pPr>
        <w:rPr>
          <w:lang w:val="en-US"/>
        </w:rPr>
      </w:pPr>
      <w:r w:rsidRPr="005224C3">
        <w:rPr>
          <w:lang w:val="en-US"/>
        </w:rPr>
        <w:t xml:space="preserve">Jaques CS: (Nothing to disclose).    </w:t>
      </w:r>
    </w:p>
    <w:p w14:paraId="41E038E3" w14:textId="77777777" w:rsidR="005D5294" w:rsidRPr="005224C3" w:rsidRDefault="005D5294" w:rsidP="00A51A8F">
      <w:pPr>
        <w:rPr>
          <w:lang w:val="en-US"/>
        </w:rPr>
      </w:pPr>
      <w:proofErr w:type="spellStart"/>
      <w:r w:rsidRPr="005224C3">
        <w:rPr>
          <w:lang w:val="en-US"/>
        </w:rPr>
        <w:t>Barsottini</w:t>
      </w:r>
      <w:proofErr w:type="spellEnd"/>
      <w:r w:rsidRPr="005224C3">
        <w:rPr>
          <w:lang w:val="en-US"/>
        </w:rPr>
        <w:t xml:space="preserve"> OGP: (Nothing to disclose).  </w:t>
      </w:r>
    </w:p>
    <w:p w14:paraId="51F33C5F" w14:textId="77777777" w:rsidR="005D5294" w:rsidRPr="005224C3" w:rsidRDefault="005D5294" w:rsidP="00A51A8F">
      <w:pPr>
        <w:rPr>
          <w:lang w:val="en-US"/>
        </w:rPr>
      </w:pPr>
      <w:r w:rsidRPr="005224C3">
        <w:rPr>
          <w:lang w:val="en-US"/>
        </w:rPr>
        <w:t xml:space="preserve">Pedroso JL: (Nothing to disclose).   </w:t>
      </w:r>
    </w:p>
    <w:p w14:paraId="119EFFCD" w14:textId="4F44AFC4" w:rsidR="00B42D7E" w:rsidRPr="005224C3" w:rsidRDefault="00B42D7E" w:rsidP="00A51A8F">
      <w:pPr>
        <w:rPr>
          <w:lang w:val="en-US"/>
        </w:rPr>
      </w:pPr>
    </w:p>
    <w:p w14:paraId="1917D230" w14:textId="77777777" w:rsidR="00B42D7E" w:rsidRPr="005224C3" w:rsidRDefault="00B42D7E" w:rsidP="00A51A8F">
      <w:pPr>
        <w:rPr>
          <w:lang w:val="en-US"/>
        </w:rPr>
      </w:pPr>
    </w:p>
    <w:p w14:paraId="3879098E" w14:textId="46D14597" w:rsidR="00B42D7E" w:rsidRPr="005224C3" w:rsidRDefault="00B42D7E" w:rsidP="005D5294">
      <w:pPr>
        <w:pStyle w:val="Ttulo1"/>
        <w:numPr>
          <w:ilvl w:val="0"/>
          <w:numId w:val="0"/>
        </w:numPr>
        <w:ind w:left="360"/>
        <w:jc w:val="center"/>
        <w:rPr>
          <w:rFonts w:ascii="Arial" w:hAnsi="Arial"/>
        </w:rPr>
      </w:pPr>
      <w:r w:rsidRPr="006C66EC">
        <w:rPr>
          <w:rFonts w:ascii="Arial" w:hAnsi="Arial"/>
        </w:rPr>
        <w:br w:type="page"/>
      </w:r>
      <w:r w:rsidR="006466C0">
        <w:rPr>
          <w:rFonts w:ascii="Arial" w:hAnsi="Arial"/>
        </w:rPr>
        <w:lastRenderedPageBreak/>
        <w:t>RESUMO</w:t>
      </w:r>
    </w:p>
    <w:p w14:paraId="42A6D6EA" w14:textId="2384FEC1" w:rsidR="00B42D7E" w:rsidRPr="005224C3" w:rsidRDefault="00B42D7E" w:rsidP="00A51A8F">
      <w:pPr>
        <w:rPr>
          <w:lang w:eastAsia="pt-BR"/>
        </w:rPr>
      </w:pPr>
    </w:p>
    <w:p w14:paraId="58BD0069" w14:textId="13E11312" w:rsidR="00AB389B" w:rsidRPr="005224C3" w:rsidRDefault="005D5294" w:rsidP="006466C0">
      <w:pPr>
        <w:ind w:firstLine="0"/>
        <w:rPr>
          <w:lang w:eastAsia="pt-BR"/>
        </w:rPr>
      </w:pPr>
      <w:r w:rsidRPr="00A73454">
        <w:rPr>
          <w:lang w:eastAsia="pt-BR"/>
        </w:rPr>
        <w:t xml:space="preserve">Pacientes com </w:t>
      </w:r>
      <w:r w:rsidR="00AB389B" w:rsidRPr="00A73454">
        <w:rPr>
          <w:lang w:eastAsia="pt-BR"/>
        </w:rPr>
        <w:t xml:space="preserve">Ataxia </w:t>
      </w:r>
      <w:proofErr w:type="spellStart"/>
      <w:r w:rsidR="00AB389B" w:rsidRPr="00A73454">
        <w:rPr>
          <w:lang w:eastAsia="pt-BR"/>
        </w:rPr>
        <w:t>espinocerebelar</w:t>
      </w:r>
      <w:proofErr w:type="spellEnd"/>
      <w:r w:rsidR="00AB389B" w:rsidRPr="00A73454">
        <w:rPr>
          <w:lang w:eastAsia="pt-BR"/>
        </w:rPr>
        <w:t xml:space="preserve"> tipo 2 (SCA2) </w:t>
      </w:r>
      <w:r w:rsidRPr="00A73454">
        <w:rPr>
          <w:lang w:eastAsia="pt-BR"/>
        </w:rPr>
        <w:t>apresentam uma síndrome cerebelar progressiva</w:t>
      </w:r>
      <w:r w:rsidR="00AB389B" w:rsidRPr="00A73454">
        <w:rPr>
          <w:lang w:eastAsia="pt-BR"/>
        </w:rPr>
        <w:t xml:space="preserve"> que pode resultar em alterações respiratórias, mas ainda há </w:t>
      </w:r>
      <w:r w:rsidR="005F1AAF" w:rsidRPr="00A73454">
        <w:rPr>
          <w:lang w:eastAsia="pt-BR"/>
        </w:rPr>
        <w:t xml:space="preserve">uma </w:t>
      </w:r>
      <w:r w:rsidR="00AB389B" w:rsidRPr="00A73454">
        <w:rPr>
          <w:lang w:eastAsia="pt-BR"/>
        </w:rPr>
        <w:t>lacuna sobre as diferenças em relação a indivíduos saudáveis</w:t>
      </w:r>
      <w:r w:rsidRPr="00A73454">
        <w:rPr>
          <w:lang w:eastAsia="pt-BR"/>
        </w:rPr>
        <w:t>. O</w:t>
      </w:r>
      <w:r w:rsidRPr="00A73454">
        <w:t xml:space="preserve"> objetivo foi analisar as diferenças no perfil respiratório de pacientes com SCA2 em relação a adultos saudáveis. </w:t>
      </w:r>
      <w:r w:rsidR="00AB389B" w:rsidRPr="00A73454">
        <w:t>Estudou-se</w:t>
      </w:r>
      <w:r w:rsidRPr="00A73454">
        <w:t xml:space="preserve"> 13 </w:t>
      </w:r>
      <w:r w:rsidR="00AB389B" w:rsidRPr="00A73454">
        <w:t>adultos</w:t>
      </w:r>
      <w:r w:rsidRPr="00A73454">
        <w:rPr>
          <w:lang w:val="pt-PT"/>
        </w:rPr>
        <w:t xml:space="preserve"> com diagnóstico clínico e genético de SCA 2, </w:t>
      </w:r>
      <w:r w:rsidR="005F1AAF" w:rsidRPr="00A73454">
        <w:rPr>
          <w:lang w:val="pt-PT"/>
        </w:rPr>
        <w:t>com</w:t>
      </w:r>
      <w:r w:rsidRPr="00A73454">
        <w:rPr>
          <w:lang w:val="pt-PT"/>
        </w:rPr>
        <w:t xml:space="preserve"> investigação negativa para causas adquiridas</w:t>
      </w:r>
      <w:r w:rsidRPr="00A73454">
        <w:t xml:space="preserve"> e 19 controles saudáveis.</w:t>
      </w:r>
      <w:r w:rsidR="005F1AAF" w:rsidRPr="00A73454">
        <w:t xml:space="preserve"> Foram avaliados através de</w:t>
      </w:r>
      <w:r w:rsidRPr="00A73454">
        <w:t xml:space="preserve"> </w:t>
      </w:r>
      <w:r w:rsidR="00AB389B" w:rsidRPr="00A73454">
        <w:t>E</w:t>
      </w:r>
      <w:r w:rsidRPr="00A73454">
        <w:t xml:space="preserve">spirometria, Pi e </w:t>
      </w:r>
      <w:proofErr w:type="spellStart"/>
      <w:r w:rsidRPr="00A73454">
        <w:t>Pe</w:t>
      </w:r>
      <w:proofErr w:type="spellEnd"/>
      <w:r w:rsidRPr="00A73454">
        <w:t xml:space="preserve"> máximas, </w:t>
      </w:r>
      <w:proofErr w:type="spellStart"/>
      <w:r w:rsidRPr="00A73454">
        <w:t>sniff</w:t>
      </w:r>
      <w:proofErr w:type="spellEnd"/>
      <w:r w:rsidR="005F1AAF" w:rsidRPr="00A73454">
        <w:t>,</w:t>
      </w:r>
      <w:r w:rsidRPr="00A73454">
        <w:t xml:space="preserve"> PFT</w:t>
      </w:r>
      <w:r w:rsidR="005F1AAF" w:rsidRPr="00A73454">
        <w:t xml:space="preserve"> e</w:t>
      </w:r>
      <w:r w:rsidRPr="00A73454">
        <w:t xml:space="preserve"> foram </w:t>
      </w:r>
      <w:r w:rsidR="00AB389B" w:rsidRPr="00A73454">
        <w:t>comparados</w:t>
      </w:r>
      <w:r w:rsidRPr="00A73454">
        <w:t xml:space="preserve"> com as escalas de graduação de ataxia SARA e ICARS. </w:t>
      </w:r>
      <w:r w:rsidR="00AB389B" w:rsidRPr="00A73454">
        <w:t xml:space="preserve">Adultos </w:t>
      </w:r>
      <w:r w:rsidRPr="00A73454">
        <w:t xml:space="preserve">com SCA2 apresentaram menor média de CVF L [-1,14 </w:t>
      </w:r>
      <w:proofErr w:type="gramStart"/>
      <w:r w:rsidRPr="00A73454">
        <w:t>[ IC</w:t>
      </w:r>
      <w:proofErr w:type="gramEnd"/>
      <w:r w:rsidRPr="00A73454">
        <w:t xml:space="preserve"> 95% 1,80; -0,48]; p&lt;0,01]</w:t>
      </w:r>
      <w:r w:rsidRPr="00A73454">
        <w:rPr>
          <w:lang w:eastAsia="pt-BR"/>
        </w:rPr>
        <w:t xml:space="preserve"> , CVF % [-15,93% [IC 95% -26,56; -5,30; p&lt;0,01], VEF1 L [-0,97 [IC 95%</w:t>
      </w:r>
      <w:r w:rsidRPr="00A73454">
        <w:rPr>
          <w:color w:val="1B1B1B"/>
          <w:shd w:val="clear" w:color="auto" w:fill="FFFFFF"/>
        </w:rPr>
        <w:t xml:space="preserve"> -1,51; -0,43; p&lt;0,01], VEF1 % [-15,87% [IC 95% -26,98; -4,77]; p&lt;0,01]; PFE L [</w:t>
      </w:r>
      <w:r w:rsidRPr="00A73454">
        <w:t>-</w:t>
      </w:r>
      <w:r w:rsidRPr="00A73454">
        <w:rPr>
          <w:kern w:val="0"/>
          <w14:ligatures w14:val="none"/>
        </w:rPr>
        <w:t>2,06</w:t>
      </w:r>
      <w:r w:rsidRPr="00A73454">
        <w:t xml:space="preserve"> </w:t>
      </w:r>
      <w:r w:rsidRPr="00A73454">
        <w:rPr>
          <w:kern w:val="0"/>
          <w14:ligatures w14:val="none"/>
        </w:rPr>
        <w:t>[</w:t>
      </w:r>
      <w:r w:rsidRPr="00A73454">
        <w:rPr>
          <w:color w:val="1B1B1B"/>
          <w:shd w:val="clear" w:color="auto" w:fill="FFFFFF"/>
        </w:rPr>
        <w:t xml:space="preserve">IC 95% </w:t>
      </w:r>
      <w:r w:rsidRPr="00A73454">
        <w:t>-</w:t>
      </w:r>
      <w:r w:rsidRPr="00A73454">
        <w:rPr>
          <w:kern w:val="0"/>
          <w14:ligatures w14:val="none"/>
        </w:rPr>
        <w:t>3,63</w:t>
      </w:r>
      <w:r w:rsidRPr="00A73454">
        <w:t>; -</w:t>
      </w:r>
      <w:r w:rsidRPr="00A73454">
        <w:rPr>
          <w:kern w:val="0"/>
          <w14:ligatures w14:val="none"/>
        </w:rPr>
        <w:t>0,49]; p&lt;0,01]; PFE % [</w:t>
      </w:r>
      <w:r w:rsidRPr="00A73454">
        <w:t>-21,89% [IC 95% -30,65; -13,14]; p&lt;0,01]. Além disso, também apresentaram menor PE</w:t>
      </w:r>
      <w:r w:rsidR="005F1AAF" w:rsidRPr="00A73454">
        <w:t xml:space="preserve"> </w:t>
      </w:r>
      <w:proofErr w:type="spellStart"/>
      <w:r w:rsidR="005F1AAF" w:rsidRPr="00A73454">
        <w:t>máx</w:t>
      </w:r>
      <w:proofErr w:type="spellEnd"/>
      <w:r w:rsidRPr="00A73454">
        <w:t xml:space="preserve"> mediano (-10,0 [IC 95% -29,79; -9,79]; p&lt;0,01] e Li PE </w:t>
      </w:r>
      <w:proofErr w:type="spellStart"/>
      <w:r w:rsidRPr="00A73454">
        <w:t>máx</w:t>
      </w:r>
      <w:proofErr w:type="spellEnd"/>
      <w:r w:rsidRPr="00A73454">
        <w:t xml:space="preserve"> média [-29,35 [ IC 95% -48,81; -9,89]; &lt;0,01], bem como menores medianas de SNIP [-37,5 [IC 95% -55,49; -19,50]; p&gt;0,01], PFT  [-90,0 [IC 95% -164,22; -15,77; p=0,02], SPO2 [-1,5 [IC 95%-2,1; -0,90]; p&lt;0,01] e amplitude máxima do trapézio [ -0,17[IC 95% -0,32; -0,01];p=0,03] e menores médias de ETCO2 e Amplitude média -0,26 [IC 95%  -0,41; 0,11]; p&lt;0,01. </w:t>
      </w:r>
      <w:r w:rsidR="00AB389B" w:rsidRPr="00A73454">
        <w:t>Há diferenças na função respiratória de adultos</w:t>
      </w:r>
      <w:r w:rsidRPr="00A73454">
        <w:rPr>
          <w:lang w:eastAsia="pt-BR"/>
        </w:rPr>
        <w:t xml:space="preserve"> com SCA2 </w:t>
      </w:r>
      <w:r w:rsidR="00AB389B" w:rsidRPr="00A73454">
        <w:rPr>
          <w:lang w:eastAsia="pt-BR"/>
        </w:rPr>
        <w:t>relacionados a capacidade pulmonar e força respiratória, que devem ser considerados no tratamento clínico.</w:t>
      </w:r>
    </w:p>
    <w:p w14:paraId="63182F9B" w14:textId="2F1A8A89" w:rsidR="00B42D7E" w:rsidRPr="005224C3" w:rsidRDefault="00B42D7E" w:rsidP="00A51A8F">
      <w:pPr>
        <w:rPr>
          <w:lang w:eastAsia="pt-BR"/>
        </w:rPr>
      </w:pPr>
    </w:p>
    <w:p w14:paraId="49D1075C" w14:textId="201254A4" w:rsidR="00B42D7E" w:rsidRPr="00A73454" w:rsidRDefault="00AB389B" w:rsidP="00300015">
      <w:pPr>
        <w:rPr>
          <w:u w:color="000000"/>
          <w:bdr w:val="nil"/>
          <w:lang w:val="en-US" w:eastAsia="pt-BR"/>
        </w:rPr>
      </w:pPr>
      <w:proofErr w:type="spellStart"/>
      <w:r w:rsidRPr="00A73454">
        <w:rPr>
          <w:b/>
          <w:bCs/>
          <w:u w:color="000000"/>
          <w:bdr w:val="nil"/>
          <w:lang w:val="en-US" w:eastAsia="pt-BR"/>
        </w:rPr>
        <w:t>Palavras-chave</w:t>
      </w:r>
      <w:proofErr w:type="spellEnd"/>
      <w:r w:rsidRPr="00A73454">
        <w:rPr>
          <w:b/>
          <w:bCs/>
          <w:u w:color="000000"/>
          <w:bdr w:val="nil"/>
          <w:lang w:val="en-US" w:eastAsia="pt-BR"/>
        </w:rPr>
        <w:t>:</w:t>
      </w:r>
      <w:r w:rsidRPr="00A73454">
        <w:rPr>
          <w:u w:color="000000"/>
          <w:bdr w:val="nil"/>
          <w:lang w:val="en-US" w:eastAsia="pt-BR"/>
        </w:rPr>
        <w:t xml:space="preserve"> </w:t>
      </w:r>
      <w:r w:rsidR="00300015" w:rsidRPr="00A73454">
        <w:rPr>
          <w:color w:val="131413"/>
          <w:kern w:val="0"/>
          <w:sz w:val="24"/>
          <w:szCs w:val="24"/>
          <w:lang w:val="en-US"/>
        </w:rPr>
        <w:t xml:space="preserve">SCA, SCA2, Spinocerebellar ataxia, Spinocerebellar ataxia2, </w:t>
      </w:r>
      <w:r w:rsidR="00A73454" w:rsidRPr="00A73454">
        <w:rPr>
          <w:color w:val="131413"/>
          <w:kern w:val="0"/>
          <w:sz w:val="24"/>
          <w:szCs w:val="24"/>
          <w:lang w:val="en-US"/>
        </w:rPr>
        <w:t>sleep disorders</w:t>
      </w:r>
      <w:r w:rsidR="00300015" w:rsidRPr="00A73454">
        <w:rPr>
          <w:color w:val="131413"/>
          <w:kern w:val="0"/>
          <w:sz w:val="24"/>
          <w:szCs w:val="24"/>
          <w:lang w:val="en-US"/>
        </w:rPr>
        <w:t>, respiratory complications, respiratory function, neuro respiratory</w:t>
      </w:r>
    </w:p>
    <w:p w14:paraId="4CF96C51" w14:textId="77777777" w:rsidR="00B42D7E" w:rsidRPr="00A73454" w:rsidRDefault="00B42D7E" w:rsidP="00A51A8F">
      <w:pPr>
        <w:rPr>
          <w:rFonts w:eastAsia="Courier New"/>
          <w:color w:val="000000"/>
          <w:kern w:val="0"/>
          <w:sz w:val="24"/>
          <w:szCs w:val="24"/>
          <w:u w:color="000000"/>
          <w:bdr w:val="nil"/>
          <w:lang w:val="en-US" w:eastAsia="pt-BR"/>
          <w14:ligatures w14:val="none"/>
        </w:rPr>
      </w:pPr>
      <w:r w:rsidRPr="00A73454">
        <w:rPr>
          <w:lang w:val="en-US"/>
        </w:rPr>
        <w:br w:type="page"/>
      </w:r>
    </w:p>
    <w:p w14:paraId="7AA1D354" w14:textId="5BE94749" w:rsidR="00785C7F" w:rsidRDefault="006466C0" w:rsidP="006466C0">
      <w:pPr>
        <w:pStyle w:val="Ttulo1"/>
        <w:numPr>
          <w:ilvl w:val="0"/>
          <w:numId w:val="10"/>
        </w:numPr>
        <w:rPr>
          <w:rFonts w:ascii="Arial" w:hAnsi="Arial"/>
        </w:rPr>
      </w:pPr>
      <w:r w:rsidRPr="006466C0">
        <w:rPr>
          <w:rFonts w:ascii="Arial" w:hAnsi="Arial"/>
        </w:rPr>
        <w:lastRenderedPageBreak/>
        <w:t xml:space="preserve">INTRODUÇÃO </w:t>
      </w:r>
    </w:p>
    <w:p w14:paraId="3C2EECAA" w14:textId="77777777" w:rsidR="00F25A24" w:rsidRDefault="00F25A24" w:rsidP="00F25A24">
      <w:pPr>
        <w:rPr>
          <w:lang w:eastAsia="pt-BR"/>
        </w:rPr>
      </w:pPr>
    </w:p>
    <w:p w14:paraId="2124B5E1" w14:textId="77777777" w:rsidR="00F25A24" w:rsidRDefault="00F25A24" w:rsidP="00F25A24">
      <w:pPr>
        <w:rPr>
          <w:lang w:eastAsia="pt-BR"/>
        </w:rPr>
      </w:pPr>
    </w:p>
    <w:p w14:paraId="2DEBAB03" w14:textId="6E9D3971" w:rsidR="005D0F44" w:rsidRPr="00F25A24" w:rsidRDefault="00F25A24" w:rsidP="00A73454">
      <w:pPr>
        <w:rPr>
          <w:rFonts w:eastAsia="Times New Roman"/>
          <w:kern w:val="0"/>
          <w:sz w:val="24"/>
          <w:szCs w:val="24"/>
          <w:lang w:eastAsia="pt-BR"/>
          <w14:ligatures w14:val="none"/>
        </w:rPr>
      </w:pPr>
      <w:r w:rsidRPr="00F25A24">
        <w:rPr>
          <w:lang w:val="pt-PT" w:eastAsia="pt-BR"/>
        </w:rPr>
        <w:t xml:space="preserve">Ataxias </w:t>
      </w:r>
      <w:proofErr w:type="spellStart"/>
      <w:r w:rsidRPr="00F25A24">
        <w:rPr>
          <w:lang w:val="pt-PT" w:eastAsia="pt-BR"/>
        </w:rPr>
        <w:t>espinocerebelares</w:t>
      </w:r>
      <w:proofErr w:type="spellEnd"/>
      <w:r w:rsidRPr="00F25A24">
        <w:rPr>
          <w:lang w:val="pt-PT" w:eastAsia="pt-BR"/>
        </w:rPr>
        <w:t xml:space="preserve"> (</w:t>
      </w:r>
      <w:proofErr w:type="spellStart"/>
      <w:r w:rsidRPr="00F25A24">
        <w:rPr>
          <w:lang w:val="pt-PT" w:eastAsia="pt-BR"/>
        </w:rPr>
        <w:t>SCAs</w:t>
      </w:r>
      <w:proofErr w:type="spellEnd"/>
      <w:r w:rsidRPr="00F25A24">
        <w:rPr>
          <w:lang w:val="pt-PT" w:eastAsia="pt-BR"/>
        </w:rPr>
        <w:t xml:space="preserve">) são definidas como um grupo de distúrbios atáxicos </w:t>
      </w:r>
      <w:proofErr w:type="spellStart"/>
      <w:r w:rsidRPr="00F25A24">
        <w:rPr>
          <w:lang w:val="pt-PT" w:eastAsia="pt-BR"/>
        </w:rPr>
        <w:t>autossômicos</w:t>
      </w:r>
      <w:proofErr w:type="spellEnd"/>
      <w:r w:rsidRPr="00F25A24">
        <w:rPr>
          <w:lang w:val="pt-PT" w:eastAsia="pt-BR"/>
        </w:rPr>
        <w:t xml:space="preserve"> dominantes causados ​​pela degeneração do cerebelo e suas conexões aferentes e eferentes</w:t>
      </w:r>
      <w:r w:rsidR="00A73454">
        <w:rPr>
          <w:lang w:val="pt-PT" w:eastAsia="pt-BR"/>
        </w:rPr>
        <w:fldChar w:fldCharType="begin"/>
      </w:r>
      <w:r w:rsidR="00A73454">
        <w:rPr>
          <w:lang w:val="pt-PT" w:eastAsia="pt-BR"/>
        </w:rPr>
        <w:instrText xml:space="preserve"> ADDIN ZOTERO_ITEM CSL_CITATION {"citationID":"BREdqylL","properties":{"formattedCitation":"[1]","plainCitation":"[1]","noteIndex":0},"citationItems":[{"id":6917,"uris":["http://zotero.org/users/10339151/items/WJUERZGI"],"itemData":{"id":6917,"type":"article-journal","container-title":"The Cerebellum","DOI":"10.1007/s12311-016-0761-5","ISSN":"1473-4222, 1473-4230","issue":"1","journalAbbreviation":"Cerebellum","language":"en","page":"34-39","source":"DOI.org (Crossref)","title":"Non-motor and Extracerebellar Features in Spinocerebellar Ataxia Type 2","volume":"16","author":[{"family":"Pedroso","given":"José Luiz"},{"family":"Braga-Neto","given":"Pedro"},{"family":"Escorcio-Bezerra","given":"Marcio Luiz"},{"family":"Abrahão","given":"Agessandro"},{"family":"De Albuquerque","given":"Marcus Vinicius Cristino"},{"family":"Filho","given":"Flavio Moura Rezende"},{"family":"De Souza","given":"Paulo Victor Sgobbi"},{"family":"De Rezende Pinto","given":"Wladimir Bocca Vieira"},{"family":"Borges","given":"Franklin Roberto Pereira"},{"family":"Saraiva-Pereira","given":"Maria Luiza"},{"family":"Jardim","given":"Laura Bannach"},{"family":"Barsottini","given":"Orlando G. P."}],"issued":{"date-parts":[["2017",2]]}}}],"schema":"https://github.com/citation-style-language/schema/raw/master/csl-citation.json"} </w:instrText>
      </w:r>
      <w:r w:rsidR="00A73454">
        <w:rPr>
          <w:lang w:val="pt-PT" w:eastAsia="pt-BR"/>
        </w:rPr>
        <w:fldChar w:fldCharType="separate"/>
      </w:r>
      <w:r w:rsidR="00A73454" w:rsidRPr="00A73454">
        <w:t>[1]</w:t>
      </w:r>
      <w:r w:rsidR="00A73454">
        <w:rPr>
          <w:lang w:val="pt-PT" w:eastAsia="pt-BR"/>
        </w:rPr>
        <w:fldChar w:fldCharType="end"/>
      </w:r>
      <w:r w:rsidRPr="00F25A24">
        <w:rPr>
          <w:lang w:val="pt-PT" w:eastAsia="pt-BR"/>
        </w:rPr>
        <w:t>.</w:t>
      </w:r>
      <w:r>
        <w:rPr>
          <w:lang w:eastAsia="pt-BR"/>
        </w:rPr>
        <w:t xml:space="preserve"> </w:t>
      </w:r>
      <w:r w:rsidR="00DB28EC" w:rsidRPr="00DB28EC">
        <w:t>A ataxia</w:t>
      </w:r>
      <w:r w:rsidR="00A73454">
        <w:t xml:space="preserve"> </w:t>
      </w:r>
      <w:proofErr w:type="spellStart"/>
      <w:r w:rsidR="00DB28EC" w:rsidRPr="00DB28EC">
        <w:t>espinocerebelar</w:t>
      </w:r>
      <w:proofErr w:type="spellEnd"/>
      <w:r w:rsidR="00DB28EC" w:rsidRPr="00DB28EC">
        <w:t xml:space="preserve"> tipo 2 (SCA2) é um distúrbio</w:t>
      </w:r>
      <w:r w:rsidR="00DB28EC">
        <w:t xml:space="preserve"> autossômico </w:t>
      </w:r>
      <w:r w:rsidR="00DB28EC" w:rsidRPr="00DB28EC">
        <w:t xml:space="preserve"> neurodegenerativo dominante devido a expansões de um trato de repetição </w:t>
      </w:r>
      <w:r w:rsidR="007578D2">
        <w:t>do tripleto</w:t>
      </w:r>
      <w:r w:rsidR="00A73454">
        <w:fldChar w:fldCharType="begin"/>
      </w:r>
      <w:r w:rsidR="00A73454">
        <w:instrText xml:space="preserve"> ADDIN ZOTERO_ITEM CSL_CITATION {"citationID":"DkRTBs1R","properties":{"formattedCitation":"[2]","plainCitation":"[2]","noteIndex":0},"citationItems":[{"id":6913,"uris":["http://zotero.org/users/10339151/items/EH58K88G"],"itemData":{"id":6913,"type":"article-journal","container-title":"Parkinsonism &amp; Related Disorders","DOI":"10.1016/j.parkreldis.2023.105985","ISSN":"13538020","journalAbbreviation":"Parkinsonism &amp; Related Disorders","language":"en","page":"105985","source":"DOI.org (Crossref)","title":"Spinocerebellar ataxia type 2 has multiple ancestral origins","volume":"120","author":[{"family":"Sena","given":"Lucas Schenatto"},{"family":"Furtado","given":"Gabriel Vasata"},{"family":"Pedroso","given":"José Luiz"},{"family":"Barsottini","given":"Orlando"},{"family":"Cornejo-Olivas","given":"Mario"},{"family":"Nóbrega","given":"Paulo Ribeiro"},{"family":"Braga Neto","given":"Pedro"},{"family":"Soares","given":"Danyela Martins Bezerra"},{"family":"Vargas","given":"Fernando Regla"},{"family":"Godeiro","given":"Clecio"},{"family":"Medeiros","given":"Paula Frassinetti Vasconcelos De"},{"family":"Camejo","given":"Claudia"},{"family":"Toralles","given":"Maria Betania Pereira"},{"family":"Fagundes","given":"Nelson Jurandi Rosa"},{"family":"Jardim","given":"Laura Bannach"},{"family":"Saraiva-Pereira","given":"Maria Luiza"}],"issued":{"date-parts":[["2024",3]]}}}],"schema":"https://github.com/citation-style-language/schema/raw/master/csl-citation.json"} </w:instrText>
      </w:r>
      <w:r w:rsidR="00A73454">
        <w:fldChar w:fldCharType="separate"/>
      </w:r>
      <w:r w:rsidR="00A73454" w:rsidRPr="00A73454">
        <w:t>[2]</w:t>
      </w:r>
      <w:r w:rsidR="00A73454">
        <w:fldChar w:fldCharType="end"/>
      </w:r>
      <w:r w:rsidR="007578D2" w:rsidRPr="005224C3">
        <w:rPr>
          <w:lang w:eastAsia="pt-BR"/>
        </w:rPr>
        <w:t xml:space="preserve"> citosina-adenina-guanina (CAG) no cromossomo 12q24.1</w:t>
      </w:r>
      <w:r w:rsidR="007578D2">
        <w:rPr>
          <w:lang w:eastAsia="pt-BR"/>
        </w:rPr>
        <w:t>,</w:t>
      </w:r>
      <w:r w:rsidR="00DB28EC" w:rsidRPr="00DB28EC">
        <w:t xml:space="preserve">  no gene </w:t>
      </w:r>
      <w:hyperlink r:id="rId6" w:tooltip="Saiba mais sobre ATXN2 nas páginas de tópicos geradas por IA do ScienceDirect" w:history="1">
        <w:r w:rsidR="00DB28EC" w:rsidRPr="00DB28EC">
          <w:rPr>
            <w:u w:val="single"/>
          </w:rPr>
          <w:t>ATXN2</w:t>
        </w:r>
      </w:hyperlink>
      <w:r w:rsidR="00DB28EC" w:rsidRPr="00DB28EC">
        <w:t> .</w:t>
      </w:r>
      <w:r w:rsidR="00DB28EC">
        <w:t xml:space="preserve"> </w:t>
      </w:r>
      <w:r w:rsidR="007578D2">
        <w:rPr>
          <w:lang w:eastAsia="pt-BR"/>
        </w:rPr>
        <w:t>Es</w:t>
      </w:r>
      <w:r w:rsidR="0000710C" w:rsidRPr="005224C3">
        <w:rPr>
          <w:lang w:eastAsia="pt-BR"/>
        </w:rPr>
        <w:t xml:space="preserve">sa mutação causa degeneração do cerebelo, afetando principalmente as células de </w:t>
      </w:r>
      <w:proofErr w:type="spellStart"/>
      <w:r w:rsidR="0000710C" w:rsidRPr="005224C3">
        <w:rPr>
          <w:lang w:eastAsia="pt-BR"/>
        </w:rPr>
        <w:t>Purkinje</w:t>
      </w:r>
      <w:proofErr w:type="spellEnd"/>
      <w:r w:rsidR="0000710C" w:rsidRPr="005224C3">
        <w:rPr>
          <w:lang w:eastAsia="pt-BR"/>
        </w:rPr>
        <w:t xml:space="preserve">, os núcleos </w:t>
      </w:r>
      <w:proofErr w:type="spellStart"/>
      <w:r w:rsidR="0000710C" w:rsidRPr="005224C3">
        <w:rPr>
          <w:lang w:eastAsia="pt-BR"/>
        </w:rPr>
        <w:t>pontinos</w:t>
      </w:r>
      <w:proofErr w:type="spellEnd"/>
      <w:r w:rsidR="0000710C" w:rsidRPr="005224C3">
        <w:rPr>
          <w:lang w:eastAsia="pt-BR"/>
        </w:rPr>
        <w:t xml:space="preserve"> e as olivas inferiores. Pacientes com SCA2 apresentam uma síndrome cerebelar progressiva caracterizada por ataxia da marcha, disartria cerebelar, dismetria e disdiadococinesia</w:t>
      </w:r>
      <w:r w:rsidR="00F611D0" w:rsidRPr="005224C3">
        <w:rPr>
          <w:lang w:eastAsia="pt-BR"/>
        </w:rPr>
        <w:fldChar w:fldCharType="begin"/>
      </w:r>
      <w:r w:rsidR="00A73454">
        <w:rPr>
          <w:lang w:eastAsia="pt-BR"/>
        </w:rPr>
        <w:instrText xml:space="preserve"> ADDIN ZOTERO_ITEM CSL_CITATION {"citationID":"NdcbQ3oe","properties":{"formattedCitation":"[3]","plainCitation":"[3]","noteIndex":0},"citationItems":[{"id":6865,"uris":["http://zotero.org/users/10339151/items/UBGYBQ8A"],"itemData":{"id":6865,"type":"article-journal","container-title":"The Cerebellum","DOI":"10.1007/s12311-013-0496-5","ISSN":"1473-4222, 1473-4230","issue":"6","journalAbbreviation":"Cerebellum","language":"en","license":"http://www.springer.com/tdm","page":"848-855","source":"DOI.org (Crossref)","title":"Spinocerebellar Ataxia Type 2 Neurodegeneration Differentially Affects Error-Based and Strategic-Based Visuomotor Learning","volume":"12","author":[{"family":"Vaca-Palomares","given":"Israel"},{"family":"Díaz","given":"Rosalinda"},{"family":"Rodríguez-Labrada","given":"Roberto"},{"family":"Medrano-Montero","given":"Jacqeline"},{"family":"Vázquez-Mojena","given":"Yaimé"},{"family":"Velázquez-Pérez","given":"Luis"},{"family":"Fernandez-Ruiz","given":"Juan"}],"issued":{"date-parts":[["2013",12]]}}}],"schema":"https://github.com/citation-style-language/schema/raw/master/csl-citation.json"} </w:instrText>
      </w:r>
      <w:r w:rsidR="00F611D0" w:rsidRPr="005224C3">
        <w:rPr>
          <w:lang w:eastAsia="pt-BR"/>
        </w:rPr>
        <w:fldChar w:fldCharType="separate"/>
      </w:r>
      <w:r w:rsidR="00A73454" w:rsidRPr="00A73454">
        <w:t>[3]</w:t>
      </w:r>
      <w:r w:rsidR="00F611D0" w:rsidRPr="005224C3">
        <w:rPr>
          <w:lang w:eastAsia="pt-BR"/>
        </w:rPr>
        <w:fldChar w:fldCharType="end"/>
      </w:r>
      <w:r w:rsidR="0000710C" w:rsidRPr="005224C3">
        <w:rPr>
          <w:lang w:eastAsia="pt-BR"/>
        </w:rPr>
        <w:t>.</w:t>
      </w:r>
      <w:r w:rsidR="00300015">
        <w:t xml:space="preserve"> Corresponde ao</w:t>
      </w:r>
      <w:r w:rsidR="005D0F44" w:rsidRPr="005224C3">
        <w:rPr>
          <w:rStyle w:val="Forte"/>
          <w:b w:val="0"/>
          <w:bCs w:val="0"/>
        </w:rPr>
        <w:t xml:space="preserve"> segundo tipo mais frequente</w:t>
      </w:r>
      <w:r w:rsidR="00F20D76" w:rsidRPr="005224C3">
        <w:rPr>
          <w:rStyle w:val="Forte"/>
          <w:b w:val="0"/>
          <w:bCs w:val="0"/>
        </w:rPr>
        <w:t xml:space="preserve"> dentre as Ataxias </w:t>
      </w:r>
      <w:proofErr w:type="spellStart"/>
      <w:r w:rsidR="00F20D76" w:rsidRPr="005224C3">
        <w:rPr>
          <w:rStyle w:val="Forte"/>
          <w:b w:val="0"/>
          <w:bCs w:val="0"/>
        </w:rPr>
        <w:t>Espinocerebelares</w:t>
      </w:r>
      <w:proofErr w:type="spellEnd"/>
      <w:r w:rsidR="00F20D76" w:rsidRPr="005224C3">
        <w:rPr>
          <w:rStyle w:val="Forte"/>
          <w:b w:val="0"/>
          <w:bCs w:val="0"/>
        </w:rPr>
        <w:t xml:space="preserve"> (SCA)</w:t>
      </w:r>
      <w:r w:rsidR="00E7337D" w:rsidRPr="005224C3">
        <w:t>,</w:t>
      </w:r>
      <w:r w:rsidR="005D0F44" w:rsidRPr="005224C3">
        <w:t xml:space="preserve"> </w:t>
      </w:r>
      <w:r w:rsidR="00F611D0" w:rsidRPr="005224C3">
        <w:rPr>
          <w:color w:val="1B1B1B"/>
        </w:rPr>
        <w:fldChar w:fldCharType="begin"/>
      </w:r>
      <w:r w:rsidR="00A73454">
        <w:rPr>
          <w:color w:val="1B1B1B"/>
        </w:rPr>
        <w:instrText xml:space="preserve"> ADDIN ZOTERO_ITEM CSL_CITATION {"citationID":"MZ4fOh06","properties":{"formattedCitation":"[4]","plainCitation":"[4]","noteIndex":0},"citationItems":[{"id":6866,"uris":["http://zotero.org/users/10339151/items/HM8FZICN"],"itemData":{"id":6866,"type":"chapter","container-title":"Polyglutamine Disorders","event-place":"Cham","ISBN":"978-3-319-71778-4","note":"collection-title: Advances in Experimental Medicine and Biology\nDOI: 10.1007/978-3-319-71779-1_8","page":"175-195","publisher":"Springer International Publishing","publisher-place":"Cham","source":"DOI.org (Crossref)","title":"Spinocerebellar Ataxia Type 2","URL":"http://link.springer.com/10.1007/978-3-319-71779-1_8","volume":"1049","editor":[{"family":"Nóbrega","given":"Clévio"},{"family":"Pereira De Almeida","given":"Luís"}],"author":[{"family":"Scoles","given":"Daniel R."},{"family":"Pulst","given":"Stefan M."}],"accessed":{"date-parts":[["2024",12,20]]},"issued":{"date-parts":[["2018"]]}}}],"schema":"https://github.com/citation-style-language/schema/raw/master/csl-citation.json"} </w:instrText>
      </w:r>
      <w:r w:rsidR="00F611D0" w:rsidRPr="005224C3">
        <w:rPr>
          <w:color w:val="1B1B1B"/>
        </w:rPr>
        <w:fldChar w:fldCharType="separate"/>
      </w:r>
      <w:r w:rsidR="00A73454" w:rsidRPr="00A73454">
        <w:t>[4]</w:t>
      </w:r>
      <w:r w:rsidR="00F611D0" w:rsidRPr="005224C3">
        <w:rPr>
          <w:color w:val="1B1B1B"/>
        </w:rPr>
        <w:fldChar w:fldCharType="end"/>
      </w:r>
      <w:r w:rsidR="005D0F44" w:rsidRPr="005224C3">
        <w:t xml:space="preserve">, </w:t>
      </w:r>
      <w:r w:rsidR="00E7337D" w:rsidRPr="005224C3">
        <w:t xml:space="preserve">possui amplo espectro clínico, podendo apresentar envolvimento do cerebelo e de suas conexões </w:t>
      </w:r>
      <w:r w:rsidR="005D0F44" w:rsidRPr="005224C3">
        <w:t xml:space="preserve">além de </w:t>
      </w:r>
      <w:r w:rsidR="00E7337D" w:rsidRPr="005224C3">
        <w:t>sinais não cerebelares indicando comprometimento de outras regiões do sistema nervoso, tais como o tronco encefálico, medula espinhal, trato piramidal, nervos periféricos e nervos ópticos</w:t>
      </w:r>
      <w:r w:rsidR="00F611D0" w:rsidRPr="005224C3">
        <w:fldChar w:fldCharType="begin"/>
      </w:r>
      <w:r w:rsidR="00A73454">
        <w:instrText xml:space="preserve"> ADDIN ZOTERO_ITEM CSL_CITATION {"citationID":"pFLNXl3s","properties":{"formattedCitation":"[5]","plainCitation":"[5]","noteIndex":0},"citationItems":[{"id":6867,"uris":["http://zotero.org/users/10339151/items/Y6P9HVQH"],"itemData":{"id":6867,"type":"article-journal","container-title":"The Cerebellum","DOI":"10.1007/s12311-011-0265-2","ISSN":"1473-4222, 1473-4230","issue":"2","journalAbbreviation":"Cerebellum","language":"en","license":"http://www.springer.com/tdm","page":"184-198","source":"DOI.org (Crossref)","title":"A Comprehensive Review of Spinocerebellar Ataxia Type 2 in Cuba","volume":"10","author":[{"family":"Velázquez-Pérez","given":"Luis"},{"family":"Rodríguez-Labrada","given":"Roberto"},{"family":"García-Rodríguez","given":"Julio Cesar"},{"family":"Almaguer-Mederos","given":"Luis Enrique"},{"family":"Cruz-Mariño","given":"Tania"},{"family":"Laffita-Mesa","given":"José Miguel"}],"issued":{"date-parts":[["2011",6]]}}}],"schema":"https://github.com/citation-style-language/schema/raw/master/csl-citation.json"} </w:instrText>
      </w:r>
      <w:r w:rsidR="00F611D0" w:rsidRPr="005224C3">
        <w:fldChar w:fldCharType="separate"/>
      </w:r>
      <w:r w:rsidR="00A73454" w:rsidRPr="00A73454">
        <w:t>[5]</w:t>
      </w:r>
      <w:r w:rsidR="00F611D0" w:rsidRPr="005224C3">
        <w:fldChar w:fldCharType="end"/>
      </w:r>
      <w:r w:rsidR="00BF2922" w:rsidRPr="005224C3">
        <w:t>.</w:t>
      </w:r>
    </w:p>
    <w:p w14:paraId="0992A56A" w14:textId="5BFC2CA2" w:rsidR="00EA71F0" w:rsidRPr="005224C3" w:rsidRDefault="003E2E34" w:rsidP="00A51A8F">
      <w:pPr>
        <w:rPr>
          <w:lang w:val="pt-PT"/>
        </w:rPr>
      </w:pPr>
      <w:r w:rsidRPr="005224C3">
        <w:tab/>
      </w:r>
      <w:r w:rsidR="00EA71F0" w:rsidRPr="005224C3">
        <w:rPr>
          <w:lang w:val="pt-PT"/>
        </w:rPr>
        <w:t xml:space="preserve">O cerebelo constitui somente 10% do volume total do encéfalo, mas possui mais da metade dos neurônios encefálicos sendo que, recebe informações de várias partes do encéfalo e da medula espinhal </w:t>
      </w:r>
      <w:r w:rsidR="00EA71F0" w:rsidRPr="00A73454">
        <w:rPr>
          <w:lang w:val="pt-PT"/>
        </w:rPr>
        <w:t xml:space="preserve">que </w:t>
      </w:r>
      <w:r w:rsidR="00F611D0" w:rsidRPr="00A73454">
        <w:rPr>
          <w:lang w:val="pt-PT"/>
        </w:rPr>
        <w:t>se projetam</w:t>
      </w:r>
      <w:r w:rsidR="00EA71F0" w:rsidRPr="00A73454">
        <w:rPr>
          <w:lang w:val="pt-PT"/>
        </w:rPr>
        <w:t xml:space="preserve"> para diferentes componentes dos sistemas motores. </w:t>
      </w:r>
      <w:r w:rsidRPr="00A73454">
        <w:t>O</w:t>
      </w:r>
      <w:r w:rsidR="00637F08" w:rsidRPr="00A73454">
        <w:t xml:space="preserve"> papel do cerebelo no controle respiratório foi negligenciado por um longo período</w:t>
      </w:r>
      <w:r w:rsidRPr="00A73454">
        <w:t>, mas p</w:t>
      </w:r>
      <w:r w:rsidR="00C80726" w:rsidRPr="00A73454">
        <w:t xml:space="preserve">esquisas recentes </w:t>
      </w:r>
      <w:r w:rsidR="00AA71BC" w:rsidRPr="00A73454">
        <w:t>com utilização de</w:t>
      </w:r>
      <w:r w:rsidR="00637F08" w:rsidRPr="00A73454">
        <w:t xml:space="preserve"> abordagens eletrofisiológicas, farmacológicas e morfológicas, </w:t>
      </w:r>
      <w:r w:rsidR="00AA71BC" w:rsidRPr="00A73454">
        <w:t>apontam para</w:t>
      </w:r>
      <w:r w:rsidR="00637F08" w:rsidRPr="00A73454">
        <w:t xml:space="preserve"> o envolvimento dos núcleos profundos do cerebelo (NPC), especialmente os núcleos </w:t>
      </w:r>
      <w:proofErr w:type="spellStart"/>
      <w:r w:rsidR="00637F08" w:rsidRPr="00A73454">
        <w:t>fastigiais</w:t>
      </w:r>
      <w:proofErr w:type="spellEnd"/>
      <w:r w:rsidR="00637F08" w:rsidRPr="00A73454">
        <w:t xml:space="preserve"> rostrais (</w:t>
      </w:r>
      <w:proofErr w:type="spellStart"/>
      <w:r w:rsidR="00D72194" w:rsidRPr="00A73454">
        <w:t>NF</w:t>
      </w:r>
      <w:r w:rsidR="00637F08" w:rsidRPr="00A73454">
        <w:t>r</w:t>
      </w:r>
      <w:proofErr w:type="spellEnd"/>
      <w:r w:rsidR="00637F08" w:rsidRPr="00A73454">
        <w:t xml:space="preserve">), no controle da respiração. </w:t>
      </w:r>
      <w:r w:rsidR="007052EE" w:rsidRPr="00A73454">
        <w:t>É sabido que o</w:t>
      </w:r>
      <w:r w:rsidR="00C80726" w:rsidRPr="00A73454">
        <w:t xml:space="preserve"> </w:t>
      </w:r>
      <w:proofErr w:type="spellStart"/>
      <w:r w:rsidR="00C80726" w:rsidRPr="00A73454">
        <w:t>NFr</w:t>
      </w:r>
      <w:proofErr w:type="spellEnd"/>
      <w:r w:rsidR="00C80726" w:rsidRPr="00A73454">
        <w:t xml:space="preserve"> é</w:t>
      </w:r>
      <w:r w:rsidR="00FD2355" w:rsidRPr="00A73454">
        <w:t xml:space="preserve"> </w:t>
      </w:r>
      <w:r w:rsidR="00D96441" w:rsidRPr="00A73454">
        <w:t>capaz de receber, interagir</w:t>
      </w:r>
      <w:r w:rsidR="00C80726" w:rsidRPr="00A73454">
        <w:t xml:space="preserve"> </w:t>
      </w:r>
      <w:r w:rsidR="00D96441" w:rsidRPr="00A73454">
        <w:t>e modular informações respiratórias,</w:t>
      </w:r>
      <w:r w:rsidR="00C80726" w:rsidRPr="00A73454">
        <w:t xml:space="preserve"> </w:t>
      </w:r>
      <w:r w:rsidR="00D96441" w:rsidRPr="00A73454">
        <w:t>principalmente dos quimiorreceptores</w:t>
      </w:r>
      <w:r w:rsidR="00F611D0" w:rsidRPr="00A73454">
        <w:fldChar w:fldCharType="begin"/>
      </w:r>
      <w:r w:rsidR="00A73454" w:rsidRPr="00A73454">
        <w:instrText xml:space="preserve"> ADDIN ZOTERO_ITEM CSL_CITATION {"citationID":"HMQKtUE2","properties":{"formattedCitation":"[6]","plainCitation":"[6]","noteIndex":0},"citationItems":[{"id":6868,"uris":["http://zotero.org/users/10339151/items/JWXLHMDK"],"itemData":{"id":6868,"type":"article-journal","container-title":"The Cerebellum","DOI":"10.1080/147342202753203078","ISSN":"1473-4222","issue":"1","journalAbbreviation":"The Cerebellum","page":"35-40","source":"DOI.org (Crossref)","title":"Role of the cerebellar deep nuclei in respiratory modulation","volume":"1","author":[{"family":"Xu","given":"Fadi"},{"family":"Frazier","given":"Donald T"}],"issued":{"date-parts":[["2002",1,1]]}}}],"schema":"https://github.com/citation-style-language/schema/raw/master/csl-citation.json"} </w:instrText>
      </w:r>
      <w:r w:rsidR="00F611D0" w:rsidRPr="00A73454">
        <w:fldChar w:fldCharType="separate"/>
      </w:r>
      <w:r w:rsidR="00A73454" w:rsidRPr="00A73454">
        <w:t>[6]</w:t>
      </w:r>
      <w:r w:rsidR="00F611D0" w:rsidRPr="00A73454">
        <w:fldChar w:fldCharType="end"/>
      </w:r>
      <w:r w:rsidR="00D96441" w:rsidRPr="005224C3">
        <w:rPr>
          <w:b/>
          <w:bCs/>
        </w:rPr>
        <w:t xml:space="preserve">. </w:t>
      </w:r>
    </w:p>
    <w:p w14:paraId="7902151C" w14:textId="2AFA7380" w:rsidR="00421853" w:rsidRPr="005224C3" w:rsidRDefault="00EA71F0" w:rsidP="00A51A8F">
      <w:r w:rsidRPr="005224C3">
        <w:rPr>
          <w:lang w:val="pt-PT"/>
        </w:rPr>
        <w:t xml:space="preserve"> </w:t>
      </w:r>
      <w:r w:rsidR="00612975" w:rsidRPr="005224C3">
        <w:rPr>
          <w:lang w:val="pt-PT"/>
        </w:rPr>
        <w:tab/>
      </w:r>
      <w:r w:rsidR="000A2B84" w:rsidRPr="005224C3">
        <w:t xml:space="preserve">Um artigo de revisão </w:t>
      </w:r>
      <w:r w:rsidR="00170F77" w:rsidRPr="005224C3">
        <w:t>menciona as implicações neuro</w:t>
      </w:r>
      <w:r w:rsidR="00B32267">
        <w:t xml:space="preserve"> </w:t>
      </w:r>
      <w:r w:rsidR="00170F77" w:rsidRPr="005224C3">
        <w:t>respiratória</w:t>
      </w:r>
      <w:r w:rsidRPr="005224C3">
        <w:t>s</w:t>
      </w:r>
      <w:r w:rsidR="00170F77" w:rsidRPr="005224C3">
        <w:t xml:space="preserve"> nas ataxias </w:t>
      </w:r>
      <w:proofErr w:type="spellStart"/>
      <w:r w:rsidR="00170F77" w:rsidRPr="005224C3">
        <w:t>espinocerebelares</w:t>
      </w:r>
      <w:proofErr w:type="spellEnd"/>
      <w:r w:rsidR="00170F77" w:rsidRPr="005224C3">
        <w:t xml:space="preserve"> (SCA), apresenta a insuficiência respiratória, como um sintoma comum, mas pouco compreendido nas </w:t>
      </w:r>
      <w:proofErr w:type="spellStart"/>
      <w:r w:rsidR="00170F77" w:rsidRPr="005224C3">
        <w:t>SCAs</w:t>
      </w:r>
      <w:proofErr w:type="spellEnd"/>
      <w:r w:rsidR="00170F77" w:rsidRPr="005224C3">
        <w:t xml:space="preserve">. São abordados na revisão, nove tipos de SCA (SCA1, SCA2, SCA3, SCA4, SCA6, SCA7, SCA13, SCA34 e SCA36) e destaca as complicações respiratórias tais como, insuficiência respiratória, disfagia, apneia do sono e pneumonia aspirativa. </w:t>
      </w:r>
      <w:r w:rsidR="00421853" w:rsidRPr="005224C3">
        <w:t xml:space="preserve">O estudo aponta como achados clínicos nas </w:t>
      </w:r>
      <w:proofErr w:type="spellStart"/>
      <w:r w:rsidR="00421853" w:rsidRPr="005224C3">
        <w:t>SCAs</w:t>
      </w:r>
      <w:proofErr w:type="spellEnd"/>
      <w:r w:rsidR="00421853" w:rsidRPr="005224C3">
        <w:t xml:space="preserve">, </w:t>
      </w:r>
      <w:r w:rsidR="00170F77" w:rsidRPr="005224C3">
        <w:t>atrofia do tronco cerebral e medula espinhal, perda neuronal nos núcleos do hipoglosso e frênico, disfagia, distonia e apneia do sono</w:t>
      </w:r>
      <w:r w:rsidR="000A2B84" w:rsidRPr="005224C3">
        <w:fldChar w:fldCharType="begin"/>
      </w:r>
      <w:r w:rsidR="00A73454">
        <w:instrText xml:space="preserve"> ADDIN ZOTERO_ITEM CSL_CITATION {"citationID":"lTKHto5A","properties":{"formattedCitation":"[7]","plainCitation":"[7]","noteIndex":0},"citationItems":[{"id":6869,"uris":["http://zotero.org/users/10339151/items/KT4WMSWW"],"itemData":{"id":6869,"type":"article-journal","container-title":"Journal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K."}],"issued":{"date-parts":[["2022",12]]}}}],"schema":"https://github.com/citation-style-language/schema/raw/master/csl-citation.json"} </w:instrText>
      </w:r>
      <w:r w:rsidR="000A2B84" w:rsidRPr="005224C3">
        <w:fldChar w:fldCharType="separate"/>
      </w:r>
      <w:r w:rsidR="00A73454" w:rsidRPr="00A73454">
        <w:t>[7]</w:t>
      </w:r>
      <w:r w:rsidR="000A2B84" w:rsidRPr="005224C3">
        <w:fldChar w:fldCharType="end"/>
      </w:r>
      <w:r w:rsidR="00170F77" w:rsidRPr="005224C3">
        <w:t>.</w:t>
      </w:r>
      <w:r w:rsidR="00421853" w:rsidRPr="005224C3">
        <w:t xml:space="preserve"> </w:t>
      </w:r>
    </w:p>
    <w:p w14:paraId="5541E4B0" w14:textId="3FC3BB9F" w:rsidR="00B32267" w:rsidRDefault="00153F5D" w:rsidP="00B32267">
      <w:r w:rsidRPr="005224C3">
        <w:t xml:space="preserve">Os principais aspectos observados são a </w:t>
      </w:r>
      <w:r w:rsidR="00421853" w:rsidRPr="005224C3">
        <w:t>i</w:t>
      </w:r>
      <w:r w:rsidR="00B0687E" w:rsidRPr="005224C3">
        <w:t>nsuficiência respiratória</w:t>
      </w:r>
      <w:r w:rsidR="001F4F2E" w:rsidRPr="005224C3">
        <w:t xml:space="preserve"> </w:t>
      </w:r>
      <w:r w:rsidRPr="005224C3">
        <w:t xml:space="preserve">que </w:t>
      </w:r>
      <w:r w:rsidR="001F4F2E" w:rsidRPr="005224C3">
        <w:t>poderá ocorrer</w:t>
      </w:r>
      <w:r w:rsidR="00293489" w:rsidRPr="005224C3">
        <w:t xml:space="preserve"> como consequência de</w:t>
      </w:r>
      <w:r w:rsidR="001F4F2E" w:rsidRPr="005224C3">
        <w:t xml:space="preserve"> </w:t>
      </w:r>
      <w:r w:rsidR="00421853" w:rsidRPr="005224C3">
        <w:t>p</w:t>
      </w:r>
      <w:r w:rsidR="00B0687E" w:rsidRPr="005224C3">
        <w:t>neumonia por aspiração</w:t>
      </w:r>
      <w:r w:rsidR="001F4F2E" w:rsidRPr="005224C3">
        <w:t xml:space="preserve"> e </w:t>
      </w:r>
      <w:r w:rsidR="00421853" w:rsidRPr="005224C3">
        <w:t>d</w:t>
      </w:r>
      <w:r w:rsidR="00B0687E" w:rsidRPr="005224C3">
        <w:t>isfagia</w:t>
      </w:r>
      <w:r w:rsidR="00293489" w:rsidRPr="005224C3">
        <w:t>,</w:t>
      </w:r>
      <w:r w:rsidRPr="005224C3">
        <w:t xml:space="preserve"> </w:t>
      </w:r>
      <w:r w:rsidR="00421853" w:rsidRPr="005224C3">
        <w:t>c</w:t>
      </w:r>
      <w:r w:rsidR="00B0687E" w:rsidRPr="005224C3">
        <w:t>omprometimento ventilatório central</w:t>
      </w:r>
      <w:r w:rsidR="00293489" w:rsidRPr="005224C3">
        <w:t xml:space="preserve">, </w:t>
      </w:r>
      <w:r w:rsidR="00421853" w:rsidRPr="005224C3">
        <w:t>r</w:t>
      </w:r>
      <w:r w:rsidR="00B0687E" w:rsidRPr="005224C3">
        <w:t xml:space="preserve">edução dos parâmetros </w:t>
      </w:r>
      <w:proofErr w:type="spellStart"/>
      <w:r w:rsidR="00B0687E" w:rsidRPr="005224C3">
        <w:t>espirométricos</w:t>
      </w:r>
      <w:proofErr w:type="spellEnd"/>
      <w:r w:rsidR="00293489" w:rsidRPr="005224C3">
        <w:t xml:space="preserve"> </w:t>
      </w:r>
      <w:r w:rsidRPr="005224C3">
        <w:t>com consequente</w:t>
      </w:r>
      <w:r w:rsidR="001F4F2E" w:rsidRPr="005224C3">
        <w:t xml:space="preserve"> componente restritivo</w:t>
      </w:r>
      <w:r w:rsidR="00293489" w:rsidRPr="005224C3">
        <w:t>,</w:t>
      </w:r>
      <w:r w:rsidRPr="005224C3">
        <w:t xml:space="preserve"> </w:t>
      </w:r>
      <w:r w:rsidR="001F4F2E" w:rsidRPr="005224C3">
        <w:t>f</w:t>
      </w:r>
      <w:r w:rsidR="00B0687E" w:rsidRPr="005224C3">
        <w:t xml:space="preserve">raqueza de língua e distonia </w:t>
      </w:r>
      <w:proofErr w:type="spellStart"/>
      <w:r w:rsidR="00B0687E" w:rsidRPr="005224C3">
        <w:t>oromandibular</w:t>
      </w:r>
      <w:proofErr w:type="spellEnd"/>
      <w:r w:rsidRPr="005224C3">
        <w:t>,</w:t>
      </w:r>
      <w:r w:rsidR="003E64D6">
        <w:t xml:space="preserve"> </w:t>
      </w:r>
      <w:r w:rsidR="006C66EC">
        <w:fldChar w:fldCharType="begin"/>
      </w:r>
      <w:r w:rsidR="006C66EC">
        <w:instrText xml:space="preserve"> ADDIN ZOTERO_ITEM CSL_CITATION {"citationID":"i3zkuyUS","properties":{"formattedCitation":"[8]","plainCitation":"[8]","noteIndex":0},"citationItems":[{"id":6912,"uris":["http://zotero.org/users/10339151/items/8RLS65MD"],"itemData":{"id":6912,"type":"article-journal","container-title":"Neurology","DOI":"10.1212/WNL.0000000000210099","ISSN":"0028-3878, 1526-632X","issue":"12","journalAbbreviation":"Neurology","language":"en","page":"e210099","source":"DOI.org (Crossref)","title":"Teaching Video Neuroimage: Speech-Induced Mouth Dystonia in SCA2","title-short":"Teaching Video Neuroimage","volume":"103","author":[{"family":"Vale","given":"Thiago Cardoso"},{"family":"Ferraz","given":"Henrique Ballalai"},{"family":"Barsottini","given":"Orlando G.P."},{"family":"Pedroso","given":"José Luiz"}],"issued":{"date-parts":[["2024",12,24]]}}}],"schema":"https://github.com/citation-style-language/schema/raw/master/csl-citation.json"} </w:instrText>
      </w:r>
      <w:r w:rsidR="006C66EC">
        <w:fldChar w:fldCharType="separate"/>
      </w:r>
      <w:r w:rsidR="006C66EC" w:rsidRPr="006C66EC">
        <w:t>[8]</w:t>
      </w:r>
      <w:r w:rsidR="006C66EC">
        <w:fldChar w:fldCharType="end"/>
      </w:r>
      <w:r w:rsidRPr="005224C3">
        <w:t xml:space="preserve"> </w:t>
      </w:r>
      <w:r w:rsidR="00B0687E" w:rsidRPr="005224C3">
        <w:t>podendo desencadear obstrução de vias aéreas superiores</w:t>
      </w:r>
      <w:r w:rsidRPr="005224C3">
        <w:t xml:space="preserve"> e apneia do sono,</w:t>
      </w:r>
      <w:r w:rsidR="003A73CD" w:rsidRPr="005224C3">
        <w:t xml:space="preserve"> </w:t>
      </w:r>
      <w:r w:rsidR="001F4F2E" w:rsidRPr="005224C3">
        <w:t>d</w:t>
      </w:r>
      <w:r w:rsidR="00311983" w:rsidRPr="005224C3">
        <w:t>isfunção diafragmática</w:t>
      </w:r>
      <w:r w:rsidR="00293489" w:rsidRPr="005224C3">
        <w:t xml:space="preserve"> -</w:t>
      </w:r>
      <w:r w:rsidR="00311983" w:rsidRPr="005224C3">
        <w:t xml:space="preserve"> impactando negativamente a inspiração e com prejuízos em todo ciclo respiratório</w:t>
      </w:r>
      <w:r w:rsidR="000A2B84" w:rsidRPr="005224C3">
        <w:fldChar w:fldCharType="begin"/>
      </w:r>
      <w:r w:rsidR="00A73454">
        <w:instrText xml:space="preserve"> ADDIN ZOTERO_ITEM CSL_CITATION {"citationID":"DBaO3Zrg","properties":{"formattedCitation":"[7]","plainCitation":"[7]","noteIndex":0},"citationItems":[{"id":6869,"uris":["http://zotero.org/users/10339151/items/KT4WMSWW"],"itemData":{"id":6869,"type":"article-journal","container-title":"Journal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K."}],"issued":{"date-parts":[["2022",12]]}}}],"schema":"https://github.com/citation-style-language/schema/raw/master/csl-citation.json"} </w:instrText>
      </w:r>
      <w:r w:rsidR="000A2B84" w:rsidRPr="005224C3">
        <w:fldChar w:fldCharType="separate"/>
      </w:r>
      <w:r w:rsidR="00A73454" w:rsidRPr="00A73454">
        <w:t>[7]</w:t>
      </w:r>
      <w:r w:rsidR="000A2B84" w:rsidRPr="005224C3">
        <w:fldChar w:fldCharType="end"/>
      </w:r>
      <w:r w:rsidR="003A73CD" w:rsidRPr="005224C3">
        <w:t>.</w:t>
      </w:r>
      <w:r w:rsidR="00B32267">
        <w:t xml:space="preserve"> </w:t>
      </w:r>
      <w:r w:rsidR="003A73CD" w:rsidRPr="005224C3">
        <w:t>Essa gama de complicações é</w:t>
      </w:r>
      <w:r w:rsidR="0000710C" w:rsidRPr="005224C3">
        <w:t xml:space="preserve"> atribuída </w:t>
      </w:r>
      <w:r w:rsidR="00311983" w:rsidRPr="005224C3">
        <w:t>a degeneração dos neurônios motores do tronco cerebral</w:t>
      </w:r>
      <w:r w:rsidR="003A73CD" w:rsidRPr="005224C3">
        <w:t>, com</w:t>
      </w:r>
      <w:r w:rsidR="00B32267">
        <w:t xml:space="preserve"> possíveis implicações sobre </w:t>
      </w:r>
      <w:r w:rsidR="00311983" w:rsidRPr="005224C3">
        <w:t>o controle respiratório</w:t>
      </w:r>
      <w:r w:rsidR="00526DC4" w:rsidRPr="005224C3">
        <w:t xml:space="preserve"> e autonômico.</w:t>
      </w:r>
      <w:r w:rsidR="003A73CD" w:rsidRPr="005224C3">
        <w:t xml:space="preserve"> </w:t>
      </w:r>
      <w:r w:rsidR="003E64D6">
        <w:t xml:space="preserve"> </w:t>
      </w:r>
    </w:p>
    <w:p w14:paraId="0F851A5D" w14:textId="62E961ED" w:rsidR="000A2B84" w:rsidRPr="00B32267" w:rsidRDefault="00A601CB" w:rsidP="00B32267">
      <w:r w:rsidRPr="005224C3">
        <w:rPr>
          <w:shd w:val="clear" w:color="auto" w:fill="FFFFFF"/>
        </w:rPr>
        <w:t>Tradicional</w:t>
      </w:r>
      <w:r w:rsidR="003A73CD" w:rsidRPr="005224C3">
        <w:rPr>
          <w:shd w:val="clear" w:color="auto" w:fill="FFFFFF"/>
        </w:rPr>
        <w:t>mente</w:t>
      </w:r>
      <w:r w:rsidRPr="005224C3">
        <w:rPr>
          <w:shd w:val="clear" w:color="auto" w:fill="FFFFFF"/>
        </w:rPr>
        <w:t xml:space="preserve"> a</w:t>
      </w:r>
      <w:r w:rsidR="00B32267">
        <w:rPr>
          <w:shd w:val="clear" w:color="auto" w:fill="FFFFFF"/>
        </w:rPr>
        <w:t>s</w:t>
      </w:r>
      <w:r w:rsidRPr="005224C3">
        <w:rPr>
          <w:shd w:val="clear" w:color="auto" w:fill="FFFFFF"/>
        </w:rPr>
        <w:t xml:space="preserve"> pesquisa</w:t>
      </w:r>
      <w:r w:rsidR="00B32267">
        <w:rPr>
          <w:shd w:val="clear" w:color="auto" w:fill="FFFFFF"/>
        </w:rPr>
        <w:t>s</w:t>
      </w:r>
      <w:r w:rsidRPr="005224C3">
        <w:rPr>
          <w:shd w:val="clear" w:color="auto" w:fill="FFFFFF"/>
        </w:rPr>
        <w:t xml:space="preserve"> </w:t>
      </w:r>
      <w:r w:rsidR="00B32267" w:rsidRPr="005224C3">
        <w:rPr>
          <w:shd w:val="clear" w:color="auto" w:fill="FFFFFF"/>
        </w:rPr>
        <w:t>têm</w:t>
      </w:r>
      <w:r w:rsidRPr="005224C3">
        <w:rPr>
          <w:shd w:val="clear" w:color="auto" w:fill="FFFFFF"/>
        </w:rPr>
        <w:t xml:space="preserve"> se concentrado nos sintomas motores puros da ataxia cerebelar, enquanto as manifestações </w:t>
      </w:r>
      <w:r w:rsidR="00A76167" w:rsidRPr="005224C3">
        <w:rPr>
          <w:shd w:val="clear" w:color="auto" w:fill="FFFFFF"/>
        </w:rPr>
        <w:t>respiratórias têm</w:t>
      </w:r>
      <w:r w:rsidRPr="005224C3">
        <w:rPr>
          <w:shd w:val="clear" w:color="auto" w:fill="FFFFFF"/>
        </w:rPr>
        <w:t xml:space="preserve"> sido pouco exploradas. No entanto, evidências emergentes sugerem que o cerebelo desempenha um papel </w:t>
      </w:r>
      <w:r w:rsidRPr="005224C3">
        <w:rPr>
          <w:shd w:val="clear" w:color="auto" w:fill="FFFFFF"/>
        </w:rPr>
        <w:lastRenderedPageBreak/>
        <w:t>crucial não apenas nas funções motoras, mas também em vários outros processos incluindo o controle respiratório</w:t>
      </w:r>
      <w:r w:rsidR="000A2B84" w:rsidRPr="005224C3">
        <w:fldChar w:fldCharType="begin"/>
      </w:r>
      <w:r w:rsidR="00A73454">
        <w:instrText xml:space="preserve"> ADDIN ZOTERO_ITEM CSL_CITATION {"citationID":"xiWJXE1X","properties":{"formattedCitation":"[7]","plainCitation":"[7]","noteIndex":0},"citationItems":[{"id":6869,"uris":["http://zotero.org/users/10339151/items/KT4WMSWW"],"itemData":{"id":6869,"type":"article-journal","container-title":"Journal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K."}],"issued":{"date-parts":[["2022",12]]}}}],"schema":"https://github.com/citation-style-language/schema/raw/master/csl-citation.json"} </w:instrText>
      </w:r>
      <w:r w:rsidR="000A2B84" w:rsidRPr="005224C3">
        <w:fldChar w:fldCharType="separate"/>
      </w:r>
      <w:r w:rsidR="00A73454" w:rsidRPr="00A73454">
        <w:t>[7]</w:t>
      </w:r>
      <w:r w:rsidR="000A2B84" w:rsidRPr="005224C3">
        <w:fldChar w:fldCharType="end"/>
      </w:r>
      <w:r w:rsidRPr="005224C3">
        <w:rPr>
          <w:shd w:val="clear" w:color="auto" w:fill="FFFFFF"/>
        </w:rPr>
        <w:t>.</w:t>
      </w:r>
    </w:p>
    <w:p w14:paraId="6E7E1E14" w14:textId="0ADF6F95" w:rsidR="0028170F" w:rsidRPr="005224C3" w:rsidRDefault="00526DC4" w:rsidP="00A51A8F">
      <w:r w:rsidRPr="005224C3">
        <w:t>Tendo em vista o recente e crescente reconhecimento do papel do cerebelo na função respiratória, o objetivo do presente estudo foi</w:t>
      </w:r>
      <w:r w:rsidR="00EA71F0" w:rsidRPr="005224C3">
        <w:t xml:space="preserve"> analisar as diferenças no</w:t>
      </w:r>
      <w:r w:rsidRPr="005224C3">
        <w:t xml:space="preserve"> perfil respiratório d</w:t>
      </w:r>
      <w:r w:rsidR="00D77705" w:rsidRPr="005224C3">
        <w:t>e</w:t>
      </w:r>
      <w:r w:rsidRPr="005224C3">
        <w:t xml:space="preserve"> pacientes com ataxia </w:t>
      </w:r>
      <w:proofErr w:type="spellStart"/>
      <w:r w:rsidRPr="005224C3">
        <w:t>espinocerebelar</w:t>
      </w:r>
      <w:proofErr w:type="spellEnd"/>
      <w:r w:rsidRPr="005224C3">
        <w:t xml:space="preserve"> tipo </w:t>
      </w:r>
      <w:r w:rsidR="00A601CB" w:rsidRPr="005224C3">
        <w:t>2 (</w:t>
      </w:r>
      <w:r w:rsidRPr="005224C3">
        <w:t>SCA2</w:t>
      </w:r>
      <w:r w:rsidR="00E1592B" w:rsidRPr="005224C3">
        <w:t>)</w:t>
      </w:r>
      <w:r w:rsidR="00EA71F0" w:rsidRPr="005224C3">
        <w:t xml:space="preserve"> em relação a adultos saudáveis</w:t>
      </w:r>
      <w:r w:rsidRPr="005224C3">
        <w:t>.</w:t>
      </w:r>
    </w:p>
    <w:p w14:paraId="42A8C195" w14:textId="624626D6" w:rsidR="0028170F" w:rsidRPr="005224C3" w:rsidRDefault="006466C0" w:rsidP="00A76167">
      <w:pPr>
        <w:pStyle w:val="Ttulo1"/>
        <w:numPr>
          <w:ilvl w:val="0"/>
          <w:numId w:val="10"/>
        </w:numPr>
        <w:rPr>
          <w:rFonts w:ascii="Arial" w:hAnsi="Arial"/>
        </w:rPr>
      </w:pPr>
      <w:r w:rsidRPr="005224C3">
        <w:rPr>
          <w:rFonts w:ascii="Arial" w:hAnsi="Arial"/>
        </w:rPr>
        <w:t>MÉTODO</w:t>
      </w:r>
    </w:p>
    <w:p w14:paraId="3798CB13" w14:textId="64348FF9" w:rsidR="00785C7F" w:rsidRPr="005224C3" w:rsidRDefault="00A51A8F" w:rsidP="00A76167">
      <w:pPr>
        <w:pStyle w:val="Ttulo1"/>
        <w:rPr>
          <w:rFonts w:ascii="Arial" w:hAnsi="Arial"/>
        </w:rPr>
      </w:pPr>
      <w:r>
        <w:rPr>
          <w:rFonts w:ascii="Arial" w:hAnsi="Arial"/>
        </w:rPr>
        <w:t>Desenho do estudo</w:t>
      </w:r>
    </w:p>
    <w:p w14:paraId="04D5F65D" w14:textId="274C6465" w:rsidR="005140B6" w:rsidRPr="005224C3" w:rsidRDefault="00AA0B97" w:rsidP="00A51A8F">
      <w:r w:rsidRPr="005224C3">
        <w:t xml:space="preserve">Esse é um estudo </w:t>
      </w:r>
      <w:r w:rsidR="00946538" w:rsidRPr="005224C3">
        <w:t>transversal</w:t>
      </w:r>
      <w:r w:rsidR="00A51A8F">
        <w:t xml:space="preserve"> apresentado segundo as normas da iniciativa</w:t>
      </w:r>
      <w:r w:rsidR="00A51A8F" w:rsidRPr="00A51A8F">
        <w:t xml:space="preserve"> </w:t>
      </w:r>
      <w:proofErr w:type="spellStart"/>
      <w:r w:rsidR="00A51A8F" w:rsidRPr="006466C0">
        <w:rPr>
          <w:i/>
          <w:iCs/>
        </w:rPr>
        <w:t>Strengthening</w:t>
      </w:r>
      <w:proofErr w:type="spellEnd"/>
      <w:r w:rsidR="00A51A8F" w:rsidRPr="006466C0">
        <w:rPr>
          <w:i/>
          <w:iCs/>
        </w:rPr>
        <w:t xml:space="preserve"> </w:t>
      </w:r>
      <w:proofErr w:type="spellStart"/>
      <w:r w:rsidR="00A51A8F" w:rsidRPr="006466C0">
        <w:rPr>
          <w:i/>
          <w:iCs/>
        </w:rPr>
        <w:t>the</w:t>
      </w:r>
      <w:proofErr w:type="spellEnd"/>
      <w:r w:rsidR="00A51A8F" w:rsidRPr="006466C0">
        <w:rPr>
          <w:i/>
          <w:iCs/>
        </w:rPr>
        <w:t xml:space="preserve"> </w:t>
      </w:r>
      <w:proofErr w:type="spellStart"/>
      <w:r w:rsidR="00A51A8F" w:rsidRPr="006466C0">
        <w:rPr>
          <w:i/>
          <w:iCs/>
        </w:rPr>
        <w:t>Reporting</w:t>
      </w:r>
      <w:proofErr w:type="spellEnd"/>
      <w:r w:rsidR="00A51A8F" w:rsidRPr="006466C0">
        <w:rPr>
          <w:i/>
          <w:iCs/>
        </w:rPr>
        <w:t xml:space="preserve"> </w:t>
      </w:r>
      <w:proofErr w:type="spellStart"/>
      <w:r w:rsidR="00A51A8F" w:rsidRPr="006466C0">
        <w:rPr>
          <w:i/>
          <w:iCs/>
        </w:rPr>
        <w:t>of</w:t>
      </w:r>
      <w:proofErr w:type="spellEnd"/>
      <w:r w:rsidR="00A51A8F" w:rsidRPr="006466C0">
        <w:rPr>
          <w:i/>
          <w:iCs/>
        </w:rPr>
        <w:t xml:space="preserve"> </w:t>
      </w:r>
      <w:proofErr w:type="spellStart"/>
      <w:r w:rsidR="00A51A8F" w:rsidRPr="006466C0">
        <w:rPr>
          <w:i/>
          <w:iCs/>
        </w:rPr>
        <w:t>Observational</w:t>
      </w:r>
      <w:proofErr w:type="spellEnd"/>
      <w:r w:rsidR="00A51A8F" w:rsidRPr="006466C0">
        <w:rPr>
          <w:i/>
          <w:iCs/>
        </w:rPr>
        <w:t xml:space="preserve"> </w:t>
      </w:r>
      <w:proofErr w:type="spellStart"/>
      <w:r w:rsidR="00A51A8F" w:rsidRPr="006466C0">
        <w:rPr>
          <w:i/>
          <w:iCs/>
        </w:rPr>
        <w:t>Studies</w:t>
      </w:r>
      <w:proofErr w:type="spellEnd"/>
      <w:r w:rsidR="00A51A8F" w:rsidRPr="006466C0">
        <w:rPr>
          <w:i/>
          <w:iCs/>
        </w:rPr>
        <w:t xml:space="preserve"> in </w:t>
      </w:r>
      <w:proofErr w:type="spellStart"/>
      <w:r w:rsidR="00A51A8F" w:rsidRPr="006466C0">
        <w:rPr>
          <w:i/>
          <w:iCs/>
        </w:rPr>
        <w:t>Epidemiology</w:t>
      </w:r>
      <w:proofErr w:type="spellEnd"/>
      <w:r w:rsidR="00A51A8F" w:rsidRPr="00A51A8F">
        <w:t xml:space="preserve"> (</w:t>
      </w:r>
      <w:r w:rsidR="00A51A8F">
        <w:t xml:space="preserve">STROBE </w:t>
      </w:r>
      <w:proofErr w:type="spellStart"/>
      <w:r w:rsidR="00A51A8F" w:rsidRPr="006466C0">
        <w:rPr>
          <w:i/>
          <w:iCs/>
        </w:rPr>
        <w:t>guideline</w:t>
      </w:r>
      <w:proofErr w:type="spellEnd"/>
      <w:r w:rsidR="00A51A8F">
        <w:t>)</w:t>
      </w:r>
      <w:r w:rsidR="006466C0">
        <w:fldChar w:fldCharType="begin"/>
      </w:r>
      <w:r w:rsidR="006C66EC">
        <w:instrText xml:space="preserve"> ADDIN ZOTERO_ITEM CSL_CITATION {"citationID":"OMoVaqqW","properties":{"formattedCitation":"[9]","plainCitation":"[9]","noteIndex":0},"citationItems":[{"id":6911,"uris":["http://zotero.org/users/10339151/items/ACGU54NV"],"itemData":{"id":6911,"type":"article-journal","container-title":"Saudi journal of anaesthesia","issue":"Suppl 1","note":"publisher: Medknow","page":"S31–S34","source":"Google Scholar","title":"The STROBE guidelines","volume":"13","author":[{"family":"Cuschieri","given":"Sarah"}],"issued":{"date-parts":[["2019"]]}}}],"schema":"https://github.com/citation-style-language/schema/raw/master/csl-citation.json"} </w:instrText>
      </w:r>
      <w:r w:rsidR="006466C0">
        <w:fldChar w:fldCharType="separate"/>
      </w:r>
      <w:r w:rsidR="006C66EC" w:rsidRPr="006C66EC">
        <w:t>[9]</w:t>
      </w:r>
      <w:r w:rsidR="006466C0">
        <w:fldChar w:fldCharType="end"/>
      </w:r>
      <w:r w:rsidR="002F2F99" w:rsidRPr="005224C3">
        <w:t>.</w:t>
      </w:r>
    </w:p>
    <w:p w14:paraId="5D1E3EC5" w14:textId="156C6DBE" w:rsidR="00EB2D75" w:rsidRPr="005224C3" w:rsidRDefault="00A51A8F" w:rsidP="00A76167">
      <w:pPr>
        <w:pStyle w:val="Ttulo1"/>
        <w:rPr>
          <w:rFonts w:ascii="Arial" w:hAnsi="Arial"/>
        </w:rPr>
      </w:pPr>
      <w:r>
        <w:rPr>
          <w:rFonts w:ascii="Arial" w:hAnsi="Arial"/>
        </w:rPr>
        <w:t>Contexto</w:t>
      </w:r>
    </w:p>
    <w:p w14:paraId="366D7277" w14:textId="3368E4C0" w:rsidR="00EB2D75" w:rsidRPr="005224C3" w:rsidRDefault="00EB2D75" w:rsidP="00A51A8F">
      <w:r w:rsidRPr="005224C3">
        <w:t xml:space="preserve">O estudo foi aprovado pelo comitê de ética e pesquisa da Universidade Federal de São Paulo - </w:t>
      </w:r>
      <w:r w:rsidR="00A76167" w:rsidRPr="005224C3">
        <w:t>UNIFESP</w:t>
      </w:r>
      <w:r w:rsidRPr="005224C3">
        <w:t>/EPM. Todos os pacientes assinaram o termo de consentimento livre e esclarecido (TCLE).</w:t>
      </w:r>
    </w:p>
    <w:p w14:paraId="49E8B0ED" w14:textId="4C7C9024" w:rsidR="00A76167" w:rsidRPr="005224C3" w:rsidRDefault="00A76167" w:rsidP="00A51A8F">
      <w:r w:rsidRPr="005224C3">
        <w:t xml:space="preserve">Os pacientes pertenciam ao ambulatório de neurologia </w:t>
      </w:r>
      <w:r w:rsidR="00B32267">
        <w:t xml:space="preserve">e neurocirurgia, ambulatório de </w:t>
      </w:r>
      <w:r w:rsidRPr="005224C3">
        <w:t xml:space="preserve">neuro ataxia da Universidade Federal de São Paulo. Após avaliação médica neurológica, os pacientes eram convidados a participar da pesquisa em dia e hora previamente agendados. Além da avaliação respiratória que constava de espirometria, avaliação de força muscular respiratória, </w:t>
      </w:r>
      <w:proofErr w:type="spellStart"/>
      <w:r w:rsidRPr="005224C3">
        <w:t>Sniff</w:t>
      </w:r>
      <w:proofErr w:type="spellEnd"/>
      <w:r w:rsidRPr="005224C3">
        <w:t xml:space="preserve"> ou </w:t>
      </w:r>
      <w:proofErr w:type="spellStart"/>
      <w:r w:rsidRPr="005224C3">
        <w:t>snip</w:t>
      </w:r>
      <w:proofErr w:type="spellEnd"/>
      <w:r w:rsidRPr="005224C3">
        <w:t xml:space="preserve"> teste, pico de fluxo de tosse e avaliação neurofisiológica de condutibilidade frênica, os pacientes foram submetidos a aplicação de duas escalas de graduação de ataxia, a escala para avaliação e graduação de ataxia (SARA) e a escala cooperativa internacional para graduação de ataxia (ICARS), ambas já haviam sido validadas para o português por pesquisadores do mesmo setor. A aplicação das escalas contava com duas profissionais, uma fisioterapeuta e uma neurologista.</w:t>
      </w:r>
    </w:p>
    <w:p w14:paraId="7E71A57A" w14:textId="033AD630" w:rsidR="00A76167" w:rsidRPr="005224C3" w:rsidRDefault="0000710C" w:rsidP="00A51A8F">
      <w:r w:rsidRPr="005224C3">
        <w:t xml:space="preserve">Os </w:t>
      </w:r>
      <w:r w:rsidR="00324225" w:rsidRPr="005224C3">
        <w:t>pacientes foram recrutados a partir de agosto</w:t>
      </w:r>
      <w:r w:rsidR="00715645" w:rsidRPr="005224C3">
        <w:t xml:space="preserve"> </w:t>
      </w:r>
      <w:r w:rsidRPr="005224C3">
        <w:t xml:space="preserve">de 2021 após a aprovação do CEP. </w:t>
      </w:r>
      <w:r w:rsidR="00324225" w:rsidRPr="005224C3">
        <w:t xml:space="preserve"> As avaliações </w:t>
      </w:r>
      <w:r w:rsidR="00324225" w:rsidRPr="00A51A8F">
        <w:t>iniciaram</w:t>
      </w:r>
      <w:r w:rsidR="00324225" w:rsidRPr="005224C3">
        <w:t xml:space="preserve"> a partir de outubro de 2021</w:t>
      </w:r>
      <w:r w:rsidR="00715645" w:rsidRPr="005224C3">
        <w:t xml:space="preserve">. O período de avaliação foi comprometido </w:t>
      </w:r>
      <w:r w:rsidR="00324225" w:rsidRPr="005224C3">
        <w:t>em função da</w:t>
      </w:r>
      <w:r w:rsidR="00715645" w:rsidRPr="005224C3">
        <w:t xml:space="preserve"> pandemia de Covid 19 sendo que, foi concluído em </w:t>
      </w:r>
      <w:r w:rsidR="00324225" w:rsidRPr="005224C3">
        <w:t>novembro</w:t>
      </w:r>
      <w:r w:rsidR="00715645" w:rsidRPr="005224C3">
        <w:t xml:space="preserve"> de 2022. Após esse período, </w:t>
      </w:r>
      <w:r w:rsidR="00324225" w:rsidRPr="005224C3">
        <w:t xml:space="preserve">os pacientes continuaram sendo acompanhados no ambulatório de neurologia geral e neuro </w:t>
      </w:r>
      <w:r w:rsidR="00A76167" w:rsidRPr="005224C3">
        <w:t>ataxia sendo</w:t>
      </w:r>
      <w:r w:rsidR="00324225" w:rsidRPr="005224C3">
        <w:t xml:space="preserve"> que, o quadro respiratório tornou-se mais intenso em </w:t>
      </w:r>
      <w:r w:rsidR="00A76167" w:rsidRPr="005224C3">
        <w:t>dois</w:t>
      </w:r>
      <w:r w:rsidR="00324225" w:rsidRPr="005224C3">
        <w:t xml:space="preserve"> pacientes, de maneira que uma das pacientes está utilizando ventilação não invasiva noturna através de um </w:t>
      </w:r>
      <w:proofErr w:type="spellStart"/>
      <w:r w:rsidR="00324225" w:rsidRPr="005224C3">
        <w:t>binivel</w:t>
      </w:r>
      <w:proofErr w:type="spellEnd"/>
      <w:r w:rsidR="00324225" w:rsidRPr="005224C3">
        <w:t xml:space="preserve"> (modelo </w:t>
      </w:r>
      <w:proofErr w:type="spellStart"/>
      <w:r w:rsidR="00324225" w:rsidRPr="005224C3">
        <w:t>Stellar</w:t>
      </w:r>
      <w:proofErr w:type="spellEnd"/>
      <w:r w:rsidR="00324225" w:rsidRPr="005224C3">
        <w:t xml:space="preserve"> 150 da </w:t>
      </w:r>
      <w:proofErr w:type="spellStart"/>
      <w:r w:rsidR="00324225" w:rsidRPr="005224C3">
        <w:t>Resmed</w:t>
      </w:r>
      <w:proofErr w:type="spellEnd"/>
      <w:r w:rsidR="00324225" w:rsidRPr="005224C3">
        <w:t>) e a outra foi submetida a uma gastrostomia</w:t>
      </w:r>
      <w:r w:rsidR="00BE7378" w:rsidRPr="005224C3">
        <w:t xml:space="preserve"> de emergência</w:t>
      </w:r>
      <w:r w:rsidR="00324225" w:rsidRPr="005224C3">
        <w:t xml:space="preserve"> em decorrência de disfagia grave</w:t>
      </w:r>
      <w:r w:rsidR="00BE7378" w:rsidRPr="005224C3">
        <w:t xml:space="preserve"> e não conseguiu realizar todos os testes em função de debilidade clínica</w:t>
      </w:r>
      <w:r w:rsidR="00324225" w:rsidRPr="005224C3">
        <w:t>.</w:t>
      </w:r>
    </w:p>
    <w:p w14:paraId="34F58647" w14:textId="57A67E89" w:rsidR="00BE0B21" w:rsidRPr="00A51A8F" w:rsidRDefault="00BE7378" w:rsidP="00A51A8F">
      <w:pPr>
        <w:pStyle w:val="Ttulo1"/>
        <w:rPr>
          <w:rFonts w:ascii="Arial" w:hAnsi="Arial"/>
        </w:rPr>
      </w:pPr>
      <w:r w:rsidRPr="00A51A8F">
        <w:rPr>
          <w:rFonts w:ascii="Arial" w:hAnsi="Arial"/>
        </w:rPr>
        <w:t xml:space="preserve"> </w:t>
      </w:r>
      <w:r w:rsidR="00A51A8F" w:rsidRPr="00A51A8F">
        <w:rPr>
          <w:rFonts w:ascii="Arial" w:hAnsi="Arial"/>
        </w:rPr>
        <w:t>Participantes</w:t>
      </w:r>
    </w:p>
    <w:p w14:paraId="1DEFC1EC" w14:textId="7FCC2EE1" w:rsidR="008E3033" w:rsidRPr="005224C3" w:rsidRDefault="0028170F" w:rsidP="00A51A8F">
      <w:pPr>
        <w:rPr>
          <w:b/>
          <w:bCs/>
          <w:lang w:val="pt-PT"/>
        </w:rPr>
      </w:pPr>
      <w:r w:rsidRPr="005224C3">
        <w:t>Foram selecionados</w:t>
      </w:r>
      <w:r w:rsidR="00BE0B21" w:rsidRPr="005224C3">
        <w:t xml:space="preserve"> 13</w:t>
      </w:r>
      <w:r w:rsidR="00C85B5F" w:rsidRPr="005224C3">
        <w:t xml:space="preserve"> participantes</w:t>
      </w:r>
      <w:r w:rsidR="00BE0B21" w:rsidRPr="005224C3">
        <w:rPr>
          <w:lang w:val="pt-PT"/>
        </w:rPr>
        <w:t xml:space="preserve"> com diagnóstico clínico e genético confirmado de SCA 2, idade 18 anos ou mais e com investigação negativa para causas adquiridas</w:t>
      </w:r>
      <w:r w:rsidR="00BE0B21" w:rsidRPr="005224C3">
        <w:t xml:space="preserve"> </w:t>
      </w:r>
      <w:r w:rsidR="005140B6" w:rsidRPr="005224C3">
        <w:t xml:space="preserve">e 19 controles saudáveis. </w:t>
      </w:r>
    </w:p>
    <w:p w14:paraId="19EEFA96" w14:textId="1CC9C425" w:rsidR="00BE7378" w:rsidRPr="005224C3" w:rsidRDefault="00BE7378" w:rsidP="00A51A8F">
      <w:pPr>
        <w:rPr>
          <w:lang w:val="pt-PT"/>
        </w:rPr>
      </w:pPr>
      <w:r w:rsidRPr="005224C3">
        <w:rPr>
          <w:lang w:val="pt-PT"/>
        </w:rPr>
        <w:t xml:space="preserve">O grupo controle foi composto por profissionais da saúde, médicos residentes e </w:t>
      </w:r>
      <w:r w:rsidR="00A76167" w:rsidRPr="005224C3">
        <w:rPr>
          <w:lang w:val="pt-PT"/>
        </w:rPr>
        <w:t>pós-graduandos</w:t>
      </w:r>
      <w:r w:rsidRPr="005224C3">
        <w:rPr>
          <w:lang w:val="pt-PT"/>
        </w:rPr>
        <w:t xml:space="preserve"> </w:t>
      </w:r>
      <w:r w:rsidR="00A76167" w:rsidRPr="005224C3">
        <w:rPr>
          <w:lang w:val="pt-PT"/>
        </w:rPr>
        <w:t xml:space="preserve">vinculados ao </w:t>
      </w:r>
      <w:r w:rsidRPr="005224C3">
        <w:rPr>
          <w:lang w:val="pt-PT"/>
        </w:rPr>
        <w:t>setor de neurologia geral e neuro ataxia</w:t>
      </w:r>
      <w:r w:rsidR="00A76167" w:rsidRPr="005224C3">
        <w:rPr>
          <w:lang w:val="pt-PT"/>
        </w:rPr>
        <w:t xml:space="preserve"> onde o estudo foi realizado, convidados por meio</w:t>
      </w:r>
      <w:r w:rsidR="00123B0C" w:rsidRPr="005224C3">
        <w:rPr>
          <w:lang w:val="pt-PT"/>
        </w:rPr>
        <w:t xml:space="preserve"> de convite por e-mail e WhatsApp.</w:t>
      </w:r>
    </w:p>
    <w:p w14:paraId="18D24AC4" w14:textId="454E12EA" w:rsidR="00C85B5F" w:rsidRPr="005224C3" w:rsidRDefault="00C85B5F" w:rsidP="00A51A8F">
      <w:pPr>
        <w:rPr>
          <w:lang w:val="pt-PT"/>
        </w:rPr>
      </w:pPr>
      <w:r w:rsidRPr="005224C3">
        <w:rPr>
          <w:b/>
          <w:bCs/>
          <w:lang w:val="pt-PT"/>
        </w:rPr>
        <w:tab/>
      </w:r>
      <w:r w:rsidR="008E3033" w:rsidRPr="005224C3">
        <w:rPr>
          <w:lang w:val="pt-PT"/>
        </w:rPr>
        <w:t xml:space="preserve">Foram </w:t>
      </w:r>
      <w:r w:rsidRPr="005224C3">
        <w:rPr>
          <w:lang w:val="pt-PT"/>
        </w:rPr>
        <w:t>excluídos</w:t>
      </w:r>
      <w:r w:rsidR="008E3033" w:rsidRPr="005224C3">
        <w:rPr>
          <w:lang w:val="pt-PT"/>
        </w:rPr>
        <w:t xml:space="preserve"> pacientes com ataxias adquiridas: tóxicas, inflamatórias, autoimune. Pacientes sem estabilidade clínica para avaliação da função respiratória. Aqueles com doença pulmonar grave tais como, DPOC, ICC descompensada, déficit </w:t>
      </w:r>
      <w:r w:rsidR="008E3033" w:rsidRPr="005224C3">
        <w:rPr>
          <w:lang w:val="pt-PT"/>
        </w:rPr>
        <w:lastRenderedPageBreak/>
        <w:t xml:space="preserve">cognitivo ou histórico de tabagismo importante (consumo maior ou igual a 20 cigarros/dia). Pacientes com histórico de </w:t>
      </w:r>
      <w:proofErr w:type="spellStart"/>
      <w:r w:rsidR="008E3033" w:rsidRPr="005224C3">
        <w:rPr>
          <w:lang w:val="pt-PT"/>
        </w:rPr>
        <w:t>infecção</w:t>
      </w:r>
      <w:proofErr w:type="spellEnd"/>
      <w:r w:rsidR="008E3033" w:rsidRPr="005224C3">
        <w:rPr>
          <w:lang w:val="pt-PT"/>
        </w:rPr>
        <w:t xml:space="preserve"> respiratória nos últimos quinze dias antecedentes ao exame e os que estavam em uso de </w:t>
      </w:r>
      <w:proofErr w:type="spellStart"/>
      <w:r w:rsidR="008E3033" w:rsidRPr="005224C3">
        <w:rPr>
          <w:lang w:val="pt-PT"/>
        </w:rPr>
        <w:t>marcapasso</w:t>
      </w:r>
      <w:proofErr w:type="spellEnd"/>
      <w:r w:rsidR="008E3033" w:rsidRPr="005224C3">
        <w:rPr>
          <w:lang w:val="pt-PT"/>
        </w:rPr>
        <w:t xml:space="preserve"> ou desfibrilador implantável</w:t>
      </w:r>
      <w:r w:rsidRPr="005224C3">
        <w:rPr>
          <w:lang w:val="pt-PT"/>
        </w:rPr>
        <w:t>.</w:t>
      </w:r>
    </w:p>
    <w:p w14:paraId="2CA46433" w14:textId="77777777" w:rsidR="00C85B5F" w:rsidRPr="005224C3" w:rsidRDefault="00C85B5F" w:rsidP="00A51A8F">
      <w:pPr>
        <w:rPr>
          <w:highlight w:val="yellow"/>
          <w:lang w:val="pt-PT"/>
        </w:rPr>
      </w:pPr>
    </w:p>
    <w:p w14:paraId="0E69F535" w14:textId="20A69BCE" w:rsidR="008E3033" w:rsidRPr="005224C3" w:rsidRDefault="005224C3" w:rsidP="00A76167">
      <w:pPr>
        <w:pStyle w:val="Ttulo1"/>
        <w:rPr>
          <w:rFonts w:ascii="Arial" w:hAnsi="Arial"/>
          <w:lang w:val="pt-PT"/>
        </w:rPr>
      </w:pPr>
      <w:r>
        <w:rPr>
          <w:rFonts w:ascii="Arial" w:hAnsi="Arial"/>
          <w:lang w:val="pt-PT"/>
        </w:rPr>
        <w:t>Variáveis</w:t>
      </w:r>
    </w:p>
    <w:p w14:paraId="00CA90A4" w14:textId="2664026A" w:rsidR="00DF7C0D" w:rsidRPr="005224C3" w:rsidRDefault="00DF7C0D" w:rsidP="00A51A8F">
      <w:r w:rsidRPr="005224C3">
        <w:rPr>
          <w:shd w:val="clear" w:color="auto" w:fill="FFFFFF"/>
        </w:rPr>
        <w:t>Este estudo utilizou vários testes de função pulmonar e duas escalas de avaliação de ataxia. A gravidade da ataxia foi avaliada através das escalas SARA</w:t>
      </w:r>
      <w:r w:rsidR="00231B88" w:rsidRPr="005224C3">
        <w:rPr>
          <w:shd w:val="clear" w:color="auto" w:fill="FFFFFF"/>
        </w:rPr>
        <w:t xml:space="preserve"> </w:t>
      </w:r>
      <w:r w:rsidR="00D020C2" w:rsidRPr="005224C3">
        <w:rPr>
          <w:shd w:val="clear" w:color="auto" w:fill="FFFFFF"/>
        </w:rPr>
        <w:fldChar w:fldCharType="begin"/>
      </w:r>
      <w:r w:rsidR="006C66EC">
        <w:rPr>
          <w:shd w:val="clear" w:color="auto" w:fill="FFFFFF"/>
        </w:rPr>
        <w:instrText xml:space="preserve"> ADDIN ZOTERO_ITEM CSL_CITATION {"citationID":"QDMwSHpV","properties":{"formattedCitation":"[10]","plainCitation":"[10]","noteIndex":0},"citationItems":[{"id":6871,"uris":["http://zotero.org/users/10339151/items/GLJWIIXE"],"itemData":{"id":6871,"type":"article-journal","abstract":"The hereditary ataxias comprise a very large spectrum of genetically determined neurodegenerative disorders with progressive ataxia as the prominent symptom. In order to measure the severity of cerebellar ataxia in an easier and more practical way, it was proposed a new scale: the Scale for the Assessment and Rating of Ataxia (SARA). The objective of this study was to translate and validate SARA into Brazilian Portuguese. METHOD: The SARA was translated into Brazilian Portuguese, analyzed, back translated to English, and compared to the original version. It was applied to 30 patients. In addition to SARA, we applied the International Cooperative Ataxia Rating Scale (ICARS) in all subjects. RESULTS: SARA scale was translated into Brazilian version with adequate internal consistence, but a significant correlation between ICARS and SARA was not found. CONCLUSION: SARA was translated and validated into Brazilian Portuguese language, showing good reliability and validity.\n          , \n            As ataxias hereditárias compreendem grande espectro de doenças neurodegenerativas geneticamente determinadas, tendo como sintoma preponderante a ataxia de instalação progressiva. No sentido de avaliar a gravidade da ataxia cerebelar através de forma mais fácil e prática, foi proposta uma nova escala: a Escala para Avaliação e Graduação de Ataxia (SARA). O objetivo deste estudo foi traduzir e validar a SARA para o português brasileiro. MÉTODO: A escala SARA foi traduzida para o português brasileiro, analisada, traduzida novamente para o inglês e comparada com sua versão original. A escala foi aplicada em 30 pacientes. Além disso, nós aplicamos também a Escala Cooperativa Internacional para Graduação de Ataxia (ICARS) em todos os pacientes. RESULTADOS: A escala SARA foi traduzida para a versão brasileira com adequada consistência interna, mas uma correlação significativa com a escala ICARS não foi encontrada. CONCLUSÃO: A escala SARA foi traduzida e validada para o português brasileiro, demonstrando boa confiabilidade e validade.","container-title":"Arquivos de Neuro-Psiquiatria","DOI":"10.1590/S0004-282X2010000200014","ISSN":"0004-282X","issue":"2","journalAbbreviation":"Arq. Neuro-Psiquiatr.","page":"228-230","source":"DOI.org (Crossref)","title":"Translation and validation into Brazilian version of the Scale of the Assessment and Rating of Ataxia (SARA)","volume":"68","author":[{"family":"Braga-Neto","given":"Pedro"},{"family":"Godeiro-Junior","given":"Clecio"},{"family":"Dutra","given":"Lívia Almeida"},{"family":"Pedroso","given":"José Luiz"},{"family":"Barsottini","given":"Orlando Graziani Povoas"}],"issued":{"date-parts":[["2010",4]]}}}],"schema":"https://github.com/citation-style-language/schema/raw/master/csl-citation.json"} </w:instrText>
      </w:r>
      <w:r w:rsidR="00D020C2" w:rsidRPr="005224C3">
        <w:rPr>
          <w:shd w:val="clear" w:color="auto" w:fill="FFFFFF"/>
        </w:rPr>
        <w:fldChar w:fldCharType="separate"/>
      </w:r>
      <w:r w:rsidR="006C66EC" w:rsidRPr="006C66EC">
        <w:t>[10]</w:t>
      </w:r>
      <w:r w:rsidR="00D020C2" w:rsidRPr="005224C3">
        <w:rPr>
          <w:shd w:val="clear" w:color="auto" w:fill="FFFFFF"/>
        </w:rPr>
        <w:fldChar w:fldCharType="end"/>
      </w:r>
      <w:r w:rsidRPr="005224C3">
        <w:rPr>
          <w:shd w:val="clear" w:color="auto" w:fill="FFFFFF"/>
        </w:rPr>
        <w:t xml:space="preserve"> e ICARS</w:t>
      </w:r>
      <w:r w:rsidR="00D020C2" w:rsidRPr="005224C3">
        <w:rPr>
          <w:shd w:val="clear" w:color="auto" w:fill="FFFFFF"/>
        </w:rPr>
        <w:fldChar w:fldCharType="begin"/>
      </w:r>
      <w:r w:rsidR="006C66EC">
        <w:rPr>
          <w:shd w:val="clear" w:color="auto" w:fill="FFFFFF"/>
        </w:rPr>
        <w:instrText xml:space="preserve"> ADDIN ZOTERO_ITEM CSL_CITATION {"citationID":"2Ao2owIf","properties":{"formattedCitation":"[11]","plainCitation":"[11]","noteIndex":0},"citationItems":[{"id":6873,"uris":["http://zotero.org/users/10339151/items/92LU4LNL"],"itemData":{"id":6873,"type":"article-journal","abstract":"ABSTRACT  Introduction: The clinical assessment of patients with ataxias requires reliable scales. We aimed to translate, adapt and validate the International Cooperative Ataxia Rating Scale (ICARS) into Brazilian Portuguese.  Methods: The steps of this study were forward translation, translation synthesis, backward translation, expert committee meeting, preliminary pilot testing and final assessment. Thirty patients were enrolled in the preliminary pilot testing and 61 patients were evaluated for construct validity, internal consistency, intra- and inter-rater reliability and external consistency.  Results: This study showed good validity of the construct and high internal consistency for the full scale, except for the oculomotor domain (Cronbach's alpha = 0.316, intraclass correlation coefficients intra- = 82.4% and inter- = 79.2%). A high correlation with the Scale for the Assessment and Rating of Ataxia was observed. We found good intra-rater agreement and relative inter-rater disagreement, except in the posture and gait domain.  Conclusion: The present ICARS version is adapted for the Brazilian culture and can be used to assess our ataxic patients.\n          , \n            RESUMO  Introdução: A avaliação clínica de pacientes atáxicos requer instrumentos confiáveis. Nosso objetivo foi traduzir, adaptar culturalmente e validar a International Cooperative Ataxia Rating Scale (ICARS) para a língua portuguesa do Brasil.  Métodos: As etapas foram tradução, síntese das traduções, retrotradução, comitê de especialistas, pré-teste e avaliação final. O pré-teste foi realizado com 30 pacientes. Outros 61 pacientes foram avaliados para validade do constructo, consistência interna, confiabilidade intra e interexaminadores e consistência externa.  Resultados: Este estudo mostrou boa validade do constructo e alta consistência interna para o total da escala, exceto para o domínio Oculomotor (alfa de Cronbach = 0.316, CCIintra = 82.4% e CCIinter = 79.2%). Alta correlação com a Scale for the Assessment and Rating of Ataxia foi observada. Nós encontramos boa concordância intraexaminador e relativa discordância interexaminadores, com exceção dos domínios postura e marcha.  Conclusão: Esta versão da ICARS está adaptada para a cultura brasileira e pode ser usada em pacientes com ataxia.","container-title":"Arquivos de Neuro-Psiquiatria","DOI":"10.1590/0004-282x20180098","ISSN":"1678-4227, 0004-282X","issue":"10","journalAbbreviation":"Arq. Neuro-Psiquiatr.","page":"674-684","source":"DOI.org (Crossref)","title":"Cross-cultural adaptation and validation of the International Cooperative Ataxia Rating Scale (ICARS) to Brazilian Portuguese","volume":"76","author":[{"family":"Maggi","given":"Fernanda Aparecida"},{"family":"Braga-Neto","given":"Pedro"},{"family":"Chien","given":"Hsin Fen"},{"family":"Gama","given":"Maria Thereza Drumond"},{"family":"Rezende Filho","given":"Flávio Moura"},{"family":"Saraiva-Pereira","given":"Maria Luiza"},{"family":"Jardim","given":"Laura Bannach"},{"family":"Voos","given":"Mariana Callil"},{"family":"Pedroso","given":"José Luiz"},{"family":"Barsottini","given":"Orlando Graziani Povoas"}],"issued":{"date-parts":[["2018",10]]}}}],"schema":"https://github.com/citation-style-language/schema/raw/master/csl-citation.json"} </w:instrText>
      </w:r>
      <w:r w:rsidR="00D020C2" w:rsidRPr="005224C3">
        <w:rPr>
          <w:shd w:val="clear" w:color="auto" w:fill="FFFFFF"/>
        </w:rPr>
        <w:fldChar w:fldCharType="separate"/>
      </w:r>
      <w:r w:rsidR="006C66EC" w:rsidRPr="006C66EC">
        <w:t>[11]</w:t>
      </w:r>
      <w:r w:rsidR="00D020C2" w:rsidRPr="005224C3">
        <w:rPr>
          <w:shd w:val="clear" w:color="auto" w:fill="FFFFFF"/>
        </w:rPr>
        <w:fldChar w:fldCharType="end"/>
      </w:r>
      <w:r w:rsidRPr="005224C3">
        <w:rPr>
          <w:shd w:val="clear" w:color="auto" w:fill="FFFFFF"/>
        </w:rPr>
        <w:t>.</w:t>
      </w:r>
      <w:r w:rsidR="00231B88" w:rsidRPr="005224C3">
        <w:rPr>
          <w:shd w:val="clear" w:color="auto" w:fill="FFFFFF"/>
        </w:rPr>
        <w:t xml:space="preserve"> </w:t>
      </w:r>
      <w:r w:rsidR="00C85B5F" w:rsidRPr="005224C3">
        <w:rPr>
          <w:shd w:val="clear" w:color="auto" w:fill="FFFFFF"/>
        </w:rPr>
        <w:t xml:space="preserve"> P</w:t>
      </w:r>
      <w:r w:rsidRPr="005224C3">
        <w:rPr>
          <w:shd w:val="clear" w:color="auto" w:fill="FFFFFF"/>
        </w:rPr>
        <w:t xml:space="preserve">ara avaliar a função respiratória </w:t>
      </w:r>
      <w:r w:rsidR="00C85B5F" w:rsidRPr="005224C3">
        <w:rPr>
          <w:shd w:val="clear" w:color="auto" w:fill="FFFFFF"/>
        </w:rPr>
        <w:t xml:space="preserve">utilizou-se </w:t>
      </w:r>
      <w:r w:rsidRPr="005224C3">
        <w:rPr>
          <w:shd w:val="clear" w:color="auto" w:fill="FFFFFF"/>
        </w:rPr>
        <w:t>a espirometria, as provas de força da musculatura inspiratória (Pi) e expiratória (</w:t>
      </w:r>
      <w:proofErr w:type="spellStart"/>
      <w:r w:rsidRPr="005224C3">
        <w:rPr>
          <w:shd w:val="clear" w:color="auto" w:fill="FFFFFF"/>
        </w:rPr>
        <w:t>Pe</w:t>
      </w:r>
      <w:proofErr w:type="spellEnd"/>
      <w:r w:rsidRPr="005224C3">
        <w:rPr>
          <w:shd w:val="clear" w:color="auto" w:fill="FFFFFF"/>
        </w:rPr>
        <w:t xml:space="preserve">) máximas, o teste que avalia a pressão inspiratória nasal - </w:t>
      </w:r>
      <w:proofErr w:type="spellStart"/>
      <w:r w:rsidRPr="005224C3">
        <w:rPr>
          <w:shd w:val="clear" w:color="auto" w:fill="FFFFFF"/>
        </w:rPr>
        <w:t>sniff</w:t>
      </w:r>
      <w:proofErr w:type="spellEnd"/>
      <w:r w:rsidRPr="005224C3">
        <w:rPr>
          <w:shd w:val="clear" w:color="auto" w:fill="FFFFFF"/>
        </w:rPr>
        <w:t xml:space="preserve"> ou SNIP</w:t>
      </w:r>
      <w:r w:rsidR="00D020C2" w:rsidRPr="005224C3">
        <w:rPr>
          <w:shd w:val="clear" w:color="auto" w:fill="FFFFFF"/>
        </w:rPr>
        <w:fldChar w:fldCharType="begin"/>
      </w:r>
      <w:r w:rsidR="006C66EC">
        <w:rPr>
          <w:shd w:val="clear" w:color="auto" w:fill="FFFFFF"/>
        </w:rPr>
        <w:instrText xml:space="preserve"> ADDIN ZOTERO_ITEM CSL_CITATION {"citationID":"6Xp4tGQm","properties":{"formattedCitation":"[12]","plainCitation":"[12]","noteIndex":0},"citationItems":[{"id":6875,"uris":["http://zotero.org/users/10339151/items/GI8JXN9A"],"itemData":{"id":6875,"type":"article-journal","abstract":"BACKGROUND: Inspiratory muscle weakness is a recognised cause of unexplained dyspnoea. It may be suggested by the finding of a low static inspiratory mouth pressure (MIP), but MIP is a difficult test to perform, with a wide normal range; a low MIP may also occur if the patient has not properly performed the manoeuvre. Further investigation conventionally requires balloon catheters to obtain oesophageal (Poes) and transdiaphragmatic pressure (Pdi) during sniffs or phrenic nerve stimulation. Two non-invasive tests of inspiratory muscle strength have recently been described--nasal pressure during a maximal sniff (Sn Pnas) and mouth pressure during magnetic stimulation of the phrenic nerves (Tw Pmo). The use of these two tests in combination might identify patients without inspiratory muscle weakness who are unable to produce a satisfactory MIP&lt; therefore avoiding the need for investigation with balloon catheters. METHODS: Thirty consecutive patients with clinically suspected inspiratory muscle weakness and a low MIP underwent both conventional (Sn Poes and Tw Pdi) and non-invasive testing (Sn Pnas and Tw Pmo). Weakness was considered to be excluded by a Sn Poes of &gt; or = 80 cm H20 or a Tw Pdi of &gt; or = 20 cm H20. The limit values used to test the hypothesis were Sn Pnas &gt; or = 70 cm H20 or Tw Pmo &gt; or = 12 cm H20. RESULTS: Inspiratory muscle weakness was excluded in 17 of the 30 patients. Fifteen of these would have been identified using Sn Pnas and Tw Pmo, with better results when the two tests were combined. The cut off values selected for Sn Pnas and Tw Pmo were shown by ROC plots to indicate normal strength conservatively, avoiding failure to detect mild degrees of weakness. No patient with global weakness was considered normal by Sn Pnas or Tw Pmo. CONCLUSIONS: In most patients with normal inspiratory strength and a low MIP, Tw Pmo and Sn Pnas used in combination can reliably exclude global inspiratory muscle weakness, reducing the number of patients who need testing with balloon catheters.","container-title":"Thorax","DOI":"10.1136/thx.53.2.96","ISSN":"0040-6376, 1468-3296","issue":"2","journalAbbreviation":"Thorax","language":"en","page":"96-100","source":"DOI.org (Crossref)","title":"Measurement of sniff nasal and diaphragm twitch mouth pressure in patients.","volume":"53","author":[{"family":"Hughes","given":"P D"},{"family":"Polkey","given":"M I"},{"family":"Kyroussis","given":"D"},{"family":"Hamnegard","given":"C H"},{"family":"Moxham","given":"J"},{"family":"Green","given":"M"}],"issued":{"date-parts":[["1998",2]]}}}],"schema":"https://github.com/citation-style-language/schema/raw/master/csl-citation.json"} </w:instrText>
      </w:r>
      <w:r w:rsidR="00D020C2" w:rsidRPr="005224C3">
        <w:rPr>
          <w:shd w:val="clear" w:color="auto" w:fill="FFFFFF"/>
        </w:rPr>
        <w:fldChar w:fldCharType="separate"/>
      </w:r>
      <w:r w:rsidR="006C66EC" w:rsidRPr="006C66EC">
        <w:t>[12]</w:t>
      </w:r>
      <w:r w:rsidR="00D020C2" w:rsidRPr="005224C3">
        <w:rPr>
          <w:shd w:val="clear" w:color="auto" w:fill="FFFFFF"/>
        </w:rPr>
        <w:fldChar w:fldCharType="end"/>
      </w:r>
      <w:r w:rsidR="00C85B5F" w:rsidRPr="005224C3">
        <w:t>, bem como parâmetros CVF, VEF1, VEF1/CVF e PFE</w:t>
      </w:r>
      <w:r w:rsidR="00A67E06" w:rsidRPr="005224C3">
        <w:t xml:space="preserve"> (obtidos na espirometria)</w:t>
      </w:r>
      <w:r w:rsidR="00C85B5F" w:rsidRPr="005224C3">
        <w:t>, em valores absolutos e percentual do previsto, que foram mensuradas em todos os participantes (pacientes e controles).</w:t>
      </w:r>
    </w:p>
    <w:p w14:paraId="295BB822" w14:textId="6D61FC9D" w:rsidR="00B90983" w:rsidRPr="005224C3" w:rsidRDefault="005224C3" w:rsidP="00A76167">
      <w:pPr>
        <w:pStyle w:val="Ttulo1"/>
        <w:rPr>
          <w:rFonts w:ascii="Arial" w:hAnsi="Arial"/>
        </w:rPr>
      </w:pPr>
      <w:r>
        <w:rPr>
          <w:rFonts w:ascii="Arial" w:hAnsi="Arial"/>
        </w:rPr>
        <w:t>Fonte dos dados e mensuração</w:t>
      </w:r>
    </w:p>
    <w:p w14:paraId="36CB2F54" w14:textId="4827B6DB" w:rsidR="00E864FF" w:rsidRPr="005224C3" w:rsidRDefault="00E864FF" w:rsidP="00A51A8F">
      <w:pPr>
        <w:rPr>
          <w:b/>
          <w:bCs/>
          <w:highlight w:val="yellow"/>
        </w:rPr>
      </w:pPr>
      <w:r w:rsidRPr="005224C3">
        <w:t xml:space="preserve">A SARA, foi </w:t>
      </w:r>
      <w:r w:rsidRPr="006C66EC">
        <w:t>traduzida e validada para a população brasileira por Braga-Neto et al em 2010. A escala contém 8 itens e produz uma pontuação de 0 (sem ataxia) a 40 (ataxia mais grave). Os itens são: 1) - marcha (0 a 8), 2) - postura (0 a 6), 3) - sentado (0 a 4), 4) - distúrbio da fala (0 a 6), 5) - perseguição dos dedos (0 a 4), 6) - teste dedo-nariz (0 a 4), 7) - movimentos rápidos alternados das mãos (0 a 4), 8) - manobra calcanhar-joelho (0 a 4). As funções cinéticas dos membros (itens 5 a 8) são classificadas independentemente para ambos os lados</w:t>
      </w:r>
      <w:r w:rsidRPr="005224C3">
        <w:t xml:space="preserve"> de tal forma que, a média aritmética para ambos os lados é incluída na pontuação total</w:t>
      </w:r>
      <w:r w:rsidR="00F35779" w:rsidRPr="005224C3">
        <w:t xml:space="preserve">. </w:t>
      </w:r>
      <w:r w:rsidRPr="005224C3">
        <w:t>Os valores mais altos estão relacionados com a gravidade da doença</w:t>
      </w:r>
      <w:r w:rsidR="00F35779" w:rsidRPr="005224C3">
        <w:fldChar w:fldCharType="begin"/>
      </w:r>
      <w:r w:rsidR="006C66EC">
        <w:instrText xml:space="preserve"> ADDIN ZOTERO_ITEM CSL_CITATION {"citationID":"FsKt1w5y","properties":{"formattedCitation":"[10]","plainCitation":"[10]","noteIndex":0},"citationItems":[{"id":6871,"uris":["http://zotero.org/users/10339151/items/GLJWIIXE"],"itemData":{"id":6871,"type":"article-journal","abstract":"The hereditary ataxias comprise a very large spectrum of genetically determined neurodegenerative disorders with progressive ataxia as the prominent symptom. In order to measure the severity of cerebellar ataxia in an easier and more practical way, it was proposed a new scale: the Scale for the Assessment and Rating of Ataxia (SARA). The objective of this study was to translate and validate SARA into Brazilian Portuguese. METHOD: The SARA was translated into Brazilian Portuguese, analyzed, back translated to English, and compared to the original version. It was applied to 30 patients. In addition to SARA, we applied the International Cooperative Ataxia Rating Scale (ICARS) in all subjects. RESULTS: SARA scale was translated into Brazilian version with adequate internal consistence, but a significant correlation between ICARS and SARA was not found. CONCLUSION: SARA was translated and validated into Brazilian Portuguese language, showing good reliability and validity.\n          , \n            As ataxias hereditárias compreendem grande espectro de doenças neurodegenerativas geneticamente determinadas, tendo como sintoma preponderante a ataxia de instalação progressiva. No sentido de avaliar a gravidade da ataxia cerebelar através de forma mais fácil e prática, foi proposta uma nova escala: a Escala para Avaliação e Graduação de Ataxia (SARA). O objetivo deste estudo foi traduzir e validar a SARA para o português brasileiro. MÉTODO: A escala SARA foi traduzida para o português brasileiro, analisada, traduzida novamente para o inglês e comparada com sua versão original. A escala foi aplicada em 30 pacientes. Além disso, nós aplicamos também a Escala Cooperativa Internacional para Graduação de Ataxia (ICARS) em todos os pacientes. RESULTADOS: A escala SARA foi traduzida para a versão brasileira com adequada consistência interna, mas uma correlação significativa com a escala ICARS não foi encontrada. CONCLUSÃO: A escala SARA foi traduzida e validada para o português brasileiro, demonstrando boa confiabilidade e validade.","container-title":"Arquivos de Neuro-Psiquiatria","DOI":"10.1590/S0004-282X2010000200014","ISSN":"0004-282X","issue":"2","journalAbbreviation":"Arq. Neuro-Psiquiatr.","page":"228-230","source":"DOI.org (Crossref)","title":"Translation and validation into Brazilian version of the Scale of the Assessment and Rating of Ataxia (SARA)","volume":"68","author":[{"family":"Braga-Neto","given":"Pedro"},{"family":"Godeiro-Junior","given":"Clecio"},{"family":"Dutra","given":"Lívia Almeida"},{"family":"Pedroso","given":"José Luiz"},{"family":"Barsottini","given":"Orlando Graziani Povoas"}],"issued":{"date-parts":[["2010",4]]}}}],"schema":"https://github.com/citation-style-language/schema/raw/master/csl-citation.json"} </w:instrText>
      </w:r>
      <w:r w:rsidR="00F35779" w:rsidRPr="005224C3">
        <w:fldChar w:fldCharType="separate"/>
      </w:r>
      <w:r w:rsidR="006C66EC" w:rsidRPr="006C66EC">
        <w:t>[10]</w:t>
      </w:r>
      <w:r w:rsidR="00F35779" w:rsidRPr="005224C3">
        <w:fldChar w:fldCharType="end"/>
      </w:r>
      <w:r w:rsidR="00F35779" w:rsidRPr="005224C3">
        <w:t>.</w:t>
      </w:r>
      <w:r w:rsidRPr="005224C3">
        <w:rPr>
          <w:b/>
          <w:bCs/>
          <w:highlight w:val="yellow"/>
        </w:rPr>
        <w:t xml:space="preserve"> </w:t>
      </w:r>
    </w:p>
    <w:p w14:paraId="383E4E2B" w14:textId="09C06529" w:rsidR="0028170F" w:rsidRPr="005224C3" w:rsidRDefault="00C85B5F" w:rsidP="00A51A8F">
      <w:pPr>
        <w:rPr>
          <w:sz w:val="16"/>
          <w:szCs w:val="16"/>
        </w:rPr>
      </w:pPr>
      <w:r w:rsidRPr="005224C3">
        <w:t xml:space="preserve">Adicionalmente, a </w:t>
      </w:r>
      <w:r w:rsidR="00E864FF" w:rsidRPr="005224C3">
        <w:t>Escala Cooperativa Internacional para Graduação de Ataxia (ICARS</w:t>
      </w:r>
      <w:r w:rsidR="00B90983" w:rsidRPr="005224C3">
        <w:t>)</w:t>
      </w:r>
      <w:r w:rsidR="00E864FF" w:rsidRPr="005224C3">
        <w:t>, validada para a população brasileira</w:t>
      </w:r>
      <w:r w:rsidR="00F35779" w:rsidRPr="005224C3">
        <w:fldChar w:fldCharType="begin"/>
      </w:r>
      <w:r w:rsidR="006C66EC">
        <w:instrText xml:space="preserve"> ADDIN ZOTERO_ITEM CSL_CITATION {"citationID":"Dpca58Mr","properties":{"formattedCitation":"[11]","plainCitation":"[11]","noteIndex":0},"citationItems":[{"id":6873,"uris":["http://zotero.org/users/10339151/items/92LU4LNL"],"itemData":{"id":6873,"type":"article-journal","abstract":"ABSTRACT  Introduction: The clinical assessment of patients with ataxias requires reliable scales. We aimed to translate, adapt and validate the International Cooperative Ataxia Rating Scale (ICARS) into Brazilian Portuguese.  Methods: The steps of this study were forward translation, translation synthesis, backward translation, expert committee meeting, preliminary pilot testing and final assessment. Thirty patients were enrolled in the preliminary pilot testing and 61 patients were evaluated for construct validity, internal consistency, intra- and inter-rater reliability and external consistency.  Results: This study showed good validity of the construct and high internal consistency for the full scale, except for the oculomotor domain (Cronbach's alpha = 0.316, intraclass correlation coefficients intra- = 82.4% and inter- = 79.2%). A high correlation with the Scale for the Assessment and Rating of Ataxia was observed. We found good intra-rater agreement and relative inter-rater disagreement, except in the posture and gait domain.  Conclusion: The present ICARS version is adapted for the Brazilian culture and can be used to assess our ataxic patients.\n          , \n            RESUMO  Introdução: A avaliação clínica de pacientes atáxicos requer instrumentos confiáveis. Nosso objetivo foi traduzir, adaptar culturalmente e validar a International Cooperative Ataxia Rating Scale (ICARS) para a língua portuguesa do Brasil.  Métodos: As etapas foram tradução, síntese das traduções, retrotradução, comitê de especialistas, pré-teste e avaliação final. O pré-teste foi realizado com 30 pacientes. Outros 61 pacientes foram avaliados para validade do constructo, consistência interna, confiabilidade intra e interexaminadores e consistência externa.  Resultados: Este estudo mostrou boa validade do constructo e alta consistência interna para o total da escala, exceto para o domínio Oculomotor (alfa de Cronbach = 0.316, CCIintra = 82.4% e CCIinter = 79.2%). Alta correlação com a Scale for the Assessment and Rating of Ataxia foi observada. Nós encontramos boa concordância intraexaminador e relativa discordância interexaminadores, com exceção dos domínios postura e marcha.  Conclusão: Esta versão da ICARS está adaptada para a cultura brasileira e pode ser usada em pacientes com ataxia.","container-title":"Arquivos de Neuro-Psiquiatria","DOI":"10.1590/0004-282x20180098","ISSN":"1678-4227, 0004-282X","issue":"10","journalAbbreviation":"Arq. Neuro-Psiquiatr.","page":"674-684","source":"DOI.org (Crossref)","title":"Cross-cultural adaptation and validation of the International Cooperative Ataxia Rating Scale (ICARS) to Brazilian Portuguese","volume":"76","author":[{"family":"Maggi","given":"Fernanda Aparecida"},{"family":"Braga-Neto","given":"Pedro"},{"family":"Chien","given":"Hsin Fen"},{"family":"Gama","given":"Maria Thereza Drumond"},{"family":"Rezende Filho","given":"Flávio Moura"},{"family":"Saraiva-Pereira","given":"Maria Luiza"},{"family":"Jardim","given":"Laura Bannach"},{"family":"Voos","given":"Mariana Callil"},{"family":"Pedroso","given":"José Luiz"},{"family":"Barsottini","given":"Orlando Graziani Povoas"}],"issued":{"date-parts":[["2018",10]]}}}],"schema":"https://github.com/citation-style-language/schema/raw/master/csl-citation.json"} </w:instrText>
      </w:r>
      <w:r w:rsidR="00F35779" w:rsidRPr="005224C3">
        <w:fldChar w:fldCharType="separate"/>
      </w:r>
      <w:r w:rsidR="006C66EC" w:rsidRPr="006C66EC">
        <w:t>[11]</w:t>
      </w:r>
      <w:r w:rsidR="00F35779" w:rsidRPr="005224C3">
        <w:fldChar w:fldCharType="end"/>
      </w:r>
      <w:r w:rsidR="00E864FF" w:rsidRPr="005224C3">
        <w:t xml:space="preserve">, foi utilizada sequencialmente à escala SARA.  Por tratar-se da escala mais utilizada em todo o mundo e por ser validada para população brasileira, permitiu-nos análises adicionais à pesquisa. A ICARS tem sido demonstrada como um instrumento de avaliação válido e confiável no estudo das </w:t>
      </w:r>
      <w:proofErr w:type="spellStart"/>
      <w:r w:rsidR="00E864FF" w:rsidRPr="005224C3">
        <w:t>SCAs</w:t>
      </w:r>
      <w:proofErr w:type="spellEnd"/>
      <w:r w:rsidR="00E864FF" w:rsidRPr="005224C3">
        <w:t xml:space="preserve">. Consta de 19 itens, divididos em 4 subescalas, com variação de pontuação de 0 a 100. A pontuação máxima da escala, 100 pontos, é separada da seguinte forma: 1) - Postura e distúrbio de marcha (itens de 1 a 7, pontuação de 0-34); 2) - Funções cinéticas (itens de 8 a 14, pontuação 0-52); </w:t>
      </w:r>
      <w:r w:rsidR="00F35779" w:rsidRPr="005224C3">
        <w:t>3) -</w:t>
      </w:r>
      <w:r w:rsidR="00E864FF" w:rsidRPr="005224C3">
        <w:t xml:space="preserve"> Distúrbios de fala (itens de 15 a 16, pontuação 0-8) e Distúrbios oculomotores (itens de 17 a 19, pontuação 0-6)</w:t>
      </w:r>
      <w:r w:rsidR="00F35779" w:rsidRPr="005224C3">
        <w:t xml:space="preserve">. </w:t>
      </w:r>
      <w:r w:rsidR="00E864FF" w:rsidRPr="005224C3">
        <w:t xml:space="preserve"> A escala ICARS dispõe de maior número de itens relacionados a ataxia que a escala SARA. Permite inclusive, avaliar a coordenação motora fina. Quanto maior a pontuação, maior o grau de ataxia e limitação funcional</w:t>
      </w:r>
      <w:r w:rsidR="00F35779" w:rsidRPr="005224C3">
        <w:fldChar w:fldCharType="begin"/>
      </w:r>
      <w:r w:rsidR="006C66EC">
        <w:instrText xml:space="preserve"> ADDIN ZOTERO_ITEM CSL_CITATION {"citationID":"JM92T7YT","properties":{"formattedCitation":"[11,13]","plainCitation":"[11,13]","noteIndex":0},"citationItems":[{"id":6873,"uris":["http://zotero.org/users/10339151/items/92LU4LNL"],"itemData":{"id":6873,"type":"article-journal","abstract":"ABSTRACT  Introduction: The clinical assessment of patients with ataxias requires reliable scales. We aimed to translate, adapt and validate the International Cooperative Ataxia Rating Scale (ICARS) into Brazilian Portuguese.  Methods: The steps of this study were forward translation, translation synthesis, backward translation, expert committee meeting, preliminary pilot testing and final assessment. Thirty patients were enrolled in the preliminary pilot testing and 61 patients were evaluated for construct validity, internal consistency, intra- and inter-rater reliability and external consistency.  Results: This study showed good validity of the construct and high internal consistency for the full scale, except for the oculomotor domain (Cronbach's alpha = 0.316, intraclass correlation coefficients intra- = 82.4% and inter- = 79.2%). A high correlation with the Scale for the Assessment and Rating of Ataxia was observed. We found good intra-rater agreement and relative inter-rater disagreement, except in the posture and gait domain.  Conclusion: The present ICARS version is adapted for the Brazilian culture and can be used to assess our ataxic patients.\n          , \n            RESUMO  Introdução: A avaliação clínica de pacientes atáxicos requer instrumentos confiáveis. Nosso objetivo foi traduzir, adaptar culturalmente e validar a International Cooperative Ataxia Rating Scale (ICARS) para a língua portuguesa do Brasil.  Métodos: As etapas foram tradução, síntese das traduções, retrotradução, comitê de especialistas, pré-teste e avaliação final. O pré-teste foi realizado com 30 pacientes. Outros 61 pacientes foram avaliados para validade do constructo, consistência interna, confiabilidade intra e interexaminadores e consistência externa.  Resultados: Este estudo mostrou boa validade do constructo e alta consistência interna para o total da escala, exceto para o domínio Oculomotor (alfa de Cronbach = 0.316, CCIintra = 82.4% e CCIinter = 79.2%). Alta correlação com a Scale for the Assessment and Rating of Ataxia foi observada. Nós encontramos boa concordância intraexaminador e relativa discordância interexaminadores, com exceção dos domínios postura e marcha.  Conclusão: Esta versão da ICARS está adaptada para a cultura brasileira e pode ser usada em pacientes com ataxia.","container-title":"Arquivos de Neuro-Psiquiatria","DOI":"10.1590/0004-282x20180098","ISSN":"1678-4227, 0004-282X","issue":"10","journalAbbreviation":"Arq. Neuro-Psiquiatr.","page":"674-684","source":"DOI.org (Crossref)","title":"Cross-cultural adaptation and validation of the International Cooperative Ataxia Rating Scale (ICARS) to Brazilian Portuguese","volume":"76","author":[{"family":"Maggi","given":"Fernanda Aparecida"},{"family":"Braga-Neto","given":"Pedro"},{"family":"Chien","given":"Hsin Fen"},{"family":"Gama","given":"Maria Thereza Drumond"},{"family":"Rezende Filho","given":"Flávio Moura"},{"family":"Saraiva-Pereira","given":"Maria Luiza"},{"family":"Jardim","given":"Laura Bannach"},{"family":"Voos","given":"Mariana Callil"},{"family":"Pedroso","given":"José Luiz"},{"family":"Barsottini","given":"Orlando Graziani Povoas"}],"issued":{"date-parts":[["2018",10]]}},"label":"page"},{"id":6877,"uris":["http://zotero.org/users/10339151/items/UAHEVKHP"],"itemData":{"id":6877,"type":"article-journal","container-title":"Movement Disorders","DOI":"10.1002/mds.20781","ISSN":"0885-3185, 1531-8257","issue":"5","journalAbbreviation":"Mov Disord.","language":"en","license":"http://doi.wiley.com/10.1002/tdm_license_1.1","page":"699-704","source":"DOI.org (Crossref)","title":"Reliability and validity of the International Cooperative Ataxia Rating Scale: A study in 156 spinocerebellar ataxia patients","title-short":"Reliability and validity of the International Cooperative Ataxia Rating Scale","volume":"21","author":[{"family":"Schmitz-Hübsch","given":"Tanja"},{"family":"Tezenas Du Montcel","given":"Sophie"},{"family":"Baliko","given":"Laszlo"},{"family":"Boesch","given":"Sylvia"},{"family":"Bonato","given":"Sara"},{"family":"Fancellu","given":"Roberto"},{"family":"Giunti","given":"Paola"},{"family":"Globas","given":"Christoph"},{"family":"Kang","given":"Jun-Suk"},{"family":"Kremer","given":"Berry"},{"family":"Mariotti","given":"Caterina"},{"family":"Melegh","given":"Bela"},{"family":"Rakowicz","given":"Maryla"},{"family":"Rola","given":"Rafal"},{"family":"Romano","given":"Sylvie"},{"family":"Schöls","given":"Lodger"},{"family":"Szymanski","given":"Sandra"},{"family":"Van De Warrenburg","given":"Bart P.C."},{"family":"Zdzienicka","given":"Elzbieta"},{"family":"Dürr","given":"Alexandra"},{"family":"Klockgether","given":"Thomas"}],"issued":{"date-parts":[["2006",5]]}},"label":"page"}],"schema":"https://github.com/citation-style-language/schema/raw/master/csl-citation.json"} </w:instrText>
      </w:r>
      <w:r w:rsidR="00F35779" w:rsidRPr="005224C3">
        <w:fldChar w:fldCharType="separate"/>
      </w:r>
      <w:r w:rsidR="006C66EC" w:rsidRPr="006C66EC">
        <w:t>[11,13]</w:t>
      </w:r>
      <w:r w:rsidR="00F35779" w:rsidRPr="005224C3">
        <w:fldChar w:fldCharType="end"/>
      </w:r>
      <w:r w:rsidR="00E864FF" w:rsidRPr="005224C3">
        <w:t>.</w:t>
      </w:r>
    </w:p>
    <w:p w14:paraId="703026BD" w14:textId="120BD0FB" w:rsidR="00A76167" w:rsidRPr="005224C3" w:rsidRDefault="00961E8B" w:rsidP="00A51A8F">
      <w:r w:rsidRPr="005224C3">
        <w:t>A espirometria consiste em um teste que calcula uma série de parâmetros relacionados à função respiratória humana</w:t>
      </w:r>
      <w:r w:rsidR="002873B5" w:rsidRPr="005224C3">
        <w:fldChar w:fldCharType="begin"/>
      </w:r>
      <w:r w:rsidR="006C66EC">
        <w:instrText xml:space="preserve"> ADDIN ZOTERO_ITEM CSL_CITATION {"citationID":"Zlfc3KJ6","properties":{"formattedCitation":"[14]","plainCitation":"[14]","noteIndex":0},"citationItems":[{"id":6878,"uris":["http://zotero.org/users/10339151/items/2AWMZF8D"],"itemData":{"id":6878,"type":"article-newspaper","container-title":"J Pneumol","edition":"28","event-place":"Brasil","page":"1-238","publisher-place":"Brasil","section":"Supl 3","title":"Diretrizes para Testes de Função Pulmonar","author":[{"family":"Pereira","given":"Carlos Alberto De Castro"},{"literal":"Neder JA"}],"issued":{"date-parts":[["2002"]]}}}],"schema":"https://github.com/citation-style-language/schema/raw/master/csl-citation.json"} </w:instrText>
      </w:r>
      <w:r w:rsidR="002873B5" w:rsidRPr="005224C3">
        <w:fldChar w:fldCharType="separate"/>
      </w:r>
      <w:r w:rsidR="006C66EC" w:rsidRPr="006C66EC">
        <w:t>[14]</w:t>
      </w:r>
      <w:r w:rsidR="002873B5" w:rsidRPr="005224C3">
        <w:fldChar w:fldCharType="end"/>
      </w:r>
      <w:r w:rsidRPr="005224C3">
        <w:t>.</w:t>
      </w:r>
      <w:r w:rsidRPr="005224C3">
        <w:rPr>
          <w:vertAlign w:val="superscript"/>
        </w:rPr>
        <w:t xml:space="preserve"> </w:t>
      </w:r>
      <w:r w:rsidR="00B90983" w:rsidRPr="005224C3">
        <w:t xml:space="preserve">O procedimento foi explicado detalhadamente para que iniciasse com manobras de respirações tranquilas, seguidas de inspiração profunda e expiração forçada. Foram realizados exames com apresentação de curvas de fluxo-volume e volume-tempo. Os parâmetros </w:t>
      </w:r>
      <w:proofErr w:type="spellStart"/>
      <w:r w:rsidR="00B90983" w:rsidRPr="005224C3">
        <w:t>espirométricos</w:t>
      </w:r>
      <w:proofErr w:type="spellEnd"/>
      <w:r w:rsidR="00B90983" w:rsidRPr="005224C3">
        <w:t xml:space="preserve"> utilizados foram: Capacidade Vital Forçada (CVF), Volume expiratório forçado no primeiro segundo (VEF1), Pico de fluxo expiratório (PFE), Fluxo expiratório forçado entre 25 e 75% (FEF 25-75%), Capacidade Vital (CV), Capacidade Inspiratória (CI), Relação entre Volume expiratório forçado no primeiro segundo e Capacidade Vital Forçada (VEF1/CVF). </w:t>
      </w:r>
    </w:p>
    <w:p w14:paraId="56207407" w14:textId="27AF0F7A" w:rsidR="00961E8B" w:rsidRPr="005224C3" w:rsidRDefault="00B90983" w:rsidP="00A51A8F">
      <w:pPr>
        <w:rPr>
          <w:sz w:val="16"/>
          <w:szCs w:val="16"/>
          <w:highlight w:val="yellow"/>
          <w:vertAlign w:val="superscript"/>
        </w:rPr>
      </w:pPr>
      <w:r w:rsidRPr="005224C3">
        <w:lastRenderedPageBreak/>
        <w:t xml:space="preserve">Os participantes foram previamente orientados em relação aos testes a serem realizados. Foram realizadas no mínimo 3 manobras para cada teste sugerido, objetivando obter-se curvas aceitáveis e reprodutíveis. </w:t>
      </w:r>
      <w:r w:rsidR="00961E8B" w:rsidRPr="005224C3">
        <w:t>Os valores de referência utilizados para a espirometria estão em consonância com o trabalho de Pereira e colaboradores (predito nacion</w:t>
      </w:r>
      <w:r w:rsidR="00961E8B" w:rsidRPr="00C040F2">
        <w:rPr>
          <w:color w:val="000000" w:themeColor="text1"/>
        </w:rPr>
        <w:t>al)</w:t>
      </w:r>
      <w:r w:rsidR="00182317" w:rsidRPr="00C040F2">
        <w:rPr>
          <w:color w:val="000000" w:themeColor="text1"/>
        </w:rPr>
        <w:fldChar w:fldCharType="begin"/>
      </w:r>
      <w:r w:rsidR="006C66EC" w:rsidRPr="00C040F2">
        <w:rPr>
          <w:color w:val="000000" w:themeColor="text1"/>
        </w:rPr>
        <w:instrText xml:space="preserve"> ADDIN ZOTERO_ITEM CSL_CITATION {"citationID":"aEW9M0UK","properties":{"formattedCitation":"[14\\uc0\\u8211{}16]","plainCitation":"[14–16]","noteIndex":0},"citationItems":[{"id":6878,"uris":["http://zotero.org/users/10339151/items/2AWMZF8D"],"itemData":{"id":6878,"type":"article-newspaper","container-title":"J Pneumol","edition":"28","event-place":"Brasil","page":"1-238","publisher-place":"Brasil","section":"Supl 3","title":"Diretrizes para Testes de Função Pulmonar","author":[{"family":"Pereira","given":"Carlos Alberto De Castro"},{"literal":"Neder JA"}],"issued":{"date-parts":[["2002"]]}},"label":"page"},{"id":6879,"uris":["http://zotero.org/users/10339151/items/CZDRV3W4"],"itemData":{"id":6879,"type":"article-journal","abstract":"OBJETIVO: Descrever novas equações de referência para a espirometria em adultos brasileiros saudáveis que nunca fumaram, e comparar os valores previstos atuais com os valores derivados em 1992. MÉTODOS: Equações e limites de referência foram derivados em 270 homens e 373 mulheres, habitantes de oito cidades brasileiras, por espirômetro. A idade variou de 20 a 85 anos nas mulheres e 26 a 86 anos nos homens. Os exames seguiram as normas recomendadas pela Sociedade Brasileira de Pneumologia e Tisiologia. Os limites inferiores foram derivados pela análise do 5º percentil dos resíduos. RESULTADOS: Os valores previstos para capacidade vital forçada (CVF), volume expiratório forçado no primeiro segundo (VEF1) e para as relações VEF1/CVF e VEF1/volume expiratório forçado nos primeiros seis segundos (VEF6) se ajustaram melhor em regressões lineares. Os fluxos ajustaram-se melhor em equações logarítmicas. Em ambos os sexos, maiores estaturas resultaram em menores valores para as relações VEF1/CVF, VEF1/VEF6 e fluxos/CVF. Os valores de referência do VEF1 e da CVF, no presente estudo, foram maiores do que aqueles derivados para adultos brasileiros em 1992. CONCLUSÃO: Novos valores previstos para a espirometria forçada foram obtidos em uma amostra da população brasileira de raça branca. Os valores são maiores do que os obtidos em 1992, provavelmente em decorrência de fatores técnicos.\n          , \n            OBJECTIVE: To describe spirometric reference equations for healthy Brazilian adults who have never smoked and to compare the predicted values with those derived in 1992. METHODS: Reference equations for spirometry were derived in 270 men and 373 women living in eight cities in Brazil. Ages ranged from 20 to 85 years in women and from 26 to 86 years in men. Spirometry examinations followed the recommendations of the Brazilian Thoracic Society. Lower limits were derived by the analysis of the fifth percentiles of the residuals. RESULTS: Forced vital capacity (FVC), forced expiratory volume in one second (FEV1), FEV1/FVC and FEV1/forced expiratory volume in six seconds (FEV6) were best fitted by linear regression. Flows were best fitted using log equations. For both genders, greater height resulted in lower values for FEV1/FVC, FEV1/FEV6 and flow/FVC ratios. The reference values for FEV1 and FVC in the present study were higher than those derived for Brazilian adults in 1992. CONCLUSION: New predicted values for forced spirometry were obtained in a sample of white Brazilians. The values are greater than those obtained in 1992, probably due to technical factors.","container-title":"Jornal Brasileiro de Pneumologia","DOI":"10.1590/S1806-37132007000400008","ISSN":"1806-3713","issue":"4","journalAbbreviation":"J. bras. pneumol.","page":"397-406","source":"DOI.org (Crossref)","title":"Novos valores de referência para espirometria forçada em brasileiros adultos de raça branca","volume":"33","author":[{"family":"Pereira","given":"Carlos Alberto De Castro"},{"family":"Sato","given":"Taeko"},{"family":"Rodrigues","given":"Sílvia Carla"}],"issued":{"date-parts":[["2007",8]]}},"label":"page"},{"id":6881,"uris":["http://zotero.org/users/10339151/items/BBUJQ97N"],"itemData":{"id":6881,"type":"article-journal","abstract":"OBJETIVO: Comparar os novos valores previstos brasileiros de capacidade vital forçada e volume expiratório forçado no primeiro segundo para a espirometria obtidos em 2006 com os obtidos por outras equações de referência e validar os achados por meio da comparação com uma nova amostra de brasileiros normais. MÉTODOS: Realizou-se espirometria forçada, de acordo com as normas da Sociedade Brasileira de Pneumologia e Tisiologia, em 643 adultos brancos não-fumantes. Os valores previstos obtidos por pesquisadores brasileiros em 1992 e os obtidos por quatro grupos de pesquisadores estrangeiros foram comparados com os novos valores previstos brasileiros obtidos em 2006. Em uma segunda fase, os valores médios obtidos em 65 mulheres e 79 homens adultos foram comparados aos valores previstos obtidos pelas diversas equações de referência. RESULTADOS: O teste t para amostras pareadas revelou diferenças significativas entre os valores previstos obtidos pelas seis equações e os obtidos pela equação brasileira de 2006. Na segunda fase, observou-se que os valores previstos obtidos por Crapo et al. e os obtidos por Hankinson et al. para os méxico-americanos mostraram valores médios semelhantes aos observados na nova amostra. Porém, quando os valores previstos obtidos na nova amostra foram comparados com os obtidos por esses autores, discrepâncias foram observadas, com valores previstos altos e baixos. Os valores obtidos pela equação brasileira de 2006 mostraram as menores diferenças em comparação com os valores médios obtidos na nova amostra. CONCLUSÕES: Estes resultados sublinham a importância de se usar equações de predição para espirometria que sejam apropriadas para nossa população.\n          , \n            OBJECTIVE: To compare the most recent (2006) predicted values of forced vital capacity and forced expiratory volume in one second for spirometry in Brazilians with those obtained using other reference equations and to validate the findings through comparisons with a new sample of normal Brazilians. METHODS: Forced spirometry was performed, in accordance with the Brazilian Thoracic Society guidelines, in 643 nonsmoking adult Caucasians. The predicted values obtained by Brazilian researchers in 1992 and those obtained by four groups of foreign researchers were compared with the new Brazilian predicted values obtained in 2006. In the second phase, the mean values obtained in 65 adult females and 79 adult males were compared with the predicted values obtained using the various reference equations. RESULTS: A t-test for paired samples revealed significant differences between the predicted values obtained using the six equations and those obtained using the 2006 Brazilian equation. In the second phase, the mean predicted values obtained by Crapo et al., as well as those obtained by Hankinson et al. for Mexican-Americans, were similar to those found in the new sample. However, when the predicted values obtained in the new sample were compared with those obtained by those authors, discrepancies were found, with high and low predicted values. The mean values obtained using the 2006 Brazilian equation presented the smallest differences in comparison with the mean values obtained in the new sample. CONCLUSIONS: These results underscore the importance of using prediction equations for spirometry that are appropriate for our population.","container-title":"Jornal Brasileiro de Pneumologia","DOI":"10.1590/S1806-37132007000500007","ISSN":"1806-3713","issue":"5","journalAbbreviation":"J. bras. pneumol.","page":"527-535","source":"DOI.org (Crossref)","title":"Validação de novos valores previstos brasileiros para a espirometria forçada na raça branca e comparação com os valores previstos obtidos por outras equações de referência","volume":"33","author":[{"family":"Duarte","given":"Andrezza Araújo De Oliveira"},{"family":"Pereira","given":"Carlos Alberto De Castro"},{"family":"Rodrigues","given":"Silvia Carla Sousa"}],"issued":{"date-parts":[["2007",10]]}},"label":"page"}],"schema":"https://github.com/citation-style-language/schema/raw/master/csl-citation.json"} </w:instrText>
      </w:r>
      <w:r w:rsidR="00182317" w:rsidRPr="00C040F2">
        <w:rPr>
          <w:color w:val="000000" w:themeColor="text1"/>
        </w:rPr>
        <w:fldChar w:fldCharType="separate"/>
      </w:r>
      <w:r w:rsidR="006C66EC" w:rsidRPr="00C040F2">
        <w:rPr>
          <w:color w:val="000000" w:themeColor="text1"/>
          <w:szCs w:val="24"/>
        </w:rPr>
        <w:t>[14–16]</w:t>
      </w:r>
      <w:r w:rsidR="00182317" w:rsidRPr="00C040F2">
        <w:rPr>
          <w:color w:val="000000" w:themeColor="text1"/>
        </w:rPr>
        <w:fldChar w:fldCharType="end"/>
      </w:r>
      <w:r w:rsidR="00961E8B" w:rsidRPr="00C040F2">
        <w:rPr>
          <w:color w:val="000000" w:themeColor="text1"/>
        </w:rPr>
        <w:t>. A presença de distúrbio restritivo foi identificada de acordo com</w:t>
      </w:r>
      <w:r w:rsidR="00961E8B" w:rsidRPr="00C040F2">
        <w:rPr>
          <w:rFonts w:eastAsia="Times New Roman"/>
          <w:color w:val="000000" w:themeColor="text1"/>
          <w:lang w:eastAsia="pt-BR"/>
        </w:rPr>
        <w:t xml:space="preserve"> VEF1/CVF &gt; Limite Inferior (LI</w:t>
      </w:r>
      <w:r w:rsidR="00961E8B" w:rsidRPr="00C040F2">
        <w:rPr>
          <w:rFonts w:eastAsia="Times New Roman"/>
          <w:color w:val="000000" w:themeColor="text1"/>
        </w:rPr>
        <w:t>); CVF</w:t>
      </w:r>
      <w:r w:rsidR="00961E8B" w:rsidRPr="00C040F2">
        <w:rPr>
          <w:rFonts w:eastAsia="Times New Roman"/>
          <w:color w:val="000000" w:themeColor="text1"/>
          <w:lang w:eastAsia="pt-BR"/>
        </w:rPr>
        <w:t xml:space="preserve"> &lt; LI</w:t>
      </w:r>
      <w:r w:rsidR="00961E8B" w:rsidRPr="00C040F2">
        <w:rPr>
          <w:rFonts w:eastAsia="Times New Roman"/>
          <w:color w:val="000000" w:themeColor="text1"/>
        </w:rPr>
        <w:t xml:space="preserve">. </w:t>
      </w:r>
      <w:r w:rsidR="00961E8B" w:rsidRPr="00C040F2">
        <w:rPr>
          <w:rFonts w:eastAsia="Times New Roman"/>
          <w:color w:val="000000" w:themeColor="text1"/>
          <w:lang w:eastAsia="pt-BR"/>
        </w:rPr>
        <w:t xml:space="preserve">Quando um padrão restritivo é identificado, </w:t>
      </w:r>
      <w:r w:rsidR="00961E8B" w:rsidRPr="00C040F2">
        <w:rPr>
          <w:rFonts w:eastAsia="Times New Roman"/>
          <w:color w:val="000000" w:themeColor="text1"/>
        </w:rPr>
        <w:t xml:space="preserve">observa-se </w:t>
      </w:r>
      <w:r w:rsidR="00961E8B" w:rsidRPr="00C040F2">
        <w:rPr>
          <w:rFonts w:eastAsia="Times New Roman"/>
          <w:color w:val="000000" w:themeColor="text1"/>
          <w:lang w:eastAsia="pt-BR"/>
        </w:rPr>
        <w:t xml:space="preserve">sinais de redução da capacidade vital (CV forçada ou não), redução da VEF1 com </w:t>
      </w:r>
      <w:proofErr w:type="spellStart"/>
      <w:r w:rsidR="00961E8B" w:rsidRPr="00C040F2">
        <w:rPr>
          <w:rFonts w:eastAsia="Times New Roman"/>
          <w:color w:val="000000" w:themeColor="text1"/>
          <w:lang w:eastAsia="pt-BR"/>
        </w:rPr>
        <w:t>Indice</w:t>
      </w:r>
      <w:proofErr w:type="spellEnd"/>
      <w:r w:rsidR="00961E8B" w:rsidRPr="00C040F2">
        <w:rPr>
          <w:rFonts w:eastAsia="Times New Roman"/>
          <w:color w:val="000000" w:themeColor="text1"/>
          <w:lang w:eastAsia="pt-BR"/>
        </w:rPr>
        <w:t xml:space="preserve"> de </w:t>
      </w:r>
      <w:proofErr w:type="spellStart"/>
      <w:r w:rsidR="00961E8B" w:rsidRPr="00C040F2">
        <w:rPr>
          <w:rFonts w:eastAsia="Times New Roman"/>
          <w:color w:val="000000" w:themeColor="text1"/>
          <w:lang w:eastAsia="pt-BR"/>
        </w:rPr>
        <w:t>Tiffeneau</w:t>
      </w:r>
      <w:proofErr w:type="spellEnd"/>
      <w:r w:rsidR="00961E8B" w:rsidRPr="00C040F2">
        <w:rPr>
          <w:rFonts w:eastAsia="Times New Roman"/>
          <w:color w:val="000000" w:themeColor="text1"/>
          <w:lang w:eastAsia="pt-BR"/>
        </w:rPr>
        <w:t xml:space="preserve"> normal ou aumentado (VEF1/CVF).</w:t>
      </w:r>
      <w:r w:rsidR="00961E8B" w:rsidRPr="00C040F2">
        <w:rPr>
          <w:color w:val="000000" w:themeColor="text1"/>
        </w:rPr>
        <w:t xml:space="preserve"> A espirometria</w:t>
      </w:r>
      <w:r w:rsidR="00961E8B" w:rsidRPr="00C040F2">
        <w:rPr>
          <w:b/>
          <w:color w:val="000000" w:themeColor="text1"/>
        </w:rPr>
        <w:t xml:space="preserve"> </w:t>
      </w:r>
      <w:r w:rsidR="00961E8B" w:rsidRPr="00C040F2">
        <w:rPr>
          <w:color w:val="000000" w:themeColor="text1"/>
        </w:rPr>
        <w:t>foi realizada em ambiente calmo. Os pacientes foram submetidos ao teste na posição sentada de forma confortável</w:t>
      </w:r>
      <w:r w:rsidR="00182317" w:rsidRPr="00C040F2">
        <w:rPr>
          <w:color w:val="000000" w:themeColor="text1"/>
        </w:rPr>
        <w:fldChar w:fldCharType="begin"/>
      </w:r>
      <w:r w:rsidR="006C66EC" w:rsidRPr="00C040F2">
        <w:rPr>
          <w:color w:val="000000" w:themeColor="text1"/>
        </w:rPr>
        <w:instrText xml:space="preserve"> ADDIN ZOTERO_ITEM CSL_CITATION {"citationID":"dQ3kIc39","properties":{"formattedCitation":"[14,15,17]","plainCitation":"[14,15,17]","noteIndex":0},"citationItems":[{"id":6878,"uris":["http://zotero.org/users/10339151/items/2AWMZF8D"],"itemData":{"id":6878,"type":"article-newspaper","container-title":"J Pneumol","edition":"28","event-place":"Brasil","page":"1-238","publisher-place":"Brasil","section":"Supl 3","title":"Diretrizes para Testes de Função Pulmonar","author":[{"family":"Pereira","given":"Carlos Alberto De Castro"},{"literal":"Neder JA"}],"issued":{"date-parts":[["2002"]]}},"label":"page"},{"id":6879,"uris":["http://zotero.org/users/10339151/items/CZDRV3W4"],"itemData":{"id":6879,"type":"article-journal","abstract":"OBJETIVO: Descrever novas equações de referência para a espirometria em adultos brasileiros saudáveis que nunca fumaram, e comparar os valores previstos atuais com os valores derivados em 1992. MÉTODOS: Equações e limites de referência foram derivados em 270 homens e 373 mulheres, habitantes de oito cidades brasileiras, por espirômetro. A idade variou de 20 a 85 anos nas mulheres e 26 a 86 anos nos homens. Os exames seguiram as normas recomendadas pela Sociedade Brasileira de Pneumologia e Tisiologia. Os limites inferiores foram derivados pela análise do 5º percentil dos resíduos. RESULTADOS: Os valores previstos para capacidade vital forçada (CVF), volume expiratório forçado no primeiro segundo (VEF1) e para as relações VEF1/CVF e VEF1/volume expiratório forçado nos primeiros seis segundos (VEF6) se ajustaram melhor em regressões lineares. Os fluxos ajustaram-se melhor em equações logarítmicas. Em ambos os sexos, maiores estaturas resultaram em menores valores para as relações VEF1/CVF, VEF1/VEF6 e fluxos/CVF. Os valores de referência do VEF1 e da CVF, no presente estudo, foram maiores do que aqueles derivados para adultos brasileiros em 1992. CONCLUSÃO: Novos valores previstos para a espirometria forçada foram obtidos em uma amostra da população brasileira de raça branca. Os valores são maiores do que os obtidos em 1992, provavelmente em decorrência de fatores técnicos.\n          , \n            OBJECTIVE: To describe spirometric reference equations for healthy Brazilian adults who have never smoked and to compare the predicted values with those derived in 1992. METHODS: Reference equations for spirometry were derived in 270 men and 373 women living in eight cities in Brazil. Ages ranged from 20 to 85 years in women and from 26 to 86 years in men. Spirometry examinations followed the recommendations of the Brazilian Thoracic Society. Lower limits were derived by the analysis of the fifth percentiles of the residuals. RESULTS: Forced vital capacity (FVC), forced expiratory volume in one second (FEV1), FEV1/FVC and FEV1/forced expiratory volume in six seconds (FEV6) were best fitted by linear regression. Flows were best fitted using log equations. For both genders, greater height resulted in lower values for FEV1/FVC, FEV1/FEV6 and flow/FVC ratios. The reference values for FEV1 and FVC in the present study were higher than those derived for Brazilian adults in 1992. CONCLUSION: New predicted values for forced spirometry were obtained in a sample of white Brazilians. The values are greater than those obtained in 1992, probably due to technical factors.","container-title":"Jornal Brasileiro de Pneumologia","DOI":"10.1590/S1806-37132007000400008","ISSN":"1806-3713","issue":"4","journalAbbreviation":"J. bras. pneumol.","page":"397-406","source":"DOI.org (Crossref)","title":"Novos valores de referência para espirometria forçada em brasileiros adultos de raça branca","volume":"33","author":[{"family":"Pereira","given":"Carlos Alberto De Castro"},{"family":"Sato","given":"Taeko"},{"family":"Rodrigues","given":"Sílvia Carla"}],"issued":{"date-parts":[["2007",8]]}},"label":"page"},{"id":6883,"uris":["http://zotero.org/users/10339151/items/DH5T98ED"],"itemData":{"id":6883,"type":"article-journal","container-title":"New England Journal of Medicine","DOI":"10.1056/NEJMra1007236","ISSN":"0028-4793, 1533-4406","issue":"10","journalAbbreviation":"N Engl J Med","language":"en","page":"932-942","source":"DOI.org (Crossref)","title":"Dysfunction of the Diaphragm","volume":"366","author":[{"family":"McCool","given":"F. Dennis"},{"family":"Tzelepis","given":"George E."}],"issued":{"date-parts":[["2012",3,8]]}},"label":"page"}],"schema":"https://github.com/citation-style-language/schema/raw/master/csl-citation.json"} </w:instrText>
      </w:r>
      <w:r w:rsidR="00182317" w:rsidRPr="00C040F2">
        <w:rPr>
          <w:color w:val="000000" w:themeColor="text1"/>
        </w:rPr>
        <w:fldChar w:fldCharType="separate"/>
      </w:r>
      <w:r w:rsidR="006C66EC" w:rsidRPr="00C040F2">
        <w:rPr>
          <w:color w:val="000000" w:themeColor="text1"/>
        </w:rPr>
        <w:t>[14,15,17]</w:t>
      </w:r>
      <w:r w:rsidR="00182317" w:rsidRPr="00C040F2">
        <w:rPr>
          <w:color w:val="000000" w:themeColor="text1"/>
        </w:rPr>
        <w:fldChar w:fldCharType="end"/>
      </w:r>
      <w:r w:rsidR="00182317" w:rsidRPr="005224C3">
        <w:t>.</w:t>
      </w:r>
      <w:r w:rsidR="00961E8B" w:rsidRPr="005224C3">
        <w:rPr>
          <w:vertAlign w:val="superscript"/>
        </w:rPr>
        <w:t xml:space="preserve"> </w:t>
      </w:r>
      <w:r w:rsidR="00961E8B" w:rsidRPr="005224C3">
        <w:t>Foi acoplado um clipe nasal para que não ocorresse escape de ar pelas narinas.</w:t>
      </w:r>
    </w:p>
    <w:p w14:paraId="027D21F4" w14:textId="549C7BDF" w:rsidR="00B82F3F" w:rsidRPr="005224C3" w:rsidRDefault="00961E8B" w:rsidP="00A51A8F">
      <w:r w:rsidRPr="005224C3">
        <w:t>As pressões inspiratória e expiratória máximas são testes</w:t>
      </w:r>
      <w:r w:rsidRPr="005224C3">
        <w:rPr>
          <w:b/>
        </w:rPr>
        <w:t xml:space="preserve"> </w:t>
      </w:r>
      <w:r w:rsidRPr="005224C3">
        <w:t xml:space="preserve">que possibilitam a mensuração de força da musculatura respiratória. Ambos são mensurados na boca durante esforços estáticos. Os testes são volitivos, não invasivos, amplamente utilizados e encontram-se bem estabelecidos em adultos. A Pi </w:t>
      </w:r>
      <w:proofErr w:type="spellStart"/>
      <w:r w:rsidRPr="005224C3">
        <w:t>máx</w:t>
      </w:r>
      <w:proofErr w:type="spellEnd"/>
      <w:r w:rsidRPr="005224C3">
        <w:t xml:space="preserve"> mensura a força dos músculos inspiratórios, especialmente o diafragma e intercostais externos que promovem a insuflação pulmonar. A </w:t>
      </w:r>
      <w:proofErr w:type="spellStart"/>
      <w:r w:rsidRPr="005224C3">
        <w:t>Pe</w:t>
      </w:r>
      <w:proofErr w:type="spellEnd"/>
      <w:r w:rsidRPr="005224C3">
        <w:t xml:space="preserve"> </w:t>
      </w:r>
      <w:proofErr w:type="spellStart"/>
      <w:r w:rsidRPr="005224C3">
        <w:t>máx</w:t>
      </w:r>
      <w:proofErr w:type="spellEnd"/>
      <w:r w:rsidRPr="005224C3">
        <w:t>, avalia a força da musculatura expiratória representada pelos intercostais internos e abdominais, os quais promovem especialmente a tosse </w:t>
      </w:r>
      <w:r w:rsidR="00743D62" w:rsidRPr="005224C3">
        <w:fldChar w:fldCharType="begin"/>
      </w:r>
      <w:r w:rsidR="006C66EC">
        <w:instrText xml:space="preserve"> ADDIN ZOTERO_ITEM CSL_CITATION {"citationID":"2uzfG81Q","properties":{"formattedCitation":"[18]","plainCitation":"[18]","noteIndex":0},"citationItems":[{"id":6884,"uris":["http://zotero.org/users/10339151/items/DX8UCGKE"],"itemData":{"id":6884,"type":"article-journal","container-title":"Jornal Brasileiro de Nefrologia","DOI":"10.1590/S0101-28002010000100017","ISSN":"2175-8239","issue":"1","journalAbbreviation":"J. Bras. Nefrol.","language":"en","page":"107-113","source":"DOI.org (Crossref)","title":"Avaliação das pressões respiratórias máximas em pacientes renais crônicos nos momentos pré e pós-hemodiálise","volume":"32","author":[{"family":"Rocha","given":"Carmélia Bomfim Jacó"},{"family":"Araújo","given":"Sebastião"}],"issued":{"date-parts":[["2010",3]]}}}],"schema":"https://github.com/citation-style-language/schema/raw/master/csl-citation.json"} </w:instrText>
      </w:r>
      <w:r w:rsidR="00743D62" w:rsidRPr="005224C3">
        <w:fldChar w:fldCharType="separate"/>
      </w:r>
      <w:r w:rsidR="006C66EC" w:rsidRPr="006C66EC">
        <w:t>[18]</w:t>
      </w:r>
      <w:r w:rsidR="00743D62" w:rsidRPr="005224C3">
        <w:fldChar w:fldCharType="end"/>
      </w:r>
      <w:r w:rsidR="00B82F3F" w:rsidRPr="005224C3">
        <w:t>.</w:t>
      </w:r>
    </w:p>
    <w:p w14:paraId="2FCF0418" w14:textId="158C3D39" w:rsidR="00961E8B" w:rsidRPr="005224C3" w:rsidRDefault="00961E8B" w:rsidP="00A51A8F">
      <w:pPr>
        <w:rPr>
          <w:color w:val="030303"/>
        </w:rPr>
      </w:pPr>
      <w:r w:rsidRPr="005224C3">
        <w:t xml:space="preserve">O aparelho utilizado para mensurar a Pi e </w:t>
      </w:r>
      <w:proofErr w:type="spellStart"/>
      <w:r w:rsidRPr="005224C3">
        <w:t>Pe</w:t>
      </w:r>
      <w:proofErr w:type="spellEnd"/>
      <w:r w:rsidRPr="005224C3">
        <w:t xml:space="preserve"> </w:t>
      </w:r>
      <w:proofErr w:type="spellStart"/>
      <w:r w:rsidRPr="005224C3">
        <w:t>máx</w:t>
      </w:r>
      <w:proofErr w:type="spellEnd"/>
      <w:r w:rsidRPr="005224C3">
        <w:t xml:space="preserve"> foi o </w:t>
      </w:r>
      <w:proofErr w:type="spellStart"/>
      <w:r w:rsidRPr="005224C3">
        <w:t>manovacuômetro</w:t>
      </w:r>
      <w:proofErr w:type="spellEnd"/>
      <w:r w:rsidRPr="005224C3">
        <w:t xml:space="preserve"> da marca Proar </w:t>
      </w:r>
      <w:proofErr w:type="spellStart"/>
      <w:r w:rsidRPr="005224C3">
        <w:t>life</w:t>
      </w:r>
      <w:proofErr w:type="spellEnd"/>
      <w:r w:rsidRPr="005224C3">
        <w:t xml:space="preserve">, variando em cmH2O de – 150 a + 150 cmH2O. A faixa de pressão (Escalas) sendo, escalas de 5 cmH2O. Classe de Exatidão. </w:t>
      </w:r>
      <w:r w:rsidRPr="005224C3">
        <w:rPr>
          <w:color w:val="030303"/>
        </w:rPr>
        <w:t xml:space="preserve">Norma - Segue padrões de exatidão Classe B (3/2/3%) - ABNT NBR 14105-1. Ano 2019. O aparelho dispõe de bocal em PVC anatômico para vedar a boca do paciente e o circuito do </w:t>
      </w:r>
      <w:proofErr w:type="spellStart"/>
      <w:r w:rsidRPr="005224C3">
        <w:rPr>
          <w:color w:val="030303"/>
        </w:rPr>
        <w:t>manovacuômetro</w:t>
      </w:r>
      <w:proofErr w:type="spellEnd"/>
      <w:r w:rsidRPr="005224C3">
        <w:rPr>
          <w:color w:val="030303"/>
        </w:rPr>
        <w:t xml:space="preserve">. </w:t>
      </w:r>
      <w:proofErr w:type="spellStart"/>
      <w:r w:rsidRPr="005224C3">
        <w:rPr>
          <w:color w:val="030303"/>
        </w:rPr>
        <w:t>Adiconalmente</w:t>
      </w:r>
      <w:proofErr w:type="spellEnd"/>
      <w:r w:rsidRPr="005224C3">
        <w:rPr>
          <w:color w:val="030303"/>
        </w:rPr>
        <w:t xml:space="preserve"> possui um pequeno pertuito para manter a glote aberta, traduzindo a pressão intratorácica gerada pela contração da musculatura inspiratória ou expiratória e não meramente a pressão dentro da cavidade oral. </w:t>
      </w:r>
    </w:p>
    <w:p w14:paraId="7DDA036C" w14:textId="2B079D9E" w:rsidR="00961E8B" w:rsidRPr="005224C3" w:rsidRDefault="00961E8B" w:rsidP="00A51A8F">
      <w:r w:rsidRPr="005224C3">
        <w:t xml:space="preserve">Para mensurar a </w:t>
      </w:r>
      <w:proofErr w:type="spellStart"/>
      <w:r w:rsidRPr="005224C3">
        <w:t>Pimáx</w:t>
      </w:r>
      <w:proofErr w:type="spellEnd"/>
      <w:r w:rsidR="00B90983" w:rsidRPr="005224C3">
        <w:t xml:space="preserve"> o</w:t>
      </w:r>
      <w:r w:rsidRPr="005224C3">
        <w:t>s participantes foram solicitados a permanecerem sentados, foi acoplado uma peça a boca e um clipe nasal sendo que, os participantes foram orientados a expirar até o volume residual (VR), em seguida fazer uma inspiração máxima e mantê-la por pelo menos 1 a 2 segundos. Foram realizadas de 3 a 8 medidas, considerando o maior valor obtido, de modo que a variação entre as medidas não poderia ultrapassar 10%. Os valores de referência utilizados foram os da população brasileira</w:t>
      </w:r>
      <w:r w:rsidR="00B82F3F" w:rsidRPr="005224C3">
        <w:fldChar w:fldCharType="begin"/>
      </w:r>
      <w:r w:rsidR="006C66EC">
        <w:instrText xml:space="preserve"> ADDIN ZOTERO_ITEM CSL_CITATION {"citationID":"J40U7MxV","properties":{"formattedCitation":"[19]","plainCitation":"[19]","noteIndex":0},"citationItems":[{"id":6886,"uris":["http://zotero.org/users/10339151/items/J49B2KQ2"],"itemData":{"id":6886,"type":"article-journal","container-title":"Brazilian Journal of Medical and Biological Research","DOI":"10.1590/S0100-879X1999000600007","ISSN":"0100-879X","issue":"6","journalAbbreviation":"Braz J Med Biol Res","page":"719-727","source":"DOI.org (Crossref)","title":"Reference values for lung function tests: II. Maximal respiratory pressures and voluntary ventilation","title-short":"Reference values for lung function tests","volume":"32","author":[{"family":"Neder","given":"J.A."},{"family":"Andreoni","given":"S."},{"family":"Lerario","given":"M.C."},{"family":"Nery","given":"L.E."}],"issued":{"date-parts":[["1999",6]]}}}],"schema":"https://github.com/citation-style-language/schema/raw/master/csl-citation.json"} </w:instrText>
      </w:r>
      <w:r w:rsidR="00B82F3F" w:rsidRPr="005224C3">
        <w:fldChar w:fldCharType="separate"/>
      </w:r>
      <w:r w:rsidR="006C66EC" w:rsidRPr="006C66EC">
        <w:t>[19]</w:t>
      </w:r>
      <w:r w:rsidR="00B82F3F" w:rsidRPr="005224C3">
        <w:fldChar w:fldCharType="end"/>
      </w:r>
      <w:r w:rsidRPr="005224C3">
        <w:t xml:space="preserve">. Valores de Pi </w:t>
      </w:r>
      <w:proofErr w:type="spellStart"/>
      <w:r w:rsidRPr="005224C3">
        <w:t>máx</w:t>
      </w:r>
      <w:proofErr w:type="spellEnd"/>
      <w:r w:rsidRPr="005224C3">
        <w:t xml:space="preserve"> &gt; - 80 cmH</w:t>
      </w:r>
      <w:r w:rsidRPr="005224C3">
        <w:rPr>
          <w:vertAlign w:val="subscript"/>
        </w:rPr>
        <w:t>2</w:t>
      </w:r>
      <w:r w:rsidRPr="005224C3">
        <w:t xml:space="preserve">O e </w:t>
      </w:r>
      <w:proofErr w:type="spellStart"/>
      <w:r w:rsidRPr="005224C3">
        <w:t>Pemáx</w:t>
      </w:r>
      <w:proofErr w:type="spellEnd"/>
      <w:r w:rsidRPr="005224C3">
        <w:t xml:space="preserve"> &gt; + 90 cmH</w:t>
      </w:r>
      <w:r w:rsidRPr="005224C3">
        <w:rPr>
          <w:vertAlign w:val="subscript"/>
        </w:rPr>
        <w:t>2</w:t>
      </w:r>
      <w:r w:rsidRPr="005224C3">
        <w:t>O excluem fraqueza da musculatura respiratória</w:t>
      </w:r>
      <w:r w:rsidR="00B82F3F" w:rsidRPr="005224C3">
        <w:fldChar w:fldCharType="begin"/>
      </w:r>
      <w:r w:rsidR="006C66EC">
        <w:instrText xml:space="preserve"> ADDIN ZOTERO_ITEM CSL_CITATION {"citationID":"fisqMocb","properties":{"formattedCitation":"[19\\uc0\\u8211{}21]","plainCitation":"[19–21]","noteIndex":0},"citationItems":[{"id":6886,"uris":["http://zotero.org/users/10339151/items/J49B2KQ2"],"itemData":{"id":6886,"type":"article-journal","container-title":"Brazilian Journal of Medical and Biological Research","DOI":"10.1590/S0100-879X1999000600007","ISSN":"0100-879X","issue":"6","journalAbbreviation":"Braz J Med Biol Res","page":"719-727","source":"DOI.org (Crossref)","title":"Reference values for lung function tests: II. Maximal respiratory pressures and voluntary ventilation","title-short":"Reference values for lung function tests","volume":"32","author":[{"family":"Neder","given":"J.A."},{"family":"Andreoni","given":"S."},{"family":"Lerario","given":"M.C."},{"family":"Nery","given":"L.E."}],"issued":{"date-parts":[["1999",6]]}},"label":"page"},{"id":6892,"uris":["http://zotero.org/users/10339151/items/855DKUZW"],"itemData":{"id":6892,"type":"article-newspaper","container-title":"J Pneumol","edition":"28","title":"Pressões respiratórias estáticas máximas","author":[{"family":"Souza","given":"Roberto Bravo","dropping-particle":"de"}],"issued":{"date-parts":[["2022"]]}}},{"id":6895,"uris":["http://zotero.org/users/10339151/items/DC9QXGUW"],"itemData":{"id":6895,"type":"article-journal","container-title":"European Respiratory Journal","issue":"6","note":"publisher: Eur Respiratory Soc","source":"Google Scholar","title":"ERS statement on respiratory muscle testing at rest and during exercise","volume":"53","author":[{"family":"Laveneziana","given":"Pierantonio"},{"family":"Albuquerque","given":"Andre"},{"family":"Aliverti","given":"Andrea"},{"family":"Babb","given":"Tony"},{"family":"Barreiro","given":"Esther"},{"family":"Dres","given":"Martin"},{"family":"Dubé","given":"Bruno-Pierre"},{"family":"Fauroux","given":"Brigitte"},{"family":"Gea","given":"Joaquim"},{"family":"Guenette","given":"Jordan A."}],"issued":{"date-parts":[["2019"]]}},"label":"page"}],"schema":"https://github.com/citation-style-language/schema/raw/master/csl-citation.json"} </w:instrText>
      </w:r>
      <w:r w:rsidR="00B82F3F" w:rsidRPr="005224C3">
        <w:fldChar w:fldCharType="separate"/>
      </w:r>
      <w:r w:rsidR="006C66EC" w:rsidRPr="006C66EC">
        <w:rPr>
          <w:szCs w:val="24"/>
        </w:rPr>
        <w:t>[19–21]</w:t>
      </w:r>
      <w:r w:rsidR="00B82F3F" w:rsidRPr="005224C3">
        <w:fldChar w:fldCharType="end"/>
      </w:r>
      <w:r w:rsidR="00B82F3F" w:rsidRPr="005224C3">
        <w:t>.</w:t>
      </w:r>
      <w:r w:rsidRPr="005224C3">
        <w:t xml:space="preserve"> </w:t>
      </w:r>
    </w:p>
    <w:p w14:paraId="4CB8B58D" w14:textId="598D9E46" w:rsidR="00961E8B" w:rsidRPr="005224C3" w:rsidRDefault="00961E8B" w:rsidP="00A51A8F">
      <w:pPr>
        <w:rPr>
          <w:highlight w:val="yellow"/>
        </w:rPr>
      </w:pPr>
      <w:r w:rsidRPr="005224C3">
        <w:t xml:space="preserve">Para mensurar a </w:t>
      </w:r>
      <w:proofErr w:type="spellStart"/>
      <w:r w:rsidRPr="005224C3">
        <w:t>Pe</w:t>
      </w:r>
      <w:proofErr w:type="spellEnd"/>
      <w:r w:rsidRPr="005224C3">
        <w:t xml:space="preserve"> </w:t>
      </w:r>
      <w:proofErr w:type="spellStart"/>
      <w:r w:rsidRPr="005224C3">
        <w:t>máx</w:t>
      </w:r>
      <w:proofErr w:type="spellEnd"/>
      <w:r w:rsidR="00B90983" w:rsidRPr="005224C3">
        <w:t>, o</w:t>
      </w:r>
      <w:r w:rsidRPr="005224C3">
        <w:t>s</w:t>
      </w:r>
      <w:r w:rsidRPr="005224C3">
        <w:rPr>
          <w:b/>
          <w:bCs/>
        </w:rPr>
        <w:t xml:space="preserve"> </w:t>
      </w:r>
      <w:r w:rsidRPr="005224C3">
        <w:t xml:space="preserve">participantes permaneceram sentados, </w:t>
      </w:r>
      <w:bookmarkStart w:id="2" w:name="_Hlk176099772"/>
      <w:r w:rsidRPr="005224C3">
        <w:t>foi acoplado uma peça a boca e um clipe nasal de maneira que os participantes foram orientados</w:t>
      </w:r>
      <w:bookmarkEnd w:id="2"/>
      <w:r w:rsidRPr="005224C3">
        <w:t xml:space="preserve"> a inspirar até a capacidade de insuflação máxima (CPT) depois, realizar uma expiração</w:t>
      </w:r>
      <w:r w:rsidRPr="005224C3">
        <w:rPr>
          <w:b/>
          <w:bCs/>
        </w:rPr>
        <w:t xml:space="preserve"> </w:t>
      </w:r>
      <w:r w:rsidRPr="005224C3">
        <w:t xml:space="preserve">máxima (manobra de </w:t>
      </w:r>
      <w:proofErr w:type="spellStart"/>
      <w:r w:rsidRPr="005224C3">
        <w:t>Valsalva</w:t>
      </w:r>
      <w:proofErr w:type="spellEnd"/>
      <w:r w:rsidRPr="005224C3">
        <w:t>) e mantê-la por no mínimo 1 a 2 segundos. Foram colhidas de 3 a 8 medidas sendo que, optou-se pela maior medida aferida, desde que não ultrapassasse o valor máximo de variação de 10%. Os valores de</w:t>
      </w:r>
      <w:r w:rsidRPr="005224C3">
        <w:rPr>
          <w:b/>
          <w:bCs/>
        </w:rPr>
        <w:t xml:space="preserve"> </w:t>
      </w:r>
      <w:r w:rsidRPr="005224C3">
        <w:t>referência usados foram os obtidos em uma população brasileira</w:t>
      </w:r>
      <w:r w:rsidR="00627FBE" w:rsidRPr="005224C3">
        <w:fldChar w:fldCharType="begin"/>
      </w:r>
      <w:r w:rsidR="006C66EC">
        <w:instrText xml:space="preserve"> ADDIN ZOTERO_ITEM CSL_CITATION {"citationID":"fZDpFIAl","properties":{"formattedCitation":"[19]","plainCitation":"[19]","noteIndex":0},"citationItems":[{"id":6886,"uris":["http://zotero.org/users/10339151/items/J49B2KQ2"],"itemData":{"id":6886,"type":"article-journal","container-title":"Brazilian Journal of Medical and Biological Research","DOI":"10.1590/S0100-879X1999000600007","ISSN":"0100-879X","issue":"6","journalAbbreviation":"Braz J Med Biol Res","page":"719-727","source":"DOI.org (Crossref)","title":"Reference values for lung function tests: II. Maximal respiratory pressures and voluntary ventilation","title-short":"Reference values for lung function tests","volume":"32","author":[{"family":"Neder","given":"J.A."},{"family":"Andreoni","given":"S."},{"family":"Lerario","given":"M.C."},{"family":"Nery","given":"L.E."}],"issued":{"date-parts":[["1999",6]]}}}],"schema":"https://github.com/citation-style-language/schema/raw/master/csl-citation.json"} </w:instrText>
      </w:r>
      <w:r w:rsidR="00627FBE" w:rsidRPr="005224C3">
        <w:fldChar w:fldCharType="separate"/>
      </w:r>
      <w:r w:rsidR="006C66EC" w:rsidRPr="006C66EC">
        <w:t>[19]</w:t>
      </w:r>
      <w:r w:rsidR="00627FBE" w:rsidRPr="005224C3">
        <w:fldChar w:fldCharType="end"/>
      </w:r>
      <w:r w:rsidRPr="005224C3">
        <w:t>.</w:t>
      </w:r>
    </w:p>
    <w:p w14:paraId="2A1C4349" w14:textId="2FD82383" w:rsidR="00961E8B" w:rsidRPr="005224C3" w:rsidRDefault="00B90983" w:rsidP="00A51A8F">
      <w:r w:rsidRPr="005224C3">
        <w:t xml:space="preserve">O </w:t>
      </w:r>
      <w:r w:rsidR="00961E8B" w:rsidRPr="005224C3">
        <w:t>SNIFF ou SNIP Teste: SNIP (</w:t>
      </w:r>
      <w:proofErr w:type="spellStart"/>
      <w:r w:rsidR="00961E8B" w:rsidRPr="005224C3">
        <w:t>sniff</w:t>
      </w:r>
      <w:proofErr w:type="spellEnd"/>
      <w:r w:rsidR="00961E8B" w:rsidRPr="005224C3">
        <w:t xml:space="preserve"> nasal </w:t>
      </w:r>
      <w:proofErr w:type="spellStart"/>
      <w:r w:rsidR="00961E8B" w:rsidRPr="005224C3">
        <w:t>inspiratory</w:t>
      </w:r>
      <w:proofErr w:type="spellEnd"/>
      <w:r w:rsidR="00961E8B" w:rsidRPr="005224C3">
        <w:t xml:space="preserve"> </w:t>
      </w:r>
      <w:proofErr w:type="spellStart"/>
      <w:r w:rsidR="00961E8B" w:rsidRPr="005224C3">
        <w:t>pressure</w:t>
      </w:r>
      <w:proofErr w:type="spellEnd"/>
      <w:r w:rsidR="00961E8B" w:rsidRPr="005224C3">
        <w:t>), corresponde a pressão inspiratória medida na narina durante uma manobra inspiratória rápida e profunda, tal como o fungar (</w:t>
      </w:r>
      <w:proofErr w:type="spellStart"/>
      <w:r w:rsidR="00961E8B" w:rsidRPr="005224C3">
        <w:t>sniff</w:t>
      </w:r>
      <w:proofErr w:type="spellEnd"/>
      <w:r w:rsidR="00961E8B" w:rsidRPr="005224C3">
        <w:t xml:space="preserve"> do inglês)</w:t>
      </w:r>
      <w:r w:rsidRPr="005224C3">
        <w:t xml:space="preserve"> também foi avaliado</w:t>
      </w:r>
      <w:r w:rsidR="00961E8B" w:rsidRPr="005224C3">
        <w:t xml:space="preserve">. A medida consiste em um teste simples, não invasivo, capaz de avaliar a força do diafragma e demais músculos inspiratórios. O SNIP reflete a pressão esofágica de forma acurada e apresenta a vantagem de ser não invasivo, tal qual a </w:t>
      </w:r>
      <w:proofErr w:type="spellStart"/>
      <w:r w:rsidR="00961E8B" w:rsidRPr="005224C3">
        <w:t>PImáx</w:t>
      </w:r>
      <w:proofErr w:type="spellEnd"/>
      <w:r w:rsidR="00961E8B" w:rsidRPr="005224C3">
        <w:t xml:space="preserve">, corresponde a um método </w:t>
      </w:r>
      <w:r w:rsidR="00961E8B" w:rsidRPr="005224C3">
        <w:lastRenderedPageBreak/>
        <w:t>alternativo de mensuração de força muscular ventilatória</w:t>
      </w:r>
      <w:r w:rsidR="00C17B0A" w:rsidRPr="005224C3">
        <w:fldChar w:fldCharType="begin"/>
      </w:r>
      <w:r w:rsidR="006C66EC">
        <w:instrText xml:space="preserve"> ADDIN ZOTERO_ITEM CSL_CITATION {"citationID":"3rhPTKOU","properties":{"formattedCitation":"[22,23]","plainCitation":"[22,23]","noteIndex":0},"citationItems":[{"id":6896,"uris":["http://zotero.org/users/10339151/items/AE4G5DQT"],"itemData":{"id":6896,"type":"article-journal","container-title":"American Journal of Respiratory and Critical Care Medicine","DOI":"10.1164/ajrccm.150.6.7952632","ISSN":"1073-449X, 1535-4970","issue":"6","journalAbbreviation":"Am J Respir Crit Care Med","language":"en","page":"1678-1683","source":"DOI.org (Crossref)","title":"Sniff nasal inspiratory pressure. A noninvasive assessment of inspiratory muscle strength.","volume":"150","author":[{"family":"Héritier","given":"F"},{"family":"Rahm","given":"F"},{"family":"Pasche","given":"P"},{"family":"Fitting","given":"J W"}],"issued":{"date-parts":[["1994",12]]}}},{"id":6897,"uris":["http://zotero.org/users/10339151/items/HIW4Y3E3"],"itemData":{"id":6897,"type":"article-journal","container-title":"American Review of Respiratory Disease","DOI":"10.1164/ajrccm/139.5.1213","ISSN":"0003-0805","issue":"5","journalAbbreviation":"Am Rev Respir Dis","language":"en","page":"1213-1217","source":"DOI.org (Crossref)","title":"Maximal Relaxation Rates of Esophageal, Nose, and Mouth Pressures during a Sniff Reflect Inspiratory Muscle Fatigue","volume":"139","author":[{"family":"Koulouris","given":"Nickolaos"},{"family":"Vianna","given":"Lucy G."},{"family":"Mulvey","given":"David A."},{"family":"Green","given":"Malcolm"},{"family":"Moxham","given":"John"}],"issued":{"date-parts":[["1989",5]]}},"label":"page"}],"schema":"https://github.com/citation-style-language/schema/raw/master/csl-citation.json"} </w:instrText>
      </w:r>
      <w:r w:rsidR="00C17B0A" w:rsidRPr="005224C3">
        <w:fldChar w:fldCharType="separate"/>
      </w:r>
      <w:r w:rsidR="006C66EC" w:rsidRPr="006C66EC">
        <w:t>[22,23]</w:t>
      </w:r>
      <w:r w:rsidR="00C17B0A" w:rsidRPr="005224C3">
        <w:fldChar w:fldCharType="end"/>
      </w:r>
      <w:r w:rsidR="00961E8B" w:rsidRPr="005224C3">
        <w:t xml:space="preserve">. O aparelho utilizado foi </w:t>
      </w:r>
      <w:r w:rsidR="00961E8B" w:rsidRPr="005224C3">
        <w:rPr>
          <w:i/>
          <w:iCs/>
        </w:rPr>
        <w:t>Micro RPM</w:t>
      </w:r>
      <w:r w:rsidR="00961E8B" w:rsidRPr="005224C3">
        <w:t xml:space="preserve"> fabricado pela </w:t>
      </w:r>
      <w:proofErr w:type="spellStart"/>
      <w:r w:rsidR="00961E8B" w:rsidRPr="005224C3">
        <w:t>Care</w:t>
      </w:r>
      <w:proofErr w:type="spellEnd"/>
      <w:r w:rsidR="00961E8B" w:rsidRPr="005224C3">
        <w:t xml:space="preserve"> Fusion USA: </w:t>
      </w:r>
      <w:proofErr w:type="spellStart"/>
      <w:r w:rsidR="00961E8B" w:rsidRPr="005224C3">
        <w:t>Respiratory</w:t>
      </w:r>
      <w:proofErr w:type="spellEnd"/>
      <w:r w:rsidR="00961E8B" w:rsidRPr="005224C3">
        <w:t xml:space="preserve"> 22745 Savi Ranch </w:t>
      </w:r>
      <w:proofErr w:type="spellStart"/>
      <w:r w:rsidR="00961E8B" w:rsidRPr="005224C3">
        <w:t>Parkway</w:t>
      </w:r>
      <w:proofErr w:type="spellEnd"/>
      <w:r w:rsidR="00961E8B" w:rsidRPr="005224C3">
        <w:t xml:space="preserve"> </w:t>
      </w:r>
      <w:proofErr w:type="spellStart"/>
      <w:r w:rsidR="00961E8B" w:rsidRPr="005224C3">
        <w:t>Yorba</w:t>
      </w:r>
      <w:proofErr w:type="spellEnd"/>
      <w:r w:rsidR="00961E8B" w:rsidRPr="005224C3">
        <w:t xml:space="preserve"> Linda, CA 92887-4668. O SNIP teste vem sendo referido em diversos estudos destacando-se como um dos melhores marcadores de disfunção diafragmática</w:t>
      </w:r>
      <w:r w:rsidR="00C17B0A" w:rsidRPr="005224C3">
        <w:fldChar w:fldCharType="begin"/>
      </w:r>
      <w:r w:rsidR="006C66EC">
        <w:instrText xml:space="preserve"> ADDIN ZOTERO_ITEM CSL_CITATION {"citationID":"d93fq6H1","properties":{"formattedCitation":"[12]","plainCitation":"[12]","noteIndex":0},"citationItems":[{"id":6875,"uris":["http://zotero.org/users/10339151/items/GI8JXN9A"],"itemData":{"id":6875,"type":"article-journal","abstract":"BACKGROUND: Inspiratory muscle weakness is a recognised cause of unexplained dyspnoea. It may be suggested by the finding of a low static inspiratory mouth pressure (MIP), but MIP is a difficult test to perform, with a wide normal range; a low MIP may also occur if the patient has not properly performed the manoeuvre. Further investigation conventionally requires balloon catheters to obtain oesophageal (Poes) and transdiaphragmatic pressure (Pdi) during sniffs or phrenic nerve stimulation. Two non-invasive tests of inspiratory muscle strength have recently been described--nasal pressure during a maximal sniff (Sn Pnas) and mouth pressure during magnetic stimulation of the phrenic nerves (Tw Pmo). The use of these two tests in combination might identify patients without inspiratory muscle weakness who are unable to produce a satisfactory MIP&lt; therefore avoiding the need for investigation with balloon catheters. METHODS: Thirty consecutive patients with clinically suspected inspiratory muscle weakness and a low MIP underwent both conventional (Sn Poes and Tw Pdi) and non-invasive testing (Sn Pnas and Tw Pmo). Weakness was considered to be excluded by a Sn Poes of &gt; or = 80 cm H20 or a Tw Pdi of &gt; or = 20 cm H20. The limit values used to test the hypothesis were Sn Pnas &gt; or = 70 cm H20 or Tw Pmo &gt; or = 12 cm H20. RESULTS: Inspiratory muscle weakness was excluded in 17 of the 30 patients. Fifteen of these would have been identified using Sn Pnas and Tw Pmo, with better results when the two tests were combined. The cut off values selected for Sn Pnas and Tw Pmo were shown by ROC plots to indicate normal strength conservatively, avoiding failure to detect mild degrees of weakness. No patient with global weakness was considered normal by Sn Pnas or Tw Pmo. CONCLUSIONS: In most patients with normal inspiratory strength and a low MIP, Tw Pmo and Sn Pnas used in combination can reliably exclude global inspiratory muscle weakness, reducing the number of patients who need testing with balloon catheters.","container-title":"Thorax","DOI":"10.1136/thx.53.2.96","ISSN":"0040-6376, 1468-3296","issue":"2","journalAbbreviation":"Thorax","language":"en","page":"96-100","source":"DOI.org (Crossref)","title":"Measurement of sniff nasal and diaphragm twitch mouth pressure in patients.","volume":"53","author":[{"family":"Hughes","given":"P D"},{"family":"Polkey","given":"M I"},{"family":"Kyroussis","given":"D"},{"family":"Hamnegard","given":"C H"},{"family":"Moxham","given":"J"},{"family":"Green","given":"M"}],"issued":{"date-parts":[["1998",2]]}}}],"schema":"https://github.com/citation-style-language/schema/raw/master/csl-citation.json"} </w:instrText>
      </w:r>
      <w:r w:rsidR="00C17B0A" w:rsidRPr="005224C3">
        <w:fldChar w:fldCharType="separate"/>
      </w:r>
      <w:r w:rsidR="006C66EC" w:rsidRPr="006C66EC">
        <w:t>[12]</w:t>
      </w:r>
      <w:r w:rsidR="00C17B0A" w:rsidRPr="005224C3">
        <w:fldChar w:fldCharType="end"/>
      </w:r>
      <w:r w:rsidR="00C17B0A" w:rsidRPr="005224C3">
        <w:t xml:space="preserve">. </w:t>
      </w:r>
      <w:r w:rsidR="00961E8B" w:rsidRPr="005224C3">
        <w:t xml:space="preserve">Nos pacientes com ataxia severa os valores apresentados variaram abruptamente, diferentemente dos controles saudáveis, estes não apresentaram variações significativas, denotando incoordenação respiratória dos pacientes. </w:t>
      </w:r>
    </w:p>
    <w:p w14:paraId="541A27D1" w14:textId="19801E7E" w:rsidR="008728F4" w:rsidRPr="005224C3" w:rsidRDefault="005224C3" w:rsidP="008728F4">
      <w:pPr>
        <w:pStyle w:val="Ttulo1"/>
        <w:rPr>
          <w:rFonts w:ascii="Arial" w:hAnsi="Arial"/>
        </w:rPr>
      </w:pPr>
      <w:proofErr w:type="spellStart"/>
      <w:r>
        <w:rPr>
          <w:rFonts w:ascii="Arial" w:hAnsi="Arial"/>
        </w:rPr>
        <w:t>Viéses</w:t>
      </w:r>
      <w:proofErr w:type="spellEnd"/>
    </w:p>
    <w:p w14:paraId="649D85CB" w14:textId="1D9EFFDE" w:rsidR="00360524" w:rsidRPr="005224C3" w:rsidRDefault="00360524" w:rsidP="00A51A8F">
      <w:pPr>
        <w:rPr>
          <w:lang w:eastAsia="pt-BR"/>
        </w:rPr>
      </w:pPr>
      <w:r w:rsidRPr="005224C3">
        <w:rPr>
          <w:lang w:eastAsia="pt-BR"/>
        </w:rPr>
        <w:t xml:space="preserve">Os pacientes foram convocados para realização dos testes e o ambiente contava com três pessoas, uma enfermeira </w:t>
      </w:r>
      <w:r w:rsidR="00A76167" w:rsidRPr="005224C3">
        <w:rPr>
          <w:lang w:eastAsia="pt-BR"/>
        </w:rPr>
        <w:t>contactava por via telefônica</w:t>
      </w:r>
      <w:r w:rsidRPr="005224C3">
        <w:rPr>
          <w:lang w:eastAsia="pt-BR"/>
        </w:rPr>
        <w:t xml:space="preserve"> para os pacientes para confirmar o agendamento, </w:t>
      </w:r>
      <w:r w:rsidR="00A76167" w:rsidRPr="005224C3">
        <w:rPr>
          <w:lang w:eastAsia="pt-BR"/>
        </w:rPr>
        <w:t xml:space="preserve">e </w:t>
      </w:r>
      <w:r w:rsidRPr="005224C3">
        <w:rPr>
          <w:lang w:eastAsia="pt-BR"/>
        </w:rPr>
        <w:t>uma vez confirmados, os pacientes eram recebidos na clínica por uma fisioterapeuta e uma neurologista. Aos pacientes era solicitado um acompanhante para facilitar a locomoção</w:t>
      </w:r>
      <w:r w:rsidR="00A76167" w:rsidRPr="005224C3">
        <w:rPr>
          <w:lang w:eastAsia="pt-BR"/>
        </w:rPr>
        <w:t xml:space="preserve"> </w:t>
      </w:r>
      <w:r w:rsidRPr="005224C3">
        <w:rPr>
          <w:lang w:eastAsia="pt-BR"/>
        </w:rPr>
        <w:t>dentro da clínica</w:t>
      </w:r>
      <w:r w:rsidR="00A76167" w:rsidRPr="005224C3">
        <w:rPr>
          <w:lang w:eastAsia="pt-BR"/>
        </w:rPr>
        <w:t>, em que se disponibilizou</w:t>
      </w:r>
      <w:r w:rsidRPr="005224C3">
        <w:rPr>
          <w:lang w:eastAsia="pt-BR"/>
        </w:rPr>
        <w:t xml:space="preserve"> uma cadeira de rodas </w:t>
      </w:r>
      <w:r w:rsidR="00A76167" w:rsidRPr="005224C3">
        <w:rPr>
          <w:lang w:eastAsia="pt-BR"/>
        </w:rPr>
        <w:t xml:space="preserve">com o objetivo de facilitar </w:t>
      </w:r>
      <w:r w:rsidRPr="005224C3">
        <w:rPr>
          <w:lang w:eastAsia="pt-BR"/>
        </w:rPr>
        <w:t xml:space="preserve">a locomoção dos pacientes. </w:t>
      </w:r>
    </w:p>
    <w:p w14:paraId="4749B33E" w14:textId="55CB5875" w:rsidR="00360524" w:rsidRPr="005224C3" w:rsidRDefault="00A76167" w:rsidP="00A51A8F">
      <w:pPr>
        <w:rPr>
          <w:lang w:eastAsia="pt-BR"/>
        </w:rPr>
      </w:pPr>
      <w:r w:rsidRPr="005224C3">
        <w:rPr>
          <w:lang w:eastAsia="pt-BR"/>
        </w:rPr>
        <w:t xml:space="preserve">Os pacientes foram orientados previamente sobre todos os testes a serem executados sobretudo, em relação a avaliação de condutibilidade frênica, foi informado que o paciente sentiria um choque e se não quisesse passar por isso, não seria obrigatório de forma alguma. Um paciente recusou e não foi realizada avaliação de condução frênica. </w:t>
      </w:r>
      <w:r w:rsidR="00360524" w:rsidRPr="005224C3">
        <w:rPr>
          <w:lang w:eastAsia="pt-BR"/>
        </w:rPr>
        <w:t xml:space="preserve">Inicialmente eram colhidos os sinais vitais: pressão arterial, saturação de oxigênio, frequência cardíaca e respiratória além de frequência respiratória e capnografia com cateter nasal (ETCO2). Fora disponibilizado um cateter por paciente, </w:t>
      </w:r>
      <w:r w:rsidRPr="005224C3">
        <w:rPr>
          <w:lang w:eastAsia="pt-BR"/>
        </w:rPr>
        <w:t xml:space="preserve">que foi </w:t>
      </w:r>
      <w:r w:rsidR="00360524" w:rsidRPr="005224C3">
        <w:rPr>
          <w:lang w:eastAsia="pt-BR"/>
        </w:rPr>
        <w:t xml:space="preserve">identificado para possíveis reutilizações. </w:t>
      </w:r>
    </w:p>
    <w:p w14:paraId="0F89A6FE" w14:textId="77777777" w:rsidR="00AD7E89" w:rsidRPr="005224C3" w:rsidRDefault="00AD7E89" w:rsidP="00A51A8F"/>
    <w:p w14:paraId="2C317BE5" w14:textId="3C222777" w:rsidR="005108D5" w:rsidRPr="005224C3" w:rsidRDefault="005224C3" w:rsidP="005108D5">
      <w:pPr>
        <w:pStyle w:val="Ttulo1"/>
        <w:rPr>
          <w:rFonts w:ascii="Arial" w:hAnsi="Arial"/>
        </w:rPr>
      </w:pPr>
      <w:r>
        <w:rPr>
          <w:rFonts w:ascii="Arial" w:hAnsi="Arial"/>
        </w:rPr>
        <w:t>Tamanho do estudo</w:t>
      </w:r>
    </w:p>
    <w:p w14:paraId="07A3E1BA" w14:textId="58BC3366" w:rsidR="00E04CFC" w:rsidRPr="005224C3" w:rsidRDefault="00123B0C" w:rsidP="00A51A8F">
      <w:r w:rsidRPr="005224C3">
        <w:rPr>
          <w:lang w:eastAsia="pt-BR"/>
        </w:rPr>
        <w:t xml:space="preserve">   </w:t>
      </w:r>
      <w:r w:rsidRPr="005224C3">
        <w:rPr>
          <w:lang w:eastAsia="pt-BR"/>
        </w:rPr>
        <w:tab/>
        <w:t xml:space="preserve">As ataxias </w:t>
      </w:r>
      <w:proofErr w:type="spellStart"/>
      <w:r w:rsidRPr="005224C3">
        <w:rPr>
          <w:lang w:eastAsia="pt-BR"/>
        </w:rPr>
        <w:t>espinocerebelares</w:t>
      </w:r>
      <w:proofErr w:type="spellEnd"/>
      <w:r w:rsidRPr="005224C3">
        <w:rPr>
          <w:lang w:eastAsia="pt-BR"/>
        </w:rPr>
        <w:t xml:space="preserve"> (SCA)</w:t>
      </w:r>
      <w:r w:rsidR="002268C7">
        <w:rPr>
          <w:lang w:eastAsia="pt-BR"/>
        </w:rPr>
        <w:t xml:space="preserve"> </w:t>
      </w:r>
      <w:r w:rsidRPr="005224C3">
        <w:rPr>
          <w:lang w:eastAsia="pt-BR"/>
        </w:rPr>
        <w:t xml:space="preserve">são doenças raras. Tendo em vista a ausência de estudos de função respiratória em indivíduos com ataxias </w:t>
      </w:r>
      <w:proofErr w:type="spellStart"/>
      <w:r w:rsidRPr="005224C3">
        <w:rPr>
          <w:lang w:eastAsia="pt-BR"/>
        </w:rPr>
        <w:t>espinocerebelares</w:t>
      </w:r>
      <w:proofErr w:type="spellEnd"/>
      <w:r w:rsidRPr="005224C3">
        <w:rPr>
          <w:lang w:eastAsia="pt-BR"/>
        </w:rPr>
        <w:t xml:space="preserve"> de outros tipos, o estudo de Mello</w:t>
      </w:r>
      <w:r w:rsidRPr="005224C3">
        <w:rPr>
          <w:lang w:eastAsia="pt-BR"/>
        </w:rPr>
        <w:fldChar w:fldCharType="begin"/>
      </w:r>
      <w:r w:rsidR="006C66EC">
        <w:rPr>
          <w:lang w:eastAsia="pt-BR"/>
        </w:rPr>
        <w:instrText xml:space="preserve"> ADDIN ZOTERO_ITEM CSL_CITATION {"citationID":"ejcAvaLw","properties":{"formattedCitation":"[24]","plainCitation":"[24]","noteIndex":0},"citationItems":[{"id":6903,"uris":["http://zotero.org/users/10339151/items/F4GBVET6"],"itemData":{"id":6903,"type":"article-journal","container-title":"Arquivos de Neuro-Psiquiatria","issue":"2","note":"publisher: SciELO Brasil","page":"96–102","source":"Google Scholar","title":"Assessment of ventilatory function in patients with spinocerebellar ataxia type 2","volume":"78","author":[{"family":"Mello","given":"Neliana Maria","dropping-particle":"de"},{"family":"Zonta","given":"Marise Bueno"},{"family":"Teive","given":"Hélio Afonso Ghizoni"},{"family":"Meira","given":"Alex Tiburtino"},{"family":"LOPES","given":"Francisco Diego Negrão"},{"family":"Silva","given":"Janaína Turcato da Silva Nonato","dropping-particle":"da"},{"family":"Camargo","given":"Carlos Henrique Ferreira"},{"family":"Zeigelboim","given":"Bianca Simone"}],"issued":{"date-parts":[["2020"]]}}}],"schema":"https://github.com/citation-style-language/schema/raw/master/csl-citation.json"} </w:instrText>
      </w:r>
      <w:r w:rsidRPr="005224C3">
        <w:rPr>
          <w:lang w:eastAsia="pt-BR"/>
        </w:rPr>
        <w:fldChar w:fldCharType="separate"/>
      </w:r>
      <w:r w:rsidR="006C66EC" w:rsidRPr="006C66EC">
        <w:t>[24]</w:t>
      </w:r>
      <w:r w:rsidRPr="005224C3">
        <w:rPr>
          <w:lang w:eastAsia="pt-BR"/>
        </w:rPr>
        <w:fldChar w:fldCharType="end"/>
      </w:r>
      <w:r w:rsidRPr="005224C3">
        <w:rPr>
          <w:lang w:eastAsia="pt-BR"/>
        </w:rPr>
        <w:t xml:space="preserve">, foi utilizado como parâmetro para cálculo do tamanho da amostra do presente estudo. Para estimar o tamanho da amostra, utilizou-se a correlação de 0,45 encontrada por </w:t>
      </w:r>
      <w:r w:rsidR="002268C7" w:rsidRPr="005224C3">
        <w:rPr>
          <w:lang w:eastAsia="pt-BR"/>
        </w:rPr>
        <w:t>Mello</w:t>
      </w:r>
      <w:r w:rsidRPr="005224C3">
        <w:rPr>
          <w:lang w:eastAsia="pt-BR"/>
        </w:rPr>
        <w:t xml:space="preserve"> </w:t>
      </w:r>
      <w:r w:rsidRPr="005224C3">
        <w:rPr>
          <w:lang w:eastAsia="pt-BR"/>
        </w:rPr>
        <w:fldChar w:fldCharType="begin"/>
      </w:r>
      <w:r w:rsidR="006C66EC">
        <w:rPr>
          <w:lang w:eastAsia="pt-BR"/>
        </w:rPr>
        <w:instrText xml:space="preserve"> ADDIN ZOTERO_ITEM CSL_CITATION {"citationID":"uttpyLcg","properties":{"formattedCitation":"[24]","plainCitation":"[24]","noteIndex":0},"citationItems":[{"id":6903,"uris":["http://zotero.org/users/10339151/items/F4GBVET6"],"itemData":{"id":6903,"type":"article-journal","container-title":"Arquivos de Neuro-Psiquiatria","issue":"2","note":"publisher: SciELO Brasil","page":"96–102","source":"Google Scholar","title":"Assessment of ventilatory function in patients with spinocerebellar ataxia type 2","volume":"78","author":[{"family":"Mello","given":"Neliana Maria","dropping-particle":"de"},{"family":"Zonta","given":"Marise Bueno"},{"family":"Teive","given":"Hélio Afonso Ghizoni"},{"family":"Meira","given":"Alex Tiburtino"},{"family":"LOPES","given":"Francisco Diego Negrão"},{"family":"Silva","given":"Janaína Turcato da Silva Nonato","dropping-particle":"da"},{"family":"Camargo","given":"Carlos Henrique Ferreira"},{"family":"Zeigelboim","given":"Bianca Simone"}],"issued":{"date-parts":[["2020"]]}}}],"schema":"https://github.com/citation-style-language/schema/raw/master/csl-citation.json"} </w:instrText>
      </w:r>
      <w:r w:rsidRPr="005224C3">
        <w:rPr>
          <w:lang w:eastAsia="pt-BR"/>
        </w:rPr>
        <w:fldChar w:fldCharType="separate"/>
      </w:r>
      <w:r w:rsidR="006C66EC" w:rsidRPr="006C66EC">
        <w:t>[24]</w:t>
      </w:r>
      <w:r w:rsidRPr="005224C3">
        <w:rPr>
          <w:lang w:eastAsia="pt-BR"/>
        </w:rPr>
        <w:fldChar w:fldCharType="end"/>
      </w:r>
      <w:r w:rsidRPr="005224C3">
        <w:rPr>
          <w:lang w:eastAsia="pt-BR"/>
        </w:rPr>
        <w:t xml:space="preserve"> e avaliou a  correlação entre a escala sara e o pico de fluxo expiratório (</w:t>
      </w:r>
      <w:r w:rsidR="002268C7">
        <w:rPr>
          <w:lang w:eastAsia="pt-BR"/>
        </w:rPr>
        <w:t>PFE</w:t>
      </w:r>
      <w:r w:rsidRPr="005224C3">
        <w:rPr>
          <w:lang w:eastAsia="pt-BR"/>
        </w:rPr>
        <w:t xml:space="preserve">), ao analisar 36 pacientes com ataxia </w:t>
      </w:r>
      <w:proofErr w:type="spellStart"/>
      <w:r w:rsidRPr="005224C3">
        <w:rPr>
          <w:lang w:eastAsia="pt-BR"/>
        </w:rPr>
        <w:t>espinocerebelar</w:t>
      </w:r>
      <w:proofErr w:type="spellEnd"/>
      <w:r w:rsidRPr="005224C3">
        <w:rPr>
          <w:lang w:eastAsia="pt-BR"/>
        </w:rPr>
        <w:t xml:space="preserve"> tipo 2. Com essa correlação (0,45), poder de 80 e nível de significância de 5%, o tamanho estimado em cada grupo foi de 13 indivíduos. Além disso, foram adicionados ao tamanho da amostra 10% para eventuais perdas de coleta de dados, sendo, portanto, a amostra para cada grupo composta por 15 participantes.</w:t>
      </w:r>
    </w:p>
    <w:p w14:paraId="6D61F23B" w14:textId="77777777" w:rsidR="00E04CFC" w:rsidRPr="005224C3" w:rsidRDefault="00E04CFC" w:rsidP="00A76167">
      <w:pPr>
        <w:pStyle w:val="Ttulo1"/>
        <w:rPr>
          <w:rFonts w:ascii="Arial" w:hAnsi="Arial"/>
        </w:rPr>
      </w:pPr>
      <w:r w:rsidRPr="005224C3">
        <w:rPr>
          <w:rFonts w:ascii="Arial" w:hAnsi="Arial"/>
        </w:rPr>
        <w:t>Análise estatística</w:t>
      </w:r>
    </w:p>
    <w:p w14:paraId="2D86C47F" w14:textId="51029BAA" w:rsidR="00E04CFC" w:rsidRPr="005224C3" w:rsidRDefault="00E04CFC" w:rsidP="00A51A8F">
      <w:r w:rsidRPr="005224C3">
        <w:t>A análise estatística descritiva foi realizada por frequências absolutas e relativas para variáveis quantitativas, e por médias(desvios-padrão) ou medianas e intervalos interquartis de acordo com a aderência dos dados a normalidade.</w:t>
      </w:r>
      <w:r w:rsidR="00AC2EF2" w:rsidRPr="005224C3">
        <w:t xml:space="preserve"> Adicionalmente, também foi estimada a diferença média ou mediana, e respectivos intervalos de confiança de 95%, e </w:t>
      </w:r>
      <w:r w:rsidR="00450037" w:rsidRPr="005224C3">
        <w:t>t</w:t>
      </w:r>
      <w:r w:rsidRPr="005224C3">
        <w:t xml:space="preserve">este de Fisher para comparação das variáveis qualitativas e de Mann-Whitney para as variáveis quantitativas, mediante constatação de não-normalidade dos dados avaliado pelo teste de Shapiro-Wilk. Para avaliar a correlação entre tempo de doença e os desfechos estudados, utilizou-se teste de Correlação de </w:t>
      </w:r>
      <w:proofErr w:type="spellStart"/>
      <w:r w:rsidRPr="005224C3">
        <w:t>Spearman</w:t>
      </w:r>
      <w:proofErr w:type="spellEnd"/>
      <w:r w:rsidRPr="005224C3">
        <w:t>. O nível de significância foi de 5%. O programa utilizado foi o STATA (</w:t>
      </w:r>
      <w:proofErr w:type="spellStart"/>
      <w:r w:rsidRPr="005224C3">
        <w:t>StataCorp</w:t>
      </w:r>
      <w:proofErr w:type="spellEnd"/>
      <w:r w:rsidRPr="005224C3">
        <w:t>, LC, versão 18.0).</w:t>
      </w:r>
    </w:p>
    <w:p w14:paraId="3058435C" w14:textId="77777777" w:rsidR="005108D5" w:rsidRPr="005224C3" w:rsidRDefault="005108D5" w:rsidP="00A51A8F"/>
    <w:p w14:paraId="207F2431" w14:textId="77E79C34" w:rsidR="00D64696" w:rsidRPr="005224C3" w:rsidRDefault="006466C0" w:rsidP="00A76167">
      <w:pPr>
        <w:pStyle w:val="Ttulo1"/>
        <w:numPr>
          <w:ilvl w:val="0"/>
          <w:numId w:val="10"/>
        </w:numPr>
        <w:rPr>
          <w:rFonts w:ascii="Arial" w:hAnsi="Arial"/>
        </w:rPr>
      </w:pPr>
      <w:r w:rsidRPr="005224C3">
        <w:rPr>
          <w:rFonts w:ascii="Arial" w:hAnsi="Arial"/>
        </w:rPr>
        <w:t>RESULTADOS</w:t>
      </w:r>
    </w:p>
    <w:p w14:paraId="3F083597" w14:textId="79B35567" w:rsidR="005108D5" w:rsidRPr="005224C3" w:rsidRDefault="005108D5" w:rsidP="00A76167">
      <w:pPr>
        <w:pStyle w:val="Ttulo1"/>
        <w:rPr>
          <w:rFonts w:ascii="Arial" w:hAnsi="Arial"/>
          <w:bdr w:val="none" w:sz="0" w:space="0" w:color="auto"/>
          <w:shd w:val="clear" w:color="auto" w:fill="FFFFFF"/>
        </w:rPr>
      </w:pPr>
      <w:r w:rsidRPr="005224C3">
        <w:rPr>
          <w:rFonts w:ascii="Arial" w:hAnsi="Arial"/>
          <w:bdr w:val="none" w:sz="0" w:space="0" w:color="auto"/>
          <w:shd w:val="clear" w:color="auto" w:fill="FFFFFF"/>
        </w:rPr>
        <w:t>Participant</w:t>
      </w:r>
      <w:r w:rsidR="005224C3">
        <w:rPr>
          <w:rFonts w:ascii="Arial" w:hAnsi="Arial"/>
          <w:bdr w:val="none" w:sz="0" w:space="0" w:color="auto"/>
          <w:shd w:val="clear" w:color="auto" w:fill="FFFFFF"/>
        </w:rPr>
        <w:t>e</w:t>
      </w:r>
      <w:r w:rsidRPr="005224C3">
        <w:rPr>
          <w:rFonts w:ascii="Arial" w:hAnsi="Arial"/>
          <w:bdr w:val="none" w:sz="0" w:space="0" w:color="auto"/>
          <w:shd w:val="clear" w:color="auto" w:fill="FFFFFF"/>
        </w:rPr>
        <w:t>s</w:t>
      </w:r>
    </w:p>
    <w:p w14:paraId="01933ECF" w14:textId="0BB93820" w:rsidR="00890A47" w:rsidRPr="005224C3" w:rsidRDefault="00890A47" w:rsidP="00A51A8F">
      <w:r w:rsidRPr="005224C3">
        <w:t>Foram estudados 31 indivíduos, 40,6% [n=13] com diagnóstico de SCA2 e 59,38 % saudáveis (n=19</w:t>
      </w:r>
      <w:r w:rsidR="00BC399C" w:rsidRPr="005224C3">
        <w:t>).</w:t>
      </w:r>
    </w:p>
    <w:p w14:paraId="5C2F1197" w14:textId="721A5B59" w:rsidR="00AD7E89" w:rsidRPr="005224C3" w:rsidRDefault="00AD7E89" w:rsidP="00A51A8F">
      <w:r w:rsidRPr="005224C3">
        <w:t xml:space="preserve">Foram </w:t>
      </w:r>
      <w:r w:rsidR="009B2A20" w:rsidRPr="005224C3">
        <w:t>recrutados</w:t>
      </w:r>
      <w:r w:rsidRPr="005224C3">
        <w:t xml:space="preserve"> 15 pacientes com SCA 2, dentre os quais, apenas 13 restaram. Uma das pacientes estudadas, apresentava disfagia grave e precisou submeter-se a uma gastrostomia de urgência. Na ocasião dos testes encontrava-se bastante debilitada, não conseguiu realizar Pi e </w:t>
      </w:r>
      <w:proofErr w:type="spellStart"/>
      <w:r w:rsidRPr="005224C3">
        <w:t>Pe</w:t>
      </w:r>
      <w:proofErr w:type="spellEnd"/>
      <w:r w:rsidRPr="005224C3">
        <w:t xml:space="preserve"> máxima e nem tão pouco o </w:t>
      </w:r>
      <w:proofErr w:type="spellStart"/>
      <w:r w:rsidR="009B2A20" w:rsidRPr="005224C3">
        <w:t>sniff</w:t>
      </w:r>
      <w:proofErr w:type="spellEnd"/>
      <w:r w:rsidR="009B2A20" w:rsidRPr="005224C3">
        <w:t xml:space="preserve"> (</w:t>
      </w:r>
      <w:proofErr w:type="spellStart"/>
      <w:r w:rsidRPr="005224C3">
        <w:t>snip</w:t>
      </w:r>
      <w:proofErr w:type="spellEnd"/>
      <w:r w:rsidRPr="005224C3">
        <w:t xml:space="preserve"> teste). Fez apenas a espirometria sendo que, a fraqueza bulbar a impedia de realizar a espirometria adequadamente e a avaliadora precisou segurar o bucal porque o ar escapava em demasia pela lateral da boca da paciente. Suspeitou-se de déficit cognitivo, um dos critérios de exclusão desta pesquisa. No entanto, a paciente respondia aos comandos verbais com adequação e de fato, a fraqueza era preponderante.</w:t>
      </w:r>
    </w:p>
    <w:p w14:paraId="093ED6A2" w14:textId="77777777" w:rsidR="00C21CE6" w:rsidRPr="005224C3" w:rsidRDefault="00C21CE6" w:rsidP="00C21CE6">
      <w:pPr>
        <w:pStyle w:val="Ttulo2"/>
        <w:ind w:firstLine="0"/>
      </w:pPr>
      <w:r w:rsidRPr="005224C3">
        <w:t>Tabela 1. Comparação das características entre os grupos.</w:t>
      </w:r>
    </w:p>
    <w:tbl>
      <w:tblPr>
        <w:tblStyle w:val="formatada"/>
        <w:tblW w:w="5000" w:type="pct"/>
        <w:tblLook w:val="04A0" w:firstRow="1" w:lastRow="0" w:firstColumn="1" w:lastColumn="0" w:noHBand="0" w:noVBand="1"/>
      </w:tblPr>
      <w:tblGrid>
        <w:gridCol w:w="3125"/>
        <w:gridCol w:w="1913"/>
        <w:gridCol w:w="2303"/>
        <w:gridCol w:w="1163"/>
      </w:tblGrid>
      <w:tr w:rsidR="00C21CE6" w:rsidRPr="005224C3" w14:paraId="5AE8E50B" w14:textId="77777777" w:rsidTr="007A5549">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837" w:type="pct"/>
            <w:vMerge w:val="restart"/>
          </w:tcPr>
          <w:p w14:paraId="4ABCC30B" w14:textId="77777777" w:rsidR="00C21CE6" w:rsidRPr="005224C3" w:rsidRDefault="00C21CE6" w:rsidP="00001766">
            <w:pPr>
              <w:pStyle w:val="SemEspaamento"/>
            </w:pPr>
            <w:r w:rsidRPr="005224C3">
              <w:t>Variáveis</w:t>
            </w:r>
          </w:p>
        </w:tc>
        <w:tc>
          <w:tcPr>
            <w:tcW w:w="1125" w:type="pct"/>
          </w:tcPr>
          <w:p w14:paraId="46934DB2" w14:textId="77777777" w:rsidR="00C21CE6" w:rsidRPr="005224C3" w:rsidRDefault="00C21CE6" w:rsidP="00001766">
            <w:pPr>
              <w:pStyle w:val="SemEspaamento"/>
              <w:cnfStyle w:val="100000000000" w:firstRow="1" w:lastRow="0" w:firstColumn="0" w:lastColumn="0" w:oddVBand="0" w:evenVBand="0" w:oddHBand="0" w:evenHBand="0" w:firstRowFirstColumn="0" w:firstRowLastColumn="0" w:lastRowFirstColumn="0" w:lastRowLastColumn="0"/>
            </w:pPr>
            <w:r w:rsidRPr="005224C3">
              <w:t>Controle</w:t>
            </w:r>
          </w:p>
        </w:tc>
        <w:tc>
          <w:tcPr>
            <w:tcW w:w="1354" w:type="pct"/>
          </w:tcPr>
          <w:p w14:paraId="1C187132" w14:textId="77777777" w:rsidR="00C21CE6" w:rsidRPr="005224C3" w:rsidRDefault="00C21CE6" w:rsidP="00001766">
            <w:pPr>
              <w:pStyle w:val="SemEspaamento"/>
              <w:cnfStyle w:val="100000000000" w:firstRow="1" w:lastRow="0" w:firstColumn="0" w:lastColumn="0" w:oddVBand="0" w:evenVBand="0" w:oddHBand="0" w:evenHBand="0" w:firstRowFirstColumn="0" w:firstRowLastColumn="0" w:lastRowFirstColumn="0" w:lastRowLastColumn="0"/>
            </w:pPr>
            <w:r w:rsidRPr="005224C3">
              <w:t>SCA2</w:t>
            </w:r>
          </w:p>
        </w:tc>
        <w:tc>
          <w:tcPr>
            <w:tcW w:w="684" w:type="pct"/>
          </w:tcPr>
          <w:p w14:paraId="70BB423C" w14:textId="77777777" w:rsidR="00C21CE6" w:rsidRPr="005224C3" w:rsidRDefault="00C21CE6" w:rsidP="00001766">
            <w:pPr>
              <w:pStyle w:val="SemEspaamento"/>
              <w:cnfStyle w:val="100000000000" w:firstRow="1" w:lastRow="0" w:firstColumn="0" w:lastColumn="0" w:oddVBand="0" w:evenVBand="0" w:oddHBand="0" w:evenHBand="0" w:firstRowFirstColumn="0" w:firstRowLastColumn="0" w:lastRowFirstColumn="0" w:lastRowLastColumn="0"/>
            </w:pPr>
          </w:p>
        </w:tc>
      </w:tr>
      <w:tr w:rsidR="00C21CE6" w:rsidRPr="005224C3" w14:paraId="2D5B1C6A"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vMerge/>
            <w:tcBorders>
              <w:top w:val="single" w:sz="4" w:space="0" w:color="auto"/>
              <w:bottom w:val="single" w:sz="4" w:space="0" w:color="auto"/>
            </w:tcBorders>
          </w:tcPr>
          <w:p w14:paraId="33A7AA8B" w14:textId="77777777" w:rsidR="00C21CE6" w:rsidRPr="005224C3" w:rsidRDefault="00C21CE6" w:rsidP="00001766">
            <w:pPr>
              <w:pStyle w:val="SemEspaamento"/>
            </w:pPr>
          </w:p>
        </w:tc>
        <w:tc>
          <w:tcPr>
            <w:tcW w:w="1125" w:type="pct"/>
            <w:tcBorders>
              <w:top w:val="single" w:sz="4" w:space="0" w:color="auto"/>
              <w:bottom w:val="single" w:sz="4" w:space="0" w:color="auto"/>
            </w:tcBorders>
            <w:vAlign w:val="bottom"/>
          </w:tcPr>
          <w:p w14:paraId="42465E47"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19,0 (59,38%)</w:t>
            </w:r>
          </w:p>
        </w:tc>
        <w:tc>
          <w:tcPr>
            <w:tcW w:w="1354" w:type="pct"/>
            <w:tcBorders>
              <w:top w:val="single" w:sz="4" w:space="0" w:color="auto"/>
              <w:bottom w:val="single" w:sz="4" w:space="0" w:color="auto"/>
            </w:tcBorders>
            <w:vAlign w:val="bottom"/>
          </w:tcPr>
          <w:p w14:paraId="209BA415"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13,0 (40,62%)</w:t>
            </w:r>
          </w:p>
        </w:tc>
        <w:tc>
          <w:tcPr>
            <w:tcW w:w="684" w:type="pct"/>
            <w:tcBorders>
              <w:top w:val="single" w:sz="4" w:space="0" w:color="auto"/>
              <w:bottom w:val="single" w:sz="4" w:space="0" w:color="auto"/>
            </w:tcBorders>
          </w:tcPr>
          <w:p w14:paraId="0DF28EC0"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1391A53D"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Borders>
              <w:top w:val="nil"/>
              <w:bottom w:val="nil"/>
            </w:tcBorders>
          </w:tcPr>
          <w:p w14:paraId="1B5DDEFC" w14:textId="77777777" w:rsidR="00C21CE6" w:rsidRPr="005224C3" w:rsidRDefault="00C21CE6" w:rsidP="00001766">
            <w:pPr>
              <w:pStyle w:val="SemEspaamento"/>
            </w:pPr>
            <w:r w:rsidRPr="005224C3">
              <w:t xml:space="preserve">Sexo, </w:t>
            </w:r>
            <w:proofErr w:type="gramStart"/>
            <w:r w:rsidRPr="005224C3">
              <w:t>n(</w:t>
            </w:r>
            <w:proofErr w:type="gramEnd"/>
            <w:r w:rsidRPr="005224C3">
              <w:t>%)</w:t>
            </w:r>
          </w:p>
        </w:tc>
        <w:tc>
          <w:tcPr>
            <w:tcW w:w="1125" w:type="pct"/>
            <w:tcBorders>
              <w:top w:val="nil"/>
              <w:bottom w:val="nil"/>
            </w:tcBorders>
          </w:tcPr>
          <w:p w14:paraId="7B40202B"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tcBorders>
              <w:top w:val="nil"/>
              <w:bottom w:val="nil"/>
            </w:tcBorders>
          </w:tcPr>
          <w:p w14:paraId="661EFB6B"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684" w:type="pct"/>
            <w:tcBorders>
              <w:top w:val="nil"/>
              <w:bottom w:val="nil"/>
            </w:tcBorders>
          </w:tcPr>
          <w:p w14:paraId="4DA023F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p*</w:t>
            </w:r>
          </w:p>
        </w:tc>
      </w:tr>
      <w:tr w:rsidR="00C21CE6" w:rsidRPr="005224C3" w14:paraId="5A2DC8B5"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Borders>
              <w:top w:val="nil"/>
            </w:tcBorders>
          </w:tcPr>
          <w:p w14:paraId="557CC018" w14:textId="77777777" w:rsidR="00C21CE6" w:rsidRPr="005224C3" w:rsidRDefault="00C21CE6" w:rsidP="00001766">
            <w:pPr>
              <w:pStyle w:val="SemEspaamento"/>
            </w:pPr>
            <w:r w:rsidRPr="005224C3">
              <w:t xml:space="preserve">  Feminino</w:t>
            </w:r>
          </w:p>
        </w:tc>
        <w:tc>
          <w:tcPr>
            <w:tcW w:w="1125" w:type="pct"/>
            <w:tcBorders>
              <w:top w:val="nil"/>
            </w:tcBorders>
            <w:vAlign w:val="bottom"/>
          </w:tcPr>
          <w:p w14:paraId="2DE235A2"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10,0 (52,6)</w:t>
            </w:r>
          </w:p>
        </w:tc>
        <w:tc>
          <w:tcPr>
            <w:tcW w:w="1354" w:type="pct"/>
            <w:tcBorders>
              <w:top w:val="nil"/>
            </w:tcBorders>
            <w:vAlign w:val="bottom"/>
          </w:tcPr>
          <w:p w14:paraId="5A304451"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10,00 (76,92)</w:t>
            </w:r>
          </w:p>
        </w:tc>
        <w:tc>
          <w:tcPr>
            <w:tcW w:w="684" w:type="pct"/>
            <w:tcBorders>
              <w:top w:val="nil"/>
            </w:tcBorders>
          </w:tcPr>
          <w:p w14:paraId="08B9C7AC"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0,16</w:t>
            </w:r>
          </w:p>
        </w:tc>
      </w:tr>
      <w:tr w:rsidR="00C21CE6" w:rsidRPr="005224C3" w14:paraId="6F8D0611"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29799C93" w14:textId="77777777" w:rsidR="00C21CE6" w:rsidRPr="005224C3" w:rsidRDefault="00C21CE6" w:rsidP="00001766">
            <w:pPr>
              <w:pStyle w:val="SemEspaamento"/>
            </w:pPr>
            <w:r w:rsidRPr="005224C3">
              <w:t xml:space="preserve">  Masculino</w:t>
            </w:r>
          </w:p>
        </w:tc>
        <w:tc>
          <w:tcPr>
            <w:tcW w:w="1125" w:type="pct"/>
            <w:vAlign w:val="bottom"/>
          </w:tcPr>
          <w:p w14:paraId="39787E8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9,00 (47,4)</w:t>
            </w:r>
          </w:p>
        </w:tc>
        <w:tc>
          <w:tcPr>
            <w:tcW w:w="1354" w:type="pct"/>
            <w:vAlign w:val="bottom"/>
          </w:tcPr>
          <w:p w14:paraId="5E9BEE8B"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3,00 (23,08)</w:t>
            </w:r>
          </w:p>
        </w:tc>
        <w:tc>
          <w:tcPr>
            <w:tcW w:w="684" w:type="pct"/>
          </w:tcPr>
          <w:p w14:paraId="1F1B25FC"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42C2483F"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02EABFF" w14:textId="77777777" w:rsidR="00C21CE6" w:rsidRPr="005224C3" w:rsidRDefault="00C21CE6" w:rsidP="00001766">
            <w:pPr>
              <w:pStyle w:val="SemEspaamento"/>
            </w:pPr>
            <w:r w:rsidRPr="005224C3">
              <w:t xml:space="preserve">Tabagismo, </w:t>
            </w:r>
            <w:proofErr w:type="gramStart"/>
            <w:r w:rsidRPr="005224C3">
              <w:t>n(</w:t>
            </w:r>
            <w:proofErr w:type="gramEnd"/>
            <w:r w:rsidRPr="005224C3">
              <w:t>%)</w:t>
            </w:r>
          </w:p>
        </w:tc>
        <w:tc>
          <w:tcPr>
            <w:tcW w:w="1125" w:type="pct"/>
          </w:tcPr>
          <w:p w14:paraId="698905D0"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tcPr>
          <w:p w14:paraId="48B0F4E6"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684" w:type="pct"/>
          </w:tcPr>
          <w:p w14:paraId="47AFEA74"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0,02</w:t>
            </w:r>
          </w:p>
        </w:tc>
      </w:tr>
      <w:tr w:rsidR="00C21CE6" w:rsidRPr="005224C3" w14:paraId="6B07788F"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325A6624" w14:textId="77777777" w:rsidR="00C21CE6" w:rsidRPr="005224C3" w:rsidRDefault="00C21CE6" w:rsidP="00001766">
            <w:pPr>
              <w:pStyle w:val="SemEspaamento"/>
            </w:pPr>
            <w:r w:rsidRPr="005224C3">
              <w:t xml:space="preserve">  Não</w:t>
            </w:r>
          </w:p>
        </w:tc>
        <w:tc>
          <w:tcPr>
            <w:tcW w:w="1125" w:type="pct"/>
            <w:vAlign w:val="bottom"/>
          </w:tcPr>
          <w:p w14:paraId="510D30F8"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19,0 (100,0)</w:t>
            </w:r>
          </w:p>
        </w:tc>
        <w:tc>
          <w:tcPr>
            <w:tcW w:w="1354" w:type="pct"/>
          </w:tcPr>
          <w:p w14:paraId="021C7549"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8 (66,7)</w:t>
            </w:r>
          </w:p>
        </w:tc>
        <w:tc>
          <w:tcPr>
            <w:tcW w:w="684" w:type="pct"/>
          </w:tcPr>
          <w:p w14:paraId="18CC272C"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49D5301C"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8A8F1EC" w14:textId="77777777" w:rsidR="00C21CE6" w:rsidRPr="005224C3" w:rsidRDefault="00C21CE6" w:rsidP="00001766">
            <w:pPr>
              <w:pStyle w:val="SemEspaamento"/>
            </w:pPr>
            <w:r w:rsidRPr="005224C3">
              <w:t xml:space="preserve">  Sim</w:t>
            </w:r>
          </w:p>
        </w:tc>
        <w:tc>
          <w:tcPr>
            <w:tcW w:w="1125" w:type="pct"/>
            <w:vAlign w:val="bottom"/>
          </w:tcPr>
          <w:p w14:paraId="2455BAD6"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0,0 (0,0)</w:t>
            </w:r>
          </w:p>
        </w:tc>
        <w:tc>
          <w:tcPr>
            <w:tcW w:w="1354" w:type="pct"/>
          </w:tcPr>
          <w:p w14:paraId="07ED5DE4"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3 (25,0)</w:t>
            </w:r>
          </w:p>
        </w:tc>
        <w:tc>
          <w:tcPr>
            <w:tcW w:w="684" w:type="pct"/>
          </w:tcPr>
          <w:p w14:paraId="3837A582"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6AC5BB27"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2A391BE" w14:textId="26C57968" w:rsidR="00C21CE6" w:rsidRPr="005224C3" w:rsidRDefault="00C21CE6" w:rsidP="00001766">
            <w:pPr>
              <w:pStyle w:val="SemEspaamento"/>
            </w:pPr>
            <w:r w:rsidRPr="005224C3">
              <w:t xml:space="preserve">  </w:t>
            </w:r>
            <w:proofErr w:type="spellStart"/>
            <w:r w:rsidRPr="005224C3">
              <w:t>Ex</w:t>
            </w:r>
            <w:r w:rsidR="006466C0">
              <w:t>-tabagista</w:t>
            </w:r>
            <w:proofErr w:type="spellEnd"/>
          </w:p>
        </w:tc>
        <w:tc>
          <w:tcPr>
            <w:tcW w:w="1125" w:type="pct"/>
            <w:vAlign w:val="bottom"/>
          </w:tcPr>
          <w:p w14:paraId="281AEB42"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0,0 (0,0)</w:t>
            </w:r>
          </w:p>
        </w:tc>
        <w:tc>
          <w:tcPr>
            <w:tcW w:w="1354" w:type="pct"/>
          </w:tcPr>
          <w:p w14:paraId="2BC01686"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 (8,3)</w:t>
            </w:r>
          </w:p>
        </w:tc>
        <w:tc>
          <w:tcPr>
            <w:tcW w:w="684" w:type="pct"/>
          </w:tcPr>
          <w:p w14:paraId="032CDA77"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71C2CA76"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3EA9C2A7" w14:textId="77777777" w:rsidR="00C21CE6" w:rsidRPr="005224C3" w:rsidRDefault="00C21CE6" w:rsidP="00001766">
            <w:pPr>
              <w:pStyle w:val="SemEspaamento"/>
            </w:pPr>
          </w:p>
        </w:tc>
        <w:tc>
          <w:tcPr>
            <w:tcW w:w="1125" w:type="pct"/>
          </w:tcPr>
          <w:p w14:paraId="119D586A"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tcPr>
          <w:p w14:paraId="5C558285"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684" w:type="pct"/>
          </w:tcPr>
          <w:p w14:paraId="577D0201"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54B38E0B" w14:textId="77777777" w:rsidTr="006466C0">
        <w:trPr>
          <w:trHeight w:val="113"/>
        </w:trPr>
        <w:tc>
          <w:tcPr>
            <w:cnfStyle w:val="001000000000" w:firstRow="0" w:lastRow="0" w:firstColumn="1" w:lastColumn="0" w:oddVBand="0" w:evenVBand="0" w:oddHBand="0" w:evenHBand="0" w:firstRowFirstColumn="0" w:firstRowLastColumn="0" w:lastRowFirstColumn="0" w:lastRowLastColumn="0"/>
            <w:tcW w:w="1837" w:type="pct"/>
            <w:shd w:val="clear" w:color="auto" w:fill="auto"/>
          </w:tcPr>
          <w:p w14:paraId="58DDF27F" w14:textId="77777777" w:rsidR="00C21CE6" w:rsidRPr="00001766" w:rsidRDefault="00C21CE6" w:rsidP="00001766">
            <w:pPr>
              <w:pStyle w:val="SemEspaamento"/>
            </w:pPr>
            <w:r w:rsidRPr="00001766">
              <w:t>Idade, média (</w:t>
            </w:r>
            <w:proofErr w:type="spellStart"/>
            <w:r w:rsidRPr="00001766">
              <w:t>dp</w:t>
            </w:r>
            <w:proofErr w:type="spellEnd"/>
            <w:r w:rsidRPr="00001766">
              <w:t>)</w:t>
            </w:r>
          </w:p>
        </w:tc>
        <w:tc>
          <w:tcPr>
            <w:tcW w:w="1125" w:type="pct"/>
            <w:shd w:val="clear" w:color="auto" w:fill="auto"/>
            <w:vAlign w:val="bottom"/>
          </w:tcPr>
          <w:p w14:paraId="55ACE60D" w14:textId="77777777" w:rsidR="00C21CE6" w:rsidRPr="00001766"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001766">
              <w:t>34,6 (9,4)</w:t>
            </w:r>
          </w:p>
        </w:tc>
        <w:tc>
          <w:tcPr>
            <w:tcW w:w="1354" w:type="pct"/>
            <w:shd w:val="clear" w:color="auto" w:fill="auto"/>
            <w:vAlign w:val="bottom"/>
          </w:tcPr>
          <w:p w14:paraId="65025A7C" w14:textId="77777777" w:rsidR="00C21CE6" w:rsidRPr="00001766"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001766">
              <w:t>43,1 (14,4)</w:t>
            </w:r>
          </w:p>
        </w:tc>
        <w:tc>
          <w:tcPr>
            <w:tcW w:w="684" w:type="pct"/>
            <w:shd w:val="clear" w:color="auto" w:fill="auto"/>
          </w:tcPr>
          <w:p w14:paraId="2656381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001766">
              <w:t>0,06**</w:t>
            </w:r>
          </w:p>
        </w:tc>
      </w:tr>
      <w:tr w:rsidR="00C21CE6" w:rsidRPr="005224C3" w14:paraId="6A045E4B"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075D3037" w14:textId="77777777" w:rsidR="00C21CE6" w:rsidRPr="005224C3" w:rsidRDefault="00C21CE6" w:rsidP="00001766">
            <w:pPr>
              <w:pStyle w:val="SemEspaamento"/>
            </w:pPr>
            <w:r w:rsidRPr="005224C3">
              <w:t>Peso, média (</w:t>
            </w:r>
            <w:proofErr w:type="spellStart"/>
            <w:r w:rsidRPr="005224C3">
              <w:t>dp</w:t>
            </w:r>
            <w:proofErr w:type="spellEnd"/>
            <w:r w:rsidRPr="005224C3">
              <w:t>)</w:t>
            </w:r>
          </w:p>
        </w:tc>
        <w:tc>
          <w:tcPr>
            <w:tcW w:w="1125" w:type="pct"/>
            <w:vAlign w:val="bottom"/>
          </w:tcPr>
          <w:p w14:paraId="1D0F56E5"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76,7 (17,0)</w:t>
            </w:r>
          </w:p>
        </w:tc>
        <w:tc>
          <w:tcPr>
            <w:tcW w:w="1354" w:type="pct"/>
            <w:vAlign w:val="bottom"/>
          </w:tcPr>
          <w:p w14:paraId="70854968"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78,4 (19,6)</w:t>
            </w:r>
          </w:p>
        </w:tc>
        <w:tc>
          <w:tcPr>
            <w:tcW w:w="684" w:type="pct"/>
          </w:tcPr>
          <w:p w14:paraId="445E2027"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0,92**</w:t>
            </w:r>
          </w:p>
        </w:tc>
      </w:tr>
      <w:tr w:rsidR="00C21CE6" w:rsidRPr="005224C3" w14:paraId="50743583"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44A25330" w14:textId="77777777" w:rsidR="00C21CE6" w:rsidRPr="005224C3" w:rsidRDefault="00C21CE6" w:rsidP="00001766">
            <w:pPr>
              <w:pStyle w:val="SemEspaamento"/>
            </w:pPr>
            <w:r w:rsidRPr="005224C3">
              <w:t>Altura, mediana(</w:t>
            </w:r>
            <w:proofErr w:type="spellStart"/>
            <w:r w:rsidRPr="005224C3">
              <w:t>iqr</w:t>
            </w:r>
            <w:proofErr w:type="spellEnd"/>
            <w:r w:rsidRPr="005224C3">
              <w:t>)</w:t>
            </w:r>
          </w:p>
        </w:tc>
        <w:tc>
          <w:tcPr>
            <w:tcW w:w="1125" w:type="pct"/>
            <w:vAlign w:val="bottom"/>
          </w:tcPr>
          <w:p w14:paraId="225E4084"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162,3 (24,9)</w:t>
            </w:r>
          </w:p>
        </w:tc>
        <w:tc>
          <w:tcPr>
            <w:tcW w:w="1354" w:type="pct"/>
            <w:vAlign w:val="bottom"/>
          </w:tcPr>
          <w:p w14:paraId="14DDC6E5"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160,4 (6,8)</w:t>
            </w:r>
          </w:p>
        </w:tc>
        <w:tc>
          <w:tcPr>
            <w:tcW w:w="684" w:type="pct"/>
          </w:tcPr>
          <w:p w14:paraId="1B2408D9"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0,71</w:t>
            </w:r>
            <w:r w:rsidRPr="005224C3">
              <w:rPr>
                <w:vertAlign w:val="superscript"/>
              </w:rPr>
              <w:t>+</w:t>
            </w:r>
          </w:p>
        </w:tc>
      </w:tr>
      <w:tr w:rsidR="00C21CE6" w:rsidRPr="005224C3" w14:paraId="2E55D8AA"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535C3C6" w14:textId="77777777" w:rsidR="00C21CE6" w:rsidRPr="005224C3" w:rsidRDefault="00C21CE6" w:rsidP="00001766">
            <w:pPr>
              <w:pStyle w:val="SemEspaamento"/>
            </w:pPr>
            <w:r w:rsidRPr="005224C3">
              <w:t>IMC, mediana(</w:t>
            </w:r>
            <w:proofErr w:type="spellStart"/>
            <w:r w:rsidRPr="005224C3">
              <w:t>iqr</w:t>
            </w:r>
            <w:proofErr w:type="spellEnd"/>
            <w:r w:rsidRPr="005224C3">
              <w:t>)</w:t>
            </w:r>
          </w:p>
        </w:tc>
        <w:tc>
          <w:tcPr>
            <w:tcW w:w="1125" w:type="pct"/>
            <w:vAlign w:val="bottom"/>
          </w:tcPr>
          <w:p w14:paraId="4AA44CF5"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27,5 (4,5)</w:t>
            </w:r>
          </w:p>
        </w:tc>
        <w:tc>
          <w:tcPr>
            <w:tcW w:w="1354" w:type="pct"/>
            <w:vAlign w:val="bottom"/>
          </w:tcPr>
          <w:p w14:paraId="1C293E87"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30,3 (6,9)</w:t>
            </w:r>
          </w:p>
        </w:tc>
        <w:tc>
          <w:tcPr>
            <w:tcW w:w="684" w:type="pct"/>
          </w:tcPr>
          <w:p w14:paraId="75508D9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0,15</w:t>
            </w:r>
            <w:r w:rsidRPr="005224C3">
              <w:rPr>
                <w:vertAlign w:val="superscript"/>
              </w:rPr>
              <w:t>+</w:t>
            </w:r>
          </w:p>
        </w:tc>
      </w:tr>
      <w:tr w:rsidR="00C21CE6" w:rsidRPr="005224C3" w14:paraId="1B3BC459"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2E65CBC0" w14:textId="77777777" w:rsidR="00C21CE6" w:rsidRPr="005224C3" w:rsidRDefault="00C21CE6" w:rsidP="00001766">
            <w:pPr>
              <w:pStyle w:val="SemEspaamento"/>
            </w:pPr>
            <w:r w:rsidRPr="005224C3">
              <w:t xml:space="preserve">Padrão ventilatório, </w:t>
            </w:r>
            <w:proofErr w:type="gramStart"/>
            <w:r w:rsidRPr="005224C3">
              <w:t>n(</w:t>
            </w:r>
            <w:proofErr w:type="gramEnd"/>
            <w:r w:rsidRPr="005224C3">
              <w:t>%)</w:t>
            </w:r>
          </w:p>
        </w:tc>
        <w:tc>
          <w:tcPr>
            <w:tcW w:w="1125" w:type="pct"/>
            <w:vAlign w:val="bottom"/>
          </w:tcPr>
          <w:p w14:paraId="12463E00"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vAlign w:val="bottom"/>
          </w:tcPr>
          <w:p w14:paraId="2BC530C9"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684" w:type="pct"/>
            <w:vAlign w:val="bottom"/>
          </w:tcPr>
          <w:p w14:paraId="46ED5DF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11C02F69"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5EE85376" w14:textId="77777777" w:rsidR="00C21CE6" w:rsidRPr="005224C3" w:rsidRDefault="00C21CE6" w:rsidP="00001766">
            <w:pPr>
              <w:pStyle w:val="SemEspaamento"/>
            </w:pPr>
            <w:r w:rsidRPr="005224C3">
              <w:t xml:space="preserve">  Normal</w:t>
            </w:r>
          </w:p>
        </w:tc>
        <w:tc>
          <w:tcPr>
            <w:tcW w:w="1125" w:type="pct"/>
            <w:vAlign w:val="bottom"/>
          </w:tcPr>
          <w:p w14:paraId="11D6BA80"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20 (100,0)</w:t>
            </w:r>
          </w:p>
        </w:tc>
        <w:tc>
          <w:tcPr>
            <w:tcW w:w="1354" w:type="pct"/>
            <w:vAlign w:val="bottom"/>
          </w:tcPr>
          <w:p w14:paraId="75BD71CD"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6 (45,2)</w:t>
            </w:r>
          </w:p>
        </w:tc>
        <w:tc>
          <w:tcPr>
            <w:tcW w:w="684" w:type="pct"/>
            <w:vAlign w:val="bottom"/>
          </w:tcPr>
          <w:p w14:paraId="7FC3B33D"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4E855A6B"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4E7998D" w14:textId="77777777" w:rsidR="00C21CE6" w:rsidRPr="005224C3" w:rsidRDefault="00C21CE6" w:rsidP="00001766">
            <w:pPr>
              <w:pStyle w:val="SemEspaamento"/>
            </w:pPr>
            <w:r w:rsidRPr="005224C3">
              <w:t xml:space="preserve">  Restritivo</w:t>
            </w:r>
          </w:p>
        </w:tc>
        <w:tc>
          <w:tcPr>
            <w:tcW w:w="1125" w:type="pct"/>
            <w:vAlign w:val="bottom"/>
          </w:tcPr>
          <w:p w14:paraId="13FA77DD"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vAlign w:val="bottom"/>
          </w:tcPr>
          <w:p w14:paraId="0AD51143"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7 (53,8)</w:t>
            </w:r>
          </w:p>
        </w:tc>
        <w:tc>
          <w:tcPr>
            <w:tcW w:w="684" w:type="pct"/>
            <w:vAlign w:val="bottom"/>
          </w:tcPr>
          <w:p w14:paraId="2B03DEC1"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1ED0378E"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6CEA9F93" w14:textId="77777777" w:rsidR="00C21CE6" w:rsidRPr="005224C3" w:rsidRDefault="00C21CE6" w:rsidP="00001766">
            <w:pPr>
              <w:pStyle w:val="SemEspaamento"/>
            </w:pPr>
            <w:r w:rsidRPr="005224C3">
              <w:t xml:space="preserve">  Obstrutivo</w:t>
            </w:r>
          </w:p>
        </w:tc>
        <w:tc>
          <w:tcPr>
            <w:tcW w:w="1125" w:type="pct"/>
            <w:vAlign w:val="bottom"/>
          </w:tcPr>
          <w:p w14:paraId="7FF8A909"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vAlign w:val="bottom"/>
          </w:tcPr>
          <w:p w14:paraId="0179A7FF"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684" w:type="pct"/>
            <w:vAlign w:val="bottom"/>
          </w:tcPr>
          <w:p w14:paraId="332EA081"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265FB281"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34EFF487" w14:textId="77777777" w:rsidR="00C21CE6" w:rsidRPr="005224C3" w:rsidRDefault="00C21CE6" w:rsidP="00001766">
            <w:pPr>
              <w:pStyle w:val="SemEspaamento"/>
            </w:pPr>
          </w:p>
        </w:tc>
        <w:tc>
          <w:tcPr>
            <w:tcW w:w="1125" w:type="pct"/>
            <w:vAlign w:val="bottom"/>
          </w:tcPr>
          <w:p w14:paraId="7484A822"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vAlign w:val="bottom"/>
          </w:tcPr>
          <w:p w14:paraId="203314A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684" w:type="pct"/>
            <w:vAlign w:val="bottom"/>
          </w:tcPr>
          <w:p w14:paraId="62AD1DD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49983AF9"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404FC512" w14:textId="77777777" w:rsidR="00C21CE6" w:rsidRPr="005224C3" w:rsidRDefault="00C21CE6" w:rsidP="00001766">
            <w:pPr>
              <w:pStyle w:val="SemEspaamento"/>
            </w:pPr>
            <w:r w:rsidRPr="005224C3">
              <w:t>Tempo de doença, mediana(</w:t>
            </w:r>
            <w:proofErr w:type="spellStart"/>
            <w:r w:rsidRPr="005224C3">
              <w:t>iqr</w:t>
            </w:r>
            <w:proofErr w:type="spellEnd"/>
            <w:r w:rsidRPr="005224C3">
              <w:t>)</w:t>
            </w:r>
          </w:p>
        </w:tc>
        <w:tc>
          <w:tcPr>
            <w:tcW w:w="1125" w:type="pct"/>
          </w:tcPr>
          <w:p w14:paraId="4F4824F2"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w:t>
            </w:r>
          </w:p>
        </w:tc>
        <w:tc>
          <w:tcPr>
            <w:tcW w:w="1354" w:type="pct"/>
          </w:tcPr>
          <w:p w14:paraId="1DBE36DA"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8,6 (3,7)</w:t>
            </w:r>
          </w:p>
        </w:tc>
        <w:tc>
          <w:tcPr>
            <w:tcW w:w="684" w:type="pct"/>
          </w:tcPr>
          <w:p w14:paraId="254B01F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23D529E7"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701B4A28" w14:textId="77777777" w:rsidR="00C21CE6" w:rsidRPr="005224C3" w:rsidRDefault="00C21CE6" w:rsidP="00001766">
            <w:pPr>
              <w:pStyle w:val="SemEspaamento"/>
            </w:pPr>
            <w:r w:rsidRPr="005224C3">
              <w:t>Idade de início dos sintomas, mediana(</w:t>
            </w:r>
            <w:proofErr w:type="spellStart"/>
            <w:r w:rsidRPr="005224C3">
              <w:t>iqr</w:t>
            </w:r>
            <w:proofErr w:type="spellEnd"/>
            <w:r w:rsidRPr="005224C3">
              <w:t>)</w:t>
            </w:r>
          </w:p>
        </w:tc>
        <w:tc>
          <w:tcPr>
            <w:tcW w:w="1125" w:type="pct"/>
          </w:tcPr>
          <w:p w14:paraId="61F8C95B"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w:t>
            </w:r>
          </w:p>
        </w:tc>
        <w:tc>
          <w:tcPr>
            <w:tcW w:w="1354" w:type="pct"/>
          </w:tcPr>
          <w:p w14:paraId="20518665"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31,2 (16,9)</w:t>
            </w:r>
          </w:p>
        </w:tc>
        <w:tc>
          <w:tcPr>
            <w:tcW w:w="684" w:type="pct"/>
          </w:tcPr>
          <w:p w14:paraId="729D9E77"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0F032E08"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43B54155" w14:textId="77777777" w:rsidR="00C21CE6" w:rsidRPr="005224C3" w:rsidRDefault="00C21CE6" w:rsidP="00001766">
            <w:pPr>
              <w:pStyle w:val="SemEspaamento"/>
            </w:pPr>
            <w:r w:rsidRPr="005224C3">
              <w:t xml:space="preserve">Alteração na condutibilidade frênica, </w:t>
            </w:r>
            <w:proofErr w:type="gramStart"/>
            <w:r w:rsidRPr="005224C3">
              <w:t>n(</w:t>
            </w:r>
            <w:proofErr w:type="gramEnd"/>
            <w:r w:rsidRPr="005224C3">
              <w:t>%)</w:t>
            </w:r>
          </w:p>
        </w:tc>
        <w:tc>
          <w:tcPr>
            <w:tcW w:w="1125" w:type="pct"/>
          </w:tcPr>
          <w:p w14:paraId="1B983F7C"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tcPr>
          <w:p w14:paraId="3AC83736"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8 (61,5)</w:t>
            </w:r>
          </w:p>
        </w:tc>
        <w:tc>
          <w:tcPr>
            <w:tcW w:w="684" w:type="pct"/>
          </w:tcPr>
          <w:p w14:paraId="2DFAF12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bl>
    <w:p w14:paraId="0809A4DA" w14:textId="77777777" w:rsidR="00C21CE6" w:rsidRPr="005224C3" w:rsidRDefault="00C21CE6" w:rsidP="00A51A8F">
      <w:r w:rsidRPr="005224C3">
        <w:t>*Teste de Fisher comparado ao grupo controle</w:t>
      </w:r>
    </w:p>
    <w:p w14:paraId="7505FEA8" w14:textId="77777777" w:rsidR="00C21CE6" w:rsidRPr="005224C3" w:rsidRDefault="00C21CE6" w:rsidP="00A51A8F">
      <w:r w:rsidRPr="005224C3">
        <w:t xml:space="preserve">**Teste de t de </w:t>
      </w:r>
      <w:proofErr w:type="spellStart"/>
      <w:r w:rsidRPr="005224C3">
        <w:t>Student</w:t>
      </w:r>
      <w:proofErr w:type="spellEnd"/>
      <w:r w:rsidRPr="005224C3">
        <w:t xml:space="preserve"> comparado ao grupo controle</w:t>
      </w:r>
    </w:p>
    <w:p w14:paraId="7F287001" w14:textId="60A43B3E" w:rsidR="00890A47" w:rsidRPr="005224C3" w:rsidRDefault="00C21CE6" w:rsidP="00A51A8F">
      <w:r w:rsidRPr="005224C3">
        <w:rPr>
          <w:vertAlign w:val="superscript"/>
        </w:rPr>
        <w:t xml:space="preserve">+ </w:t>
      </w:r>
      <w:r w:rsidRPr="005224C3">
        <w:t>Teste de Mann-Whitney</w:t>
      </w:r>
    </w:p>
    <w:p w14:paraId="1781B66F" w14:textId="77777777" w:rsidR="00C21CE6" w:rsidRPr="005224C3" w:rsidRDefault="00C21CE6" w:rsidP="00A51A8F"/>
    <w:p w14:paraId="072982D9" w14:textId="768F7CCA" w:rsidR="005108D5" w:rsidRPr="005224C3" w:rsidRDefault="005224C3" w:rsidP="00890A47">
      <w:pPr>
        <w:pStyle w:val="Ttulo1"/>
        <w:rPr>
          <w:rFonts w:ascii="Arial" w:hAnsi="Arial"/>
          <w:shd w:val="clear" w:color="auto" w:fill="FFFFFF"/>
          <w:lang w:val="en-US"/>
        </w:rPr>
      </w:pPr>
      <w:r w:rsidRPr="005224C3">
        <w:rPr>
          <w:rFonts w:ascii="Arial" w:hAnsi="Arial"/>
          <w:bdr w:val="none" w:sz="0" w:space="0" w:color="auto"/>
          <w:shd w:val="clear" w:color="auto" w:fill="FFFFFF"/>
          <w:lang w:val="en-US"/>
        </w:rPr>
        <w:lastRenderedPageBreak/>
        <w:t xml:space="preserve">Dados </w:t>
      </w:r>
      <w:proofErr w:type="spellStart"/>
      <w:r w:rsidRPr="005224C3">
        <w:rPr>
          <w:rFonts w:ascii="Arial" w:hAnsi="Arial"/>
          <w:bdr w:val="none" w:sz="0" w:space="0" w:color="auto"/>
          <w:shd w:val="clear" w:color="auto" w:fill="FFFFFF"/>
          <w:lang w:val="en-US"/>
        </w:rPr>
        <w:t>descritivos</w:t>
      </w:r>
      <w:proofErr w:type="spellEnd"/>
    </w:p>
    <w:p w14:paraId="290B37F7" w14:textId="77777777" w:rsidR="000F09C9" w:rsidRPr="005224C3" w:rsidRDefault="005108D5" w:rsidP="00A51A8F">
      <w:r w:rsidRPr="005224C3">
        <w:rPr>
          <w:shd w:val="clear" w:color="auto" w:fill="FFFFFF"/>
        </w:rPr>
        <w:tab/>
      </w:r>
      <w:r w:rsidR="00BC399C" w:rsidRPr="005224C3">
        <w:rPr>
          <w:shd w:val="clear" w:color="auto" w:fill="FFFFFF"/>
        </w:rPr>
        <w:t>C</w:t>
      </w:r>
      <w:r w:rsidR="00BC399C" w:rsidRPr="005224C3">
        <w:t xml:space="preserve">aracterísticas entre os grupos foram homogêneas em relação a sexo, idade, IMC, mas diferenças no perfil da amostra estudada entre casos e controles foram encontradas apenas para o percentual de tabagistas e </w:t>
      </w:r>
      <w:proofErr w:type="spellStart"/>
      <w:r w:rsidR="00BC399C" w:rsidRPr="005224C3">
        <w:t>ex-tabagistas</w:t>
      </w:r>
      <w:proofErr w:type="spellEnd"/>
      <w:r w:rsidR="00BC399C" w:rsidRPr="005224C3">
        <w:t>, sendo maior no grupo SCA2. O grupo SCA2 apresentou em mediana (</w:t>
      </w:r>
      <w:proofErr w:type="spellStart"/>
      <w:r w:rsidR="00BC399C" w:rsidRPr="005224C3">
        <w:t>iqr</w:t>
      </w:r>
      <w:proofErr w:type="spellEnd"/>
      <w:r w:rsidR="00BC399C" w:rsidRPr="005224C3">
        <w:t>) 8,6 (3,7) anos de tempo de doença, idade mediana do início dos sintomas com 31,2 (16,9) anos e apresentou alteração na condutibilidade frênica em mais de 60% da amostra (61,5) (tabela 1).</w:t>
      </w:r>
      <w:r w:rsidR="00774600" w:rsidRPr="005224C3">
        <w:t xml:space="preserve"> </w:t>
      </w:r>
    </w:p>
    <w:p w14:paraId="68472675" w14:textId="77777777" w:rsidR="000F09C9" w:rsidRPr="005224C3" w:rsidRDefault="000F09C9" w:rsidP="00A51A8F"/>
    <w:p w14:paraId="14A060E5" w14:textId="26BF941F" w:rsidR="00890A47" w:rsidRPr="005224C3" w:rsidRDefault="005224C3" w:rsidP="00890A47">
      <w:pPr>
        <w:pStyle w:val="Ttulo1"/>
        <w:rPr>
          <w:rFonts w:ascii="Arial" w:hAnsi="Arial"/>
        </w:rPr>
      </w:pPr>
      <w:r w:rsidRPr="005224C3">
        <w:rPr>
          <w:rFonts w:ascii="Arial" w:hAnsi="Arial"/>
        </w:rPr>
        <w:t>Principais resultados</w:t>
      </w:r>
    </w:p>
    <w:p w14:paraId="1828655D" w14:textId="529CCE1D" w:rsidR="00110F08" w:rsidRPr="005224C3" w:rsidRDefault="00110F08" w:rsidP="00A51A8F">
      <w:pPr>
        <w:rPr>
          <w:lang w:eastAsia="pt-BR"/>
        </w:rPr>
      </w:pPr>
    </w:p>
    <w:p w14:paraId="7A43C272" w14:textId="0A1557B0" w:rsidR="00D64696" w:rsidRPr="005224C3" w:rsidRDefault="00386091" w:rsidP="00A51A8F">
      <w:r w:rsidRPr="005224C3">
        <w:t>Em comparação com os indivíduos saudáveis, adultos com SCA2 na amostra estudada apresentaram menor média de CVF L [-1,14 [ IC 95% 1,80; -0,48]; p&lt;0,01]</w:t>
      </w:r>
      <w:r w:rsidR="00110F08" w:rsidRPr="005224C3">
        <w:rPr>
          <w:lang w:eastAsia="pt-BR"/>
        </w:rPr>
        <w:t xml:space="preserve"> </w:t>
      </w:r>
      <w:r w:rsidRPr="005224C3">
        <w:rPr>
          <w:lang w:eastAsia="pt-BR"/>
        </w:rPr>
        <w:t>, CVF % [-15,93% [IC 95% -26,56; -5,30; p&lt;0,01], VEF1 L [-0,97 [IC 95%</w:t>
      </w:r>
      <w:r w:rsidR="00890A47" w:rsidRPr="005224C3">
        <w:rPr>
          <w:color w:val="1B1B1B"/>
          <w:shd w:val="clear" w:color="auto" w:fill="FFFFFF"/>
        </w:rPr>
        <w:t xml:space="preserve"> </w:t>
      </w:r>
      <w:r w:rsidRPr="005224C3">
        <w:rPr>
          <w:color w:val="1B1B1B"/>
          <w:shd w:val="clear" w:color="auto" w:fill="FFFFFF"/>
        </w:rPr>
        <w:t>-1,51; -0,43; p&lt;0,01], VEF1 % [-15,87% [IC 95% -26,98; -4,77]; p&lt;0,01]; PFE L [</w:t>
      </w:r>
      <w:r w:rsidR="00466A1D" w:rsidRPr="005224C3">
        <w:t>-</w:t>
      </w:r>
      <w:r w:rsidR="00466A1D" w:rsidRPr="005224C3">
        <w:rPr>
          <w:kern w:val="0"/>
          <w14:ligatures w14:val="none"/>
        </w:rPr>
        <w:t>2,06</w:t>
      </w:r>
      <w:r w:rsidR="00466A1D" w:rsidRPr="005224C3">
        <w:t xml:space="preserve"> </w:t>
      </w:r>
      <w:r w:rsidR="00466A1D" w:rsidRPr="005224C3">
        <w:rPr>
          <w:kern w:val="0"/>
          <w14:ligatures w14:val="none"/>
        </w:rPr>
        <w:t>[</w:t>
      </w:r>
      <w:r w:rsidR="00466A1D" w:rsidRPr="005224C3">
        <w:rPr>
          <w:color w:val="1B1B1B"/>
          <w:shd w:val="clear" w:color="auto" w:fill="FFFFFF"/>
        </w:rPr>
        <w:t xml:space="preserve">IC 95% </w:t>
      </w:r>
      <w:r w:rsidR="00466A1D" w:rsidRPr="005224C3">
        <w:t>-</w:t>
      </w:r>
      <w:r w:rsidR="00466A1D" w:rsidRPr="005224C3">
        <w:rPr>
          <w:kern w:val="0"/>
          <w14:ligatures w14:val="none"/>
        </w:rPr>
        <w:t>3,63</w:t>
      </w:r>
      <w:r w:rsidR="00466A1D" w:rsidRPr="005224C3">
        <w:t>; -</w:t>
      </w:r>
      <w:r w:rsidR="00466A1D" w:rsidRPr="005224C3">
        <w:rPr>
          <w:kern w:val="0"/>
          <w14:ligatures w14:val="none"/>
        </w:rPr>
        <w:t>0,49]; p&lt;0,01]; PFE % [</w:t>
      </w:r>
      <w:r w:rsidR="00466A1D" w:rsidRPr="005224C3">
        <w:t xml:space="preserve">-21,89% [IC 95% -30,65; -13,14]; p&lt;0,01]. Além disso, também apresentaram menor PE mediano (-10,0 [IC 95% -29,79; -9,79]; p&lt;0,01] e Li PE </w:t>
      </w:r>
      <w:proofErr w:type="spellStart"/>
      <w:r w:rsidR="00466A1D" w:rsidRPr="005224C3">
        <w:t>máx</w:t>
      </w:r>
      <w:proofErr w:type="spellEnd"/>
      <w:r w:rsidR="00466A1D" w:rsidRPr="005224C3">
        <w:t xml:space="preserve"> média [-29,35 [ IC 95% -48,81; -9,89]; &lt;0,01], bem como menores medianas de SNIP [-37,5 [IC 95% -55,49; -19,50]; p&gt;0,01], PFT  [-90,0 [IC 95% -164,22; -15,77; p=0,02], SPO2 [-1,5 [IC 95%-2,1; -0,90]; p&lt;0,01] e amplitude máxima do trapézio [ -0,17[IC 95% -0,32; -0,01];p=0,03] e menores médias de ETCO2 e Amplitude média </w:t>
      </w:r>
      <w:r w:rsidR="003B782A" w:rsidRPr="005224C3">
        <w:t>-0,26 [IC 95%  -0,41; 0,11]; p&lt;0,01. (Tabela 2).</w:t>
      </w:r>
    </w:p>
    <w:p w14:paraId="01FECF21" w14:textId="373194FC" w:rsidR="00466A1D" w:rsidRPr="005224C3" w:rsidRDefault="00466A1D" w:rsidP="00A51A8F"/>
    <w:p w14:paraId="1104DB67" w14:textId="2B561884" w:rsidR="005443DD" w:rsidRPr="005224C3" w:rsidRDefault="005443DD" w:rsidP="00A76167">
      <w:pPr>
        <w:pStyle w:val="Ttulo2"/>
      </w:pPr>
      <w:r w:rsidRPr="005224C3">
        <w:t xml:space="preserve">Tabela 2. Parâmetros respiratórios </w:t>
      </w:r>
      <w:r w:rsidR="005140B6" w:rsidRPr="005224C3">
        <w:t>n</w:t>
      </w:r>
      <w:r w:rsidRPr="005224C3">
        <w:t>os grupos estudados</w:t>
      </w:r>
      <w:r w:rsidR="006466C0">
        <w:t>.</w:t>
      </w:r>
    </w:p>
    <w:tbl>
      <w:tblPr>
        <w:tblStyle w:val="Tabelacomgrade"/>
        <w:tblW w:w="5555" w:type="pct"/>
        <w:tblLayout w:type="fixed"/>
        <w:tblLook w:val="04A0" w:firstRow="1" w:lastRow="0" w:firstColumn="1" w:lastColumn="0" w:noHBand="0" w:noVBand="1"/>
      </w:tblPr>
      <w:tblGrid>
        <w:gridCol w:w="3249"/>
        <w:gridCol w:w="1520"/>
        <w:gridCol w:w="1478"/>
        <w:gridCol w:w="2307"/>
        <w:gridCol w:w="894"/>
      </w:tblGrid>
      <w:tr w:rsidR="00DB7A07" w:rsidRPr="005224C3" w14:paraId="195F6B7F" w14:textId="77777777" w:rsidTr="00A76167">
        <w:trPr>
          <w:trHeight w:val="20"/>
        </w:trPr>
        <w:tc>
          <w:tcPr>
            <w:tcW w:w="1719" w:type="pct"/>
            <w:vMerge w:val="restart"/>
            <w:tcBorders>
              <w:top w:val="single" w:sz="0" w:space="0" w:color="000000"/>
              <w:left w:val="nil"/>
              <w:right w:val="nil"/>
            </w:tcBorders>
            <w:vAlign w:val="center"/>
          </w:tcPr>
          <w:p w14:paraId="0261BABD" w14:textId="77777777" w:rsidR="00A01336" w:rsidRPr="005224C3" w:rsidRDefault="00A01336" w:rsidP="006466C0">
            <w:pPr>
              <w:pStyle w:val="SemEspaamento"/>
              <w:rPr>
                <w:lang w:val="pt-BR"/>
              </w:rPr>
            </w:pPr>
            <w:r w:rsidRPr="005224C3">
              <w:rPr>
                <w:lang w:val="pt-BR"/>
              </w:rPr>
              <w:t>Parâmetros</w:t>
            </w:r>
          </w:p>
        </w:tc>
        <w:tc>
          <w:tcPr>
            <w:tcW w:w="804" w:type="pct"/>
            <w:tcBorders>
              <w:top w:val="single" w:sz="0" w:space="0" w:color="000000"/>
              <w:left w:val="nil"/>
              <w:bottom w:val="nil"/>
              <w:right w:val="nil"/>
            </w:tcBorders>
            <w:vAlign w:val="bottom"/>
          </w:tcPr>
          <w:p w14:paraId="7A45A099" w14:textId="77777777" w:rsidR="00A01336" w:rsidRPr="005224C3" w:rsidRDefault="00A01336" w:rsidP="006466C0">
            <w:pPr>
              <w:pStyle w:val="SemEspaamento"/>
              <w:rPr>
                <w:lang w:val="pt-BR"/>
              </w:rPr>
            </w:pPr>
            <w:r w:rsidRPr="005224C3">
              <w:rPr>
                <w:lang w:val="pt-BR"/>
              </w:rPr>
              <w:t>Controle</w:t>
            </w:r>
          </w:p>
        </w:tc>
        <w:tc>
          <w:tcPr>
            <w:tcW w:w="782" w:type="pct"/>
            <w:tcBorders>
              <w:top w:val="single" w:sz="0" w:space="0" w:color="000000"/>
              <w:left w:val="nil"/>
              <w:bottom w:val="nil"/>
              <w:right w:val="nil"/>
            </w:tcBorders>
            <w:vAlign w:val="bottom"/>
          </w:tcPr>
          <w:p w14:paraId="5C2F19C6" w14:textId="77777777" w:rsidR="00A01336" w:rsidRPr="005224C3" w:rsidRDefault="00A01336" w:rsidP="006466C0">
            <w:pPr>
              <w:pStyle w:val="SemEspaamento"/>
              <w:rPr>
                <w:lang w:val="pt-BR"/>
              </w:rPr>
            </w:pPr>
            <w:r w:rsidRPr="005224C3">
              <w:rPr>
                <w:lang w:val="pt-BR"/>
              </w:rPr>
              <w:t>SCA2</w:t>
            </w:r>
          </w:p>
        </w:tc>
        <w:tc>
          <w:tcPr>
            <w:tcW w:w="1221" w:type="pct"/>
            <w:vMerge w:val="restart"/>
            <w:tcBorders>
              <w:top w:val="single" w:sz="0" w:space="0" w:color="000000"/>
              <w:left w:val="nil"/>
              <w:right w:val="nil"/>
            </w:tcBorders>
          </w:tcPr>
          <w:p w14:paraId="66B74510" w14:textId="22A6905B" w:rsidR="00A01336" w:rsidRPr="005224C3" w:rsidRDefault="003F6DEE" w:rsidP="006466C0">
            <w:pPr>
              <w:pStyle w:val="SemEspaamento"/>
            </w:pPr>
            <w:proofErr w:type="spellStart"/>
            <w:r w:rsidRPr="005224C3">
              <w:t>Diferença</w:t>
            </w:r>
            <w:proofErr w:type="spellEnd"/>
            <w:r w:rsidR="00A01336" w:rsidRPr="005224C3">
              <w:t xml:space="preserve"> (IC 95%)</w:t>
            </w:r>
          </w:p>
        </w:tc>
        <w:tc>
          <w:tcPr>
            <w:tcW w:w="473" w:type="pct"/>
            <w:vMerge w:val="restart"/>
            <w:tcBorders>
              <w:top w:val="single" w:sz="0" w:space="0" w:color="000000"/>
              <w:left w:val="nil"/>
              <w:right w:val="nil"/>
            </w:tcBorders>
            <w:vAlign w:val="center"/>
          </w:tcPr>
          <w:p w14:paraId="15FCAC01" w14:textId="475A1A7F" w:rsidR="00A01336" w:rsidRPr="005224C3" w:rsidRDefault="00A01336" w:rsidP="006466C0">
            <w:pPr>
              <w:pStyle w:val="SemEspaamento"/>
              <w:rPr>
                <w:lang w:val="pt-BR"/>
              </w:rPr>
            </w:pPr>
            <w:r w:rsidRPr="005224C3">
              <w:rPr>
                <w:lang w:val="pt-BR"/>
              </w:rPr>
              <w:t>p*</w:t>
            </w:r>
          </w:p>
        </w:tc>
      </w:tr>
      <w:tr w:rsidR="00DB7A07" w:rsidRPr="005224C3" w14:paraId="64C8ACCA" w14:textId="77777777" w:rsidTr="00A76167">
        <w:trPr>
          <w:trHeight w:val="20"/>
        </w:trPr>
        <w:tc>
          <w:tcPr>
            <w:tcW w:w="1719" w:type="pct"/>
            <w:vMerge/>
            <w:tcBorders>
              <w:left w:val="nil"/>
              <w:bottom w:val="single" w:sz="0" w:space="0" w:color="000000"/>
              <w:right w:val="nil"/>
            </w:tcBorders>
          </w:tcPr>
          <w:p w14:paraId="7CABA566" w14:textId="77777777" w:rsidR="00A01336" w:rsidRPr="005224C3" w:rsidRDefault="00A01336" w:rsidP="006466C0">
            <w:pPr>
              <w:pStyle w:val="SemEspaamento"/>
              <w:rPr>
                <w:lang w:val="pt-BR"/>
              </w:rPr>
            </w:pPr>
          </w:p>
        </w:tc>
        <w:tc>
          <w:tcPr>
            <w:tcW w:w="804" w:type="pct"/>
            <w:tcBorders>
              <w:top w:val="nil"/>
              <w:left w:val="nil"/>
              <w:bottom w:val="single" w:sz="0" w:space="0" w:color="000000"/>
              <w:right w:val="nil"/>
            </w:tcBorders>
          </w:tcPr>
          <w:p w14:paraId="5FF53815" w14:textId="77777777" w:rsidR="00A01336" w:rsidRPr="005224C3" w:rsidRDefault="00A01336" w:rsidP="006466C0">
            <w:pPr>
              <w:pStyle w:val="SemEspaamento"/>
              <w:rPr>
                <w:lang w:val="pt-BR"/>
              </w:rPr>
            </w:pPr>
            <w:r w:rsidRPr="005224C3">
              <w:t>19,0 (59,38%)</w:t>
            </w:r>
          </w:p>
        </w:tc>
        <w:tc>
          <w:tcPr>
            <w:tcW w:w="782" w:type="pct"/>
            <w:tcBorders>
              <w:top w:val="nil"/>
              <w:left w:val="nil"/>
              <w:bottom w:val="single" w:sz="0" w:space="0" w:color="000000"/>
              <w:right w:val="nil"/>
            </w:tcBorders>
          </w:tcPr>
          <w:p w14:paraId="5D756B8C" w14:textId="77777777" w:rsidR="00A01336" w:rsidRPr="005224C3" w:rsidRDefault="00A01336" w:rsidP="006466C0">
            <w:pPr>
              <w:pStyle w:val="SemEspaamento"/>
              <w:rPr>
                <w:lang w:val="pt-BR"/>
              </w:rPr>
            </w:pPr>
            <w:r w:rsidRPr="005224C3">
              <w:t>13,0 (40,62%)</w:t>
            </w:r>
          </w:p>
        </w:tc>
        <w:tc>
          <w:tcPr>
            <w:tcW w:w="1221" w:type="pct"/>
            <w:vMerge/>
            <w:tcBorders>
              <w:left w:val="nil"/>
              <w:bottom w:val="single" w:sz="0" w:space="0" w:color="000000"/>
              <w:right w:val="nil"/>
            </w:tcBorders>
          </w:tcPr>
          <w:p w14:paraId="258EBDEC" w14:textId="77777777" w:rsidR="00A01336" w:rsidRPr="005224C3" w:rsidRDefault="00A01336" w:rsidP="006466C0">
            <w:pPr>
              <w:pStyle w:val="SemEspaamento"/>
            </w:pPr>
          </w:p>
        </w:tc>
        <w:tc>
          <w:tcPr>
            <w:tcW w:w="473" w:type="pct"/>
            <w:vMerge/>
            <w:tcBorders>
              <w:left w:val="nil"/>
              <w:bottom w:val="single" w:sz="0" w:space="0" w:color="000000"/>
              <w:right w:val="nil"/>
            </w:tcBorders>
            <w:vAlign w:val="center"/>
          </w:tcPr>
          <w:p w14:paraId="7CABC59A" w14:textId="1FE1693B" w:rsidR="00A01336" w:rsidRPr="005224C3" w:rsidRDefault="00A01336" w:rsidP="006466C0">
            <w:pPr>
              <w:pStyle w:val="SemEspaamento"/>
              <w:rPr>
                <w:lang w:val="pt-BR"/>
              </w:rPr>
            </w:pPr>
          </w:p>
        </w:tc>
      </w:tr>
      <w:tr w:rsidR="00466A1D" w:rsidRPr="005224C3" w14:paraId="4B55CCF7" w14:textId="77777777" w:rsidTr="00466A1D">
        <w:trPr>
          <w:trHeight w:val="20"/>
        </w:trPr>
        <w:tc>
          <w:tcPr>
            <w:tcW w:w="1719" w:type="pct"/>
            <w:tcBorders>
              <w:top w:val="single" w:sz="0" w:space="0" w:color="000000"/>
              <w:left w:val="nil"/>
              <w:bottom w:val="nil"/>
              <w:right w:val="nil"/>
            </w:tcBorders>
            <w:vAlign w:val="center"/>
          </w:tcPr>
          <w:p w14:paraId="0199A75D" w14:textId="77777777" w:rsidR="00A01336" w:rsidRPr="005224C3" w:rsidRDefault="00A01336" w:rsidP="006466C0">
            <w:pPr>
              <w:pStyle w:val="SemEspaamento"/>
              <w:rPr>
                <w:lang w:val="pt-BR"/>
              </w:rPr>
            </w:pPr>
            <w:r w:rsidRPr="005224C3">
              <w:rPr>
                <w:lang w:val="pt-BR"/>
              </w:rPr>
              <w:t>CVF L, média(</w:t>
            </w:r>
            <w:proofErr w:type="spellStart"/>
            <w:r w:rsidRPr="005224C3">
              <w:rPr>
                <w:lang w:val="pt-BR"/>
              </w:rPr>
              <w:t>dp</w:t>
            </w:r>
            <w:proofErr w:type="spellEnd"/>
            <w:r w:rsidRPr="005224C3">
              <w:rPr>
                <w:lang w:val="pt-BR"/>
              </w:rPr>
              <w:t>)</w:t>
            </w:r>
          </w:p>
        </w:tc>
        <w:tc>
          <w:tcPr>
            <w:tcW w:w="804" w:type="pct"/>
            <w:tcBorders>
              <w:top w:val="single" w:sz="0" w:space="0" w:color="000000"/>
              <w:left w:val="nil"/>
              <w:bottom w:val="nil"/>
              <w:right w:val="nil"/>
            </w:tcBorders>
          </w:tcPr>
          <w:p w14:paraId="7EB6566D" w14:textId="77777777" w:rsidR="00A01336" w:rsidRPr="005224C3" w:rsidRDefault="00A01336" w:rsidP="006466C0">
            <w:pPr>
              <w:pStyle w:val="SemEspaamento"/>
              <w:rPr>
                <w:lang w:val="pt-BR"/>
              </w:rPr>
            </w:pPr>
            <w:r w:rsidRPr="005224C3">
              <w:rPr>
                <w:lang w:val="pt-BR"/>
              </w:rPr>
              <w:t>4,0 (1,0)</w:t>
            </w:r>
          </w:p>
        </w:tc>
        <w:tc>
          <w:tcPr>
            <w:tcW w:w="782" w:type="pct"/>
            <w:tcBorders>
              <w:top w:val="single" w:sz="0" w:space="0" w:color="000000"/>
              <w:left w:val="nil"/>
              <w:bottom w:val="nil"/>
              <w:right w:val="nil"/>
            </w:tcBorders>
            <w:vAlign w:val="bottom"/>
          </w:tcPr>
          <w:p w14:paraId="341E83EB" w14:textId="77777777" w:rsidR="00A01336" w:rsidRPr="005224C3" w:rsidRDefault="00A01336" w:rsidP="006466C0">
            <w:pPr>
              <w:pStyle w:val="SemEspaamento"/>
              <w:rPr>
                <w:lang w:val="pt-BR"/>
              </w:rPr>
            </w:pPr>
            <w:r w:rsidRPr="005224C3">
              <w:rPr>
                <w:lang w:val="pt-BR"/>
              </w:rPr>
              <w:t>2,9 (0,7)</w:t>
            </w:r>
          </w:p>
        </w:tc>
        <w:tc>
          <w:tcPr>
            <w:tcW w:w="1221" w:type="pct"/>
            <w:tcBorders>
              <w:top w:val="single" w:sz="0" w:space="0" w:color="000000"/>
              <w:left w:val="nil"/>
              <w:bottom w:val="nil"/>
              <w:right w:val="nil"/>
            </w:tcBorders>
          </w:tcPr>
          <w:p w14:paraId="04020960" w14:textId="0C78BC19" w:rsidR="00A01336" w:rsidRPr="005224C3" w:rsidRDefault="00DB7A07" w:rsidP="006466C0">
            <w:pPr>
              <w:pStyle w:val="SemEspaamento"/>
            </w:pPr>
            <w:r w:rsidRPr="005224C3">
              <w:t>-</w:t>
            </w:r>
            <w:r w:rsidR="00A01336" w:rsidRPr="005224C3">
              <w:t xml:space="preserve">1,14 </w:t>
            </w:r>
            <w:r w:rsidR="005450BA" w:rsidRPr="005224C3">
              <w:t>(</w:t>
            </w:r>
            <w:r w:rsidR="00A01336" w:rsidRPr="005224C3">
              <w:t>1,80</w:t>
            </w:r>
            <w:r w:rsidRPr="005224C3">
              <w:t>; -0,48</w:t>
            </w:r>
            <w:r w:rsidR="005450BA" w:rsidRPr="005224C3">
              <w:t>)</w:t>
            </w:r>
          </w:p>
        </w:tc>
        <w:tc>
          <w:tcPr>
            <w:tcW w:w="473" w:type="pct"/>
            <w:tcBorders>
              <w:top w:val="single" w:sz="0" w:space="0" w:color="000000"/>
              <w:left w:val="nil"/>
              <w:bottom w:val="nil"/>
              <w:right w:val="nil"/>
            </w:tcBorders>
            <w:vAlign w:val="bottom"/>
          </w:tcPr>
          <w:p w14:paraId="11B7982E" w14:textId="7018D721" w:rsidR="00A01336" w:rsidRPr="005224C3" w:rsidRDefault="00A01336" w:rsidP="006466C0">
            <w:pPr>
              <w:pStyle w:val="SemEspaamento"/>
              <w:rPr>
                <w:lang w:val="pt-BR"/>
              </w:rPr>
            </w:pPr>
            <w:r w:rsidRPr="005224C3">
              <w:rPr>
                <w:lang w:val="pt-BR"/>
              </w:rPr>
              <w:t>&lt;0,01</w:t>
            </w:r>
          </w:p>
        </w:tc>
      </w:tr>
      <w:tr w:rsidR="00466A1D" w:rsidRPr="005224C3" w14:paraId="2823B478" w14:textId="77777777" w:rsidTr="00466A1D">
        <w:trPr>
          <w:trHeight w:val="20"/>
        </w:trPr>
        <w:tc>
          <w:tcPr>
            <w:tcW w:w="1719" w:type="pct"/>
            <w:tcBorders>
              <w:top w:val="nil"/>
              <w:left w:val="nil"/>
              <w:bottom w:val="nil"/>
              <w:right w:val="nil"/>
            </w:tcBorders>
            <w:vAlign w:val="center"/>
          </w:tcPr>
          <w:p w14:paraId="35A4F8AC" w14:textId="77777777" w:rsidR="00A01336" w:rsidRPr="005224C3" w:rsidRDefault="00A01336" w:rsidP="006466C0">
            <w:pPr>
              <w:pStyle w:val="SemEspaamento"/>
              <w:rPr>
                <w:lang w:val="pt-BR"/>
              </w:rPr>
            </w:pPr>
            <w:r w:rsidRPr="005224C3">
              <w:rPr>
                <w:lang w:val="pt-BR"/>
              </w:rPr>
              <w:t>CVF (%), média(</w:t>
            </w:r>
            <w:proofErr w:type="spellStart"/>
            <w:r w:rsidRPr="005224C3">
              <w:rPr>
                <w:lang w:val="pt-BR"/>
              </w:rPr>
              <w:t>dp</w:t>
            </w:r>
            <w:proofErr w:type="spellEnd"/>
            <w:r w:rsidRPr="005224C3">
              <w:rPr>
                <w:lang w:val="pt-BR"/>
              </w:rPr>
              <w:t xml:space="preserve">) </w:t>
            </w:r>
          </w:p>
        </w:tc>
        <w:tc>
          <w:tcPr>
            <w:tcW w:w="804" w:type="pct"/>
            <w:tcBorders>
              <w:top w:val="nil"/>
              <w:left w:val="nil"/>
              <w:bottom w:val="nil"/>
              <w:right w:val="nil"/>
            </w:tcBorders>
          </w:tcPr>
          <w:p w14:paraId="14E4A944" w14:textId="77777777" w:rsidR="00A01336" w:rsidRPr="005224C3" w:rsidRDefault="00A01336" w:rsidP="006466C0">
            <w:pPr>
              <w:pStyle w:val="SemEspaamento"/>
              <w:rPr>
                <w:lang w:val="pt-BR"/>
              </w:rPr>
            </w:pPr>
            <w:r w:rsidRPr="005224C3">
              <w:rPr>
                <w:lang w:val="pt-BR"/>
              </w:rPr>
              <w:t>97,3 (13,7)</w:t>
            </w:r>
          </w:p>
        </w:tc>
        <w:tc>
          <w:tcPr>
            <w:tcW w:w="782" w:type="pct"/>
            <w:tcBorders>
              <w:top w:val="nil"/>
              <w:left w:val="nil"/>
              <w:bottom w:val="nil"/>
              <w:right w:val="nil"/>
            </w:tcBorders>
            <w:vAlign w:val="bottom"/>
          </w:tcPr>
          <w:p w14:paraId="233E53D2" w14:textId="77777777" w:rsidR="00A01336" w:rsidRPr="005224C3" w:rsidRDefault="00A01336" w:rsidP="006466C0">
            <w:pPr>
              <w:pStyle w:val="SemEspaamento"/>
              <w:rPr>
                <w:lang w:val="pt-BR"/>
              </w:rPr>
            </w:pPr>
            <w:r w:rsidRPr="005224C3">
              <w:rPr>
                <w:lang w:val="pt-BR"/>
              </w:rPr>
              <w:t>81,4 (15,5)</w:t>
            </w:r>
          </w:p>
        </w:tc>
        <w:tc>
          <w:tcPr>
            <w:tcW w:w="1221" w:type="pct"/>
            <w:tcBorders>
              <w:top w:val="nil"/>
              <w:left w:val="nil"/>
              <w:bottom w:val="nil"/>
              <w:right w:val="nil"/>
            </w:tcBorders>
          </w:tcPr>
          <w:p w14:paraId="53B5FCEC" w14:textId="1345FE20" w:rsidR="00A01336" w:rsidRPr="005224C3" w:rsidRDefault="00DB7A07" w:rsidP="006466C0">
            <w:pPr>
              <w:pStyle w:val="SemEspaamento"/>
            </w:pPr>
            <w:r w:rsidRPr="005224C3">
              <w:t>-</w:t>
            </w:r>
            <w:r w:rsidR="00CC66A9" w:rsidRPr="005224C3">
              <w:t>15,93</w:t>
            </w:r>
            <w:r w:rsidRPr="005224C3">
              <w:t xml:space="preserve"> </w:t>
            </w:r>
            <w:r w:rsidR="005450BA" w:rsidRPr="005224C3">
              <w:t>(</w:t>
            </w:r>
            <w:r w:rsidRPr="005224C3">
              <w:t>-</w:t>
            </w:r>
            <w:r w:rsidR="00CC66A9" w:rsidRPr="005224C3">
              <w:t>26,56</w:t>
            </w:r>
            <w:r w:rsidRPr="005224C3">
              <w:t>; -5,30</w:t>
            </w:r>
            <w:r w:rsidR="005450BA" w:rsidRPr="005224C3">
              <w:t>)</w:t>
            </w:r>
          </w:p>
        </w:tc>
        <w:tc>
          <w:tcPr>
            <w:tcW w:w="473" w:type="pct"/>
            <w:tcBorders>
              <w:top w:val="nil"/>
              <w:left w:val="nil"/>
              <w:bottom w:val="nil"/>
              <w:right w:val="nil"/>
            </w:tcBorders>
            <w:vAlign w:val="bottom"/>
          </w:tcPr>
          <w:p w14:paraId="29226905" w14:textId="5D2E4911" w:rsidR="00A01336" w:rsidRPr="005224C3" w:rsidRDefault="00A01336" w:rsidP="006466C0">
            <w:pPr>
              <w:pStyle w:val="SemEspaamento"/>
              <w:rPr>
                <w:lang w:val="pt-BR"/>
              </w:rPr>
            </w:pPr>
            <w:r w:rsidRPr="005224C3">
              <w:rPr>
                <w:lang w:val="pt-BR"/>
              </w:rPr>
              <w:t>&lt;0,01</w:t>
            </w:r>
          </w:p>
        </w:tc>
      </w:tr>
      <w:tr w:rsidR="00466A1D" w:rsidRPr="005224C3" w14:paraId="7C99B526" w14:textId="77777777" w:rsidTr="00466A1D">
        <w:trPr>
          <w:trHeight w:val="20"/>
        </w:trPr>
        <w:tc>
          <w:tcPr>
            <w:tcW w:w="1719" w:type="pct"/>
            <w:tcBorders>
              <w:top w:val="nil"/>
              <w:left w:val="nil"/>
              <w:bottom w:val="nil"/>
              <w:right w:val="nil"/>
            </w:tcBorders>
            <w:vAlign w:val="center"/>
          </w:tcPr>
          <w:p w14:paraId="7CCF164A" w14:textId="77777777" w:rsidR="00A01336" w:rsidRPr="005224C3" w:rsidRDefault="00A01336" w:rsidP="006466C0">
            <w:pPr>
              <w:pStyle w:val="SemEspaamento"/>
              <w:rPr>
                <w:lang w:val="pt-BR"/>
              </w:rPr>
            </w:pPr>
            <w:r w:rsidRPr="005224C3">
              <w:rPr>
                <w:lang w:val="pt-BR"/>
              </w:rPr>
              <w:t>VEF1 L, média(</w:t>
            </w:r>
            <w:proofErr w:type="spellStart"/>
            <w:r w:rsidRPr="005224C3">
              <w:rPr>
                <w:lang w:val="pt-BR"/>
              </w:rPr>
              <w:t>dp</w:t>
            </w:r>
            <w:proofErr w:type="spellEnd"/>
            <w:r w:rsidRPr="005224C3">
              <w:rPr>
                <w:lang w:val="pt-BR"/>
              </w:rPr>
              <w:t>)</w:t>
            </w:r>
          </w:p>
        </w:tc>
        <w:tc>
          <w:tcPr>
            <w:tcW w:w="804" w:type="pct"/>
            <w:tcBorders>
              <w:top w:val="nil"/>
              <w:left w:val="nil"/>
              <w:bottom w:val="nil"/>
              <w:right w:val="nil"/>
            </w:tcBorders>
          </w:tcPr>
          <w:p w14:paraId="2F9705A7" w14:textId="77777777" w:rsidR="00A01336" w:rsidRPr="005224C3" w:rsidRDefault="00A01336" w:rsidP="006466C0">
            <w:pPr>
              <w:pStyle w:val="SemEspaamento"/>
              <w:rPr>
                <w:lang w:val="pt-BR"/>
              </w:rPr>
            </w:pPr>
            <w:r w:rsidRPr="005224C3">
              <w:rPr>
                <w:lang w:val="pt-BR"/>
              </w:rPr>
              <w:t>3,4 (0,8)</w:t>
            </w:r>
          </w:p>
        </w:tc>
        <w:tc>
          <w:tcPr>
            <w:tcW w:w="782" w:type="pct"/>
            <w:tcBorders>
              <w:top w:val="nil"/>
              <w:left w:val="nil"/>
              <w:bottom w:val="nil"/>
              <w:right w:val="nil"/>
            </w:tcBorders>
            <w:vAlign w:val="bottom"/>
          </w:tcPr>
          <w:p w14:paraId="4FC09961" w14:textId="77777777" w:rsidR="00A01336" w:rsidRPr="005224C3" w:rsidRDefault="00A01336" w:rsidP="006466C0">
            <w:pPr>
              <w:pStyle w:val="SemEspaamento"/>
              <w:rPr>
                <w:lang w:val="pt-BR"/>
              </w:rPr>
            </w:pPr>
            <w:r w:rsidRPr="005224C3">
              <w:rPr>
                <w:lang w:val="pt-BR"/>
              </w:rPr>
              <w:t>2,4 (0,6)</w:t>
            </w:r>
          </w:p>
        </w:tc>
        <w:tc>
          <w:tcPr>
            <w:tcW w:w="1221" w:type="pct"/>
            <w:tcBorders>
              <w:top w:val="nil"/>
              <w:left w:val="nil"/>
              <w:bottom w:val="nil"/>
              <w:right w:val="nil"/>
            </w:tcBorders>
          </w:tcPr>
          <w:p w14:paraId="3DE4E2E2" w14:textId="585BD827" w:rsidR="00A01336" w:rsidRPr="005224C3" w:rsidRDefault="00DB7A07" w:rsidP="006466C0">
            <w:pPr>
              <w:pStyle w:val="SemEspaamento"/>
            </w:pPr>
            <w:r w:rsidRPr="005224C3">
              <w:t>-</w:t>
            </w:r>
            <w:r w:rsidR="00CC66A9" w:rsidRPr="005224C3">
              <w:t xml:space="preserve">0,97 </w:t>
            </w:r>
            <w:r w:rsidR="005450BA" w:rsidRPr="005224C3">
              <w:t>(</w:t>
            </w:r>
            <w:r w:rsidRPr="005224C3">
              <w:t>-</w:t>
            </w:r>
            <w:r w:rsidR="00CC66A9" w:rsidRPr="005224C3">
              <w:t>1,51</w:t>
            </w:r>
            <w:r w:rsidRPr="005224C3">
              <w:t>; -0,43</w:t>
            </w:r>
            <w:r w:rsidR="005450BA" w:rsidRPr="005224C3">
              <w:t>)</w:t>
            </w:r>
          </w:p>
        </w:tc>
        <w:tc>
          <w:tcPr>
            <w:tcW w:w="473" w:type="pct"/>
            <w:tcBorders>
              <w:top w:val="nil"/>
              <w:left w:val="nil"/>
              <w:bottom w:val="nil"/>
              <w:right w:val="nil"/>
            </w:tcBorders>
            <w:vAlign w:val="bottom"/>
          </w:tcPr>
          <w:p w14:paraId="2AC9038B" w14:textId="07B4CB38" w:rsidR="00A01336" w:rsidRPr="005224C3" w:rsidRDefault="00A01336" w:rsidP="006466C0">
            <w:pPr>
              <w:pStyle w:val="SemEspaamento"/>
              <w:rPr>
                <w:lang w:val="pt-BR"/>
              </w:rPr>
            </w:pPr>
            <w:r w:rsidRPr="005224C3">
              <w:rPr>
                <w:lang w:val="pt-BR"/>
              </w:rPr>
              <w:t>&lt;0,01</w:t>
            </w:r>
          </w:p>
        </w:tc>
      </w:tr>
      <w:tr w:rsidR="00466A1D" w:rsidRPr="005224C3" w14:paraId="0B66FA3D" w14:textId="77777777" w:rsidTr="00466A1D">
        <w:trPr>
          <w:trHeight w:val="20"/>
        </w:trPr>
        <w:tc>
          <w:tcPr>
            <w:tcW w:w="1719" w:type="pct"/>
            <w:tcBorders>
              <w:top w:val="nil"/>
              <w:left w:val="nil"/>
              <w:bottom w:val="nil"/>
              <w:right w:val="nil"/>
            </w:tcBorders>
            <w:vAlign w:val="center"/>
          </w:tcPr>
          <w:p w14:paraId="2FC761DA" w14:textId="77777777" w:rsidR="00A01336" w:rsidRPr="005224C3" w:rsidRDefault="00A01336" w:rsidP="006466C0">
            <w:pPr>
              <w:pStyle w:val="SemEspaamento"/>
              <w:rPr>
                <w:lang w:val="pt-BR"/>
              </w:rPr>
            </w:pPr>
            <w:r w:rsidRPr="005224C3">
              <w:rPr>
                <w:lang w:val="pt-BR"/>
              </w:rPr>
              <w:t>VEF1 (%), média(</w:t>
            </w:r>
            <w:proofErr w:type="spellStart"/>
            <w:r w:rsidRPr="005224C3">
              <w:rPr>
                <w:lang w:val="pt-BR"/>
              </w:rPr>
              <w:t>dp</w:t>
            </w:r>
            <w:proofErr w:type="spellEnd"/>
            <w:r w:rsidRPr="005224C3">
              <w:rPr>
                <w:lang w:val="pt-BR"/>
              </w:rPr>
              <w:t>)</w:t>
            </w:r>
          </w:p>
        </w:tc>
        <w:tc>
          <w:tcPr>
            <w:tcW w:w="804" w:type="pct"/>
            <w:tcBorders>
              <w:top w:val="nil"/>
              <w:left w:val="nil"/>
              <w:bottom w:val="nil"/>
              <w:right w:val="nil"/>
            </w:tcBorders>
          </w:tcPr>
          <w:p w14:paraId="0F01A32B" w14:textId="77777777" w:rsidR="00A01336" w:rsidRPr="005224C3" w:rsidRDefault="00A01336" w:rsidP="006466C0">
            <w:pPr>
              <w:pStyle w:val="SemEspaamento"/>
              <w:rPr>
                <w:lang w:val="pt-BR"/>
              </w:rPr>
            </w:pPr>
            <w:r w:rsidRPr="005224C3">
              <w:rPr>
                <w:lang w:val="pt-BR"/>
              </w:rPr>
              <w:t>97,3 (12,6)</w:t>
            </w:r>
          </w:p>
        </w:tc>
        <w:tc>
          <w:tcPr>
            <w:tcW w:w="782" w:type="pct"/>
            <w:tcBorders>
              <w:top w:val="nil"/>
              <w:left w:val="nil"/>
              <w:bottom w:val="nil"/>
              <w:right w:val="nil"/>
            </w:tcBorders>
            <w:vAlign w:val="bottom"/>
          </w:tcPr>
          <w:p w14:paraId="4CDD5A39" w14:textId="77777777" w:rsidR="00A01336" w:rsidRPr="005224C3" w:rsidRDefault="00A01336" w:rsidP="006466C0">
            <w:pPr>
              <w:pStyle w:val="SemEspaamento"/>
              <w:rPr>
                <w:lang w:val="pt-BR"/>
              </w:rPr>
            </w:pPr>
            <w:r w:rsidRPr="005224C3">
              <w:rPr>
                <w:lang w:val="pt-BR"/>
              </w:rPr>
              <w:t>81,4 (18,2)</w:t>
            </w:r>
          </w:p>
        </w:tc>
        <w:tc>
          <w:tcPr>
            <w:tcW w:w="1221" w:type="pct"/>
            <w:tcBorders>
              <w:top w:val="nil"/>
              <w:left w:val="nil"/>
              <w:bottom w:val="nil"/>
              <w:right w:val="nil"/>
            </w:tcBorders>
          </w:tcPr>
          <w:p w14:paraId="1C10DA28" w14:textId="0FA44BB6" w:rsidR="00A01336" w:rsidRPr="005224C3" w:rsidRDefault="00DB7A07" w:rsidP="006466C0">
            <w:pPr>
              <w:pStyle w:val="SemEspaamento"/>
            </w:pPr>
            <w:r w:rsidRPr="005224C3">
              <w:t>-</w:t>
            </w:r>
            <w:r w:rsidR="00CC66A9" w:rsidRPr="005224C3">
              <w:t xml:space="preserve">15,87 </w:t>
            </w:r>
            <w:r w:rsidR="005450BA" w:rsidRPr="005224C3">
              <w:t>(</w:t>
            </w:r>
            <w:r w:rsidRPr="005224C3">
              <w:t>-</w:t>
            </w:r>
            <w:r w:rsidR="00CC66A9" w:rsidRPr="005224C3">
              <w:t>26,98</w:t>
            </w:r>
            <w:r w:rsidRPr="005224C3">
              <w:t>; -4,77</w:t>
            </w:r>
            <w:r w:rsidR="005450BA" w:rsidRPr="005224C3">
              <w:t>)</w:t>
            </w:r>
          </w:p>
        </w:tc>
        <w:tc>
          <w:tcPr>
            <w:tcW w:w="473" w:type="pct"/>
            <w:tcBorders>
              <w:top w:val="nil"/>
              <w:left w:val="nil"/>
              <w:bottom w:val="nil"/>
              <w:right w:val="nil"/>
            </w:tcBorders>
            <w:vAlign w:val="bottom"/>
          </w:tcPr>
          <w:p w14:paraId="62DB1FFC" w14:textId="10E0D325" w:rsidR="00A01336" w:rsidRPr="005224C3" w:rsidRDefault="00A01336" w:rsidP="006466C0">
            <w:pPr>
              <w:pStyle w:val="SemEspaamento"/>
              <w:rPr>
                <w:lang w:val="pt-BR"/>
              </w:rPr>
            </w:pPr>
            <w:r w:rsidRPr="005224C3">
              <w:rPr>
                <w:lang w:val="pt-BR"/>
              </w:rPr>
              <w:t>0,01</w:t>
            </w:r>
          </w:p>
        </w:tc>
      </w:tr>
      <w:tr w:rsidR="00466A1D" w:rsidRPr="005224C3" w14:paraId="307C8F61" w14:textId="77777777" w:rsidTr="00466A1D">
        <w:trPr>
          <w:trHeight w:val="20"/>
        </w:trPr>
        <w:tc>
          <w:tcPr>
            <w:tcW w:w="1719" w:type="pct"/>
            <w:tcBorders>
              <w:top w:val="nil"/>
              <w:left w:val="nil"/>
              <w:bottom w:val="nil"/>
              <w:right w:val="nil"/>
            </w:tcBorders>
            <w:vAlign w:val="center"/>
          </w:tcPr>
          <w:p w14:paraId="089ABB06" w14:textId="77777777" w:rsidR="00A01336" w:rsidRPr="005224C3" w:rsidRDefault="00A01336" w:rsidP="006466C0">
            <w:pPr>
              <w:pStyle w:val="SemEspaamento"/>
              <w:rPr>
                <w:lang w:val="pt-BR"/>
              </w:rPr>
            </w:pPr>
            <w:r w:rsidRPr="005224C3">
              <w:rPr>
                <w:lang w:val="pt-BR"/>
              </w:rPr>
              <w:t>VEF1/CVF L,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tcPr>
          <w:p w14:paraId="330585E2" w14:textId="77777777" w:rsidR="00A01336" w:rsidRPr="005224C3" w:rsidRDefault="00A01336" w:rsidP="006466C0">
            <w:pPr>
              <w:pStyle w:val="SemEspaamento"/>
              <w:rPr>
                <w:lang w:val="pt-BR"/>
              </w:rPr>
            </w:pPr>
            <w:r w:rsidRPr="005224C3">
              <w:rPr>
                <w:lang w:val="pt-BR"/>
              </w:rPr>
              <w:t>84,5 (4,2)</w:t>
            </w:r>
          </w:p>
        </w:tc>
        <w:tc>
          <w:tcPr>
            <w:tcW w:w="782" w:type="pct"/>
            <w:tcBorders>
              <w:top w:val="nil"/>
              <w:left w:val="nil"/>
              <w:bottom w:val="nil"/>
              <w:right w:val="nil"/>
            </w:tcBorders>
            <w:vAlign w:val="bottom"/>
          </w:tcPr>
          <w:p w14:paraId="75EE0B7C" w14:textId="77777777" w:rsidR="00A01336" w:rsidRPr="005224C3" w:rsidRDefault="00A01336" w:rsidP="006466C0">
            <w:pPr>
              <w:pStyle w:val="SemEspaamento"/>
              <w:rPr>
                <w:lang w:val="pt-BR"/>
              </w:rPr>
            </w:pPr>
            <w:r w:rsidRPr="005224C3">
              <w:rPr>
                <w:lang w:val="pt-BR"/>
              </w:rPr>
              <w:t>84,3 (12,8)</w:t>
            </w:r>
          </w:p>
        </w:tc>
        <w:tc>
          <w:tcPr>
            <w:tcW w:w="1221" w:type="pct"/>
            <w:tcBorders>
              <w:top w:val="nil"/>
              <w:left w:val="nil"/>
              <w:bottom w:val="nil"/>
              <w:right w:val="nil"/>
            </w:tcBorders>
          </w:tcPr>
          <w:p w14:paraId="58FDA08D" w14:textId="6ED7BE14" w:rsidR="00A01336" w:rsidRPr="005224C3" w:rsidRDefault="001F1489" w:rsidP="006466C0">
            <w:pPr>
              <w:pStyle w:val="SemEspaamento"/>
            </w:pPr>
            <w:r w:rsidRPr="005224C3">
              <w:t xml:space="preserve">0,05 </w:t>
            </w:r>
            <w:r w:rsidR="005450BA" w:rsidRPr="005224C3">
              <w:t>(</w:t>
            </w:r>
            <w:r w:rsidRPr="005224C3">
              <w:t>-4,24; 4,34</w:t>
            </w:r>
            <w:r w:rsidR="005450BA" w:rsidRPr="005224C3">
              <w:t>)</w:t>
            </w:r>
          </w:p>
        </w:tc>
        <w:tc>
          <w:tcPr>
            <w:tcW w:w="473" w:type="pct"/>
            <w:tcBorders>
              <w:top w:val="nil"/>
              <w:left w:val="nil"/>
              <w:bottom w:val="nil"/>
              <w:right w:val="nil"/>
            </w:tcBorders>
            <w:vAlign w:val="bottom"/>
          </w:tcPr>
          <w:p w14:paraId="483B92D3" w14:textId="4D8DEE59" w:rsidR="00A01336" w:rsidRPr="005224C3" w:rsidRDefault="00A01336" w:rsidP="006466C0">
            <w:pPr>
              <w:pStyle w:val="SemEspaamento"/>
              <w:rPr>
                <w:lang w:val="pt-BR"/>
              </w:rPr>
            </w:pPr>
            <w:r w:rsidRPr="005224C3">
              <w:rPr>
                <w:lang w:val="pt-BR"/>
              </w:rPr>
              <w:t>0,99</w:t>
            </w:r>
          </w:p>
        </w:tc>
      </w:tr>
      <w:tr w:rsidR="00466A1D" w:rsidRPr="005224C3" w14:paraId="04CE3F91" w14:textId="77777777" w:rsidTr="00466A1D">
        <w:trPr>
          <w:trHeight w:val="20"/>
        </w:trPr>
        <w:tc>
          <w:tcPr>
            <w:tcW w:w="1719" w:type="pct"/>
            <w:tcBorders>
              <w:top w:val="nil"/>
              <w:left w:val="nil"/>
              <w:bottom w:val="nil"/>
              <w:right w:val="nil"/>
            </w:tcBorders>
            <w:vAlign w:val="center"/>
          </w:tcPr>
          <w:p w14:paraId="35955734" w14:textId="77777777" w:rsidR="00A01336" w:rsidRPr="005224C3" w:rsidRDefault="00A01336" w:rsidP="006466C0">
            <w:pPr>
              <w:pStyle w:val="SemEspaamento"/>
              <w:rPr>
                <w:lang w:val="pt-BR"/>
              </w:rPr>
            </w:pPr>
            <w:r w:rsidRPr="005224C3">
              <w:rPr>
                <w:lang w:val="pt-BR"/>
              </w:rPr>
              <w:t>VEF1/CVF (%),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tcPr>
          <w:p w14:paraId="3D3F2D00" w14:textId="77777777" w:rsidR="00A01336" w:rsidRPr="005224C3" w:rsidRDefault="00A01336" w:rsidP="006466C0">
            <w:pPr>
              <w:pStyle w:val="SemEspaamento"/>
              <w:rPr>
                <w:lang w:val="pt-BR"/>
              </w:rPr>
            </w:pPr>
            <w:r w:rsidRPr="005224C3">
              <w:rPr>
                <w:lang w:val="pt-BR"/>
              </w:rPr>
              <w:t>101,0 (8,0)</w:t>
            </w:r>
          </w:p>
        </w:tc>
        <w:tc>
          <w:tcPr>
            <w:tcW w:w="782" w:type="pct"/>
            <w:tcBorders>
              <w:top w:val="nil"/>
              <w:left w:val="nil"/>
              <w:bottom w:val="nil"/>
              <w:right w:val="nil"/>
            </w:tcBorders>
            <w:vAlign w:val="bottom"/>
          </w:tcPr>
          <w:p w14:paraId="3BAE1AF0" w14:textId="77777777" w:rsidR="00A01336" w:rsidRPr="005224C3" w:rsidRDefault="00A01336" w:rsidP="006466C0">
            <w:pPr>
              <w:pStyle w:val="SemEspaamento"/>
              <w:rPr>
                <w:lang w:val="pt-BR"/>
              </w:rPr>
            </w:pPr>
            <w:r w:rsidRPr="005224C3">
              <w:rPr>
                <w:lang w:val="pt-BR"/>
              </w:rPr>
              <w:t>101,0 (8,0)</w:t>
            </w:r>
          </w:p>
        </w:tc>
        <w:tc>
          <w:tcPr>
            <w:tcW w:w="1221" w:type="pct"/>
            <w:tcBorders>
              <w:top w:val="nil"/>
              <w:left w:val="nil"/>
              <w:bottom w:val="nil"/>
              <w:right w:val="nil"/>
            </w:tcBorders>
          </w:tcPr>
          <w:p w14:paraId="00DD7BA0" w14:textId="602221F6" w:rsidR="00A01336" w:rsidRPr="005224C3" w:rsidRDefault="001F1489" w:rsidP="006466C0">
            <w:pPr>
              <w:pStyle w:val="SemEspaamento"/>
            </w:pPr>
            <w:r w:rsidRPr="005224C3">
              <w:t xml:space="preserve">0,0 </w:t>
            </w:r>
            <w:r w:rsidR="005450BA" w:rsidRPr="005224C3">
              <w:t>(</w:t>
            </w:r>
            <w:r w:rsidRPr="005224C3">
              <w:t>-3,97; 3,97</w:t>
            </w:r>
            <w:r w:rsidR="005450BA" w:rsidRPr="005224C3">
              <w:t>)</w:t>
            </w:r>
          </w:p>
        </w:tc>
        <w:tc>
          <w:tcPr>
            <w:tcW w:w="473" w:type="pct"/>
            <w:tcBorders>
              <w:top w:val="nil"/>
              <w:left w:val="nil"/>
              <w:bottom w:val="nil"/>
              <w:right w:val="nil"/>
            </w:tcBorders>
            <w:vAlign w:val="bottom"/>
          </w:tcPr>
          <w:p w14:paraId="214C3D09" w14:textId="06E45817" w:rsidR="00A01336" w:rsidRPr="005224C3" w:rsidRDefault="00A01336" w:rsidP="006466C0">
            <w:pPr>
              <w:pStyle w:val="SemEspaamento"/>
              <w:rPr>
                <w:lang w:val="pt-BR"/>
              </w:rPr>
            </w:pPr>
            <w:r w:rsidRPr="005224C3">
              <w:rPr>
                <w:lang w:val="pt-BR"/>
              </w:rPr>
              <w:t>0,</w:t>
            </w:r>
            <w:r w:rsidR="001F1489" w:rsidRPr="005224C3">
              <w:rPr>
                <w:lang w:val="pt-BR"/>
              </w:rPr>
              <w:t>99</w:t>
            </w:r>
          </w:p>
        </w:tc>
      </w:tr>
      <w:tr w:rsidR="00466A1D" w:rsidRPr="005224C3" w14:paraId="52E237B9" w14:textId="77777777" w:rsidTr="00466A1D">
        <w:trPr>
          <w:trHeight w:val="20"/>
        </w:trPr>
        <w:tc>
          <w:tcPr>
            <w:tcW w:w="1719" w:type="pct"/>
            <w:tcBorders>
              <w:top w:val="nil"/>
              <w:left w:val="nil"/>
              <w:bottom w:val="nil"/>
              <w:right w:val="nil"/>
            </w:tcBorders>
            <w:vAlign w:val="center"/>
          </w:tcPr>
          <w:p w14:paraId="7769411D" w14:textId="77777777" w:rsidR="00A01336" w:rsidRPr="005224C3" w:rsidRDefault="00A01336" w:rsidP="006466C0">
            <w:pPr>
              <w:pStyle w:val="SemEspaamento"/>
              <w:rPr>
                <w:lang w:val="pt-BR"/>
              </w:rPr>
            </w:pPr>
            <w:r w:rsidRPr="005224C3">
              <w:rPr>
                <w:lang w:val="pt-BR"/>
              </w:rPr>
              <w:t>PFE L, média(</w:t>
            </w:r>
            <w:proofErr w:type="spellStart"/>
            <w:r w:rsidRPr="005224C3">
              <w:rPr>
                <w:lang w:val="pt-BR"/>
              </w:rPr>
              <w:t>dp</w:t>
            </w:r>
            <w:proofErr w:type="spellEnd"/>
            <w:r w:rsidRPr="005224C3">
              <w:rPr>
                <w:lang w:val="pt-BR"/>
              </w:rPr>
              <w:t>)</w:t>
            </w:r>
          </w:p>
        </w:tc>
        <w:tc>
          <w:tcPr>
            <w:tcW w:w="804" w:type="pct"/>
            <w:tcBorders>
              <w:top w:val="nil"/>
              <w:left w:val="nil"/>
              <w:bottom w:val="nil"/>
              <w:right w:val="nil"/>
            </w:tcBorders>
          </w:tcPr>
          <w:p w14:paraId="1BF3F285" w14:textId="77777777" w:rsidR="00A01336" w:rsidRPr="005224C3" w:rsidRDefault="00A01336" w:rsidP="006466C0">
            <w:pPr>
              <w:pStyle w:val="SemEspaamento"/>
              <w:rPr>
                <w:lang w:val="pt-BR"/>
              </w:rPr>
            </w:pPr>
            <w:r w:rsidRPr="005224C3">
              <w:rPr>
                <w:lang w:val="pt-BR"/>
              </w:rPr>
              <w:t>6,7 (3,8)</w:t>
            </w:r>
          </w:p>
        </w:tc>
        <w:tc>
          <w:tcPr>
            <w:tcW w:w="782" w:type="pct"/>
            <w:tcBorders>
              <w:top w:val="nil"/>
              <w:left w:val="nil"/>
              <w:bottom w:val="nil"/>
              <w:right w:val="nil"/>
            </w:tcBorders>
            <w:vAlign w:val="bottom"/>
          </w:tcPr>
          <w:p w14:paraId="78AB8AE4" w14:textId="77777777" w:rsidR="00A01336" w:rsidRPr="005224C3" w:rsidRDefault="00A01336" w:rsidP="006466C0">
            <w:pPr>
              <w:pStyle w:val="SemEspaamento"/>
              <w:rPr>
                <w:lang w:val="pt-BR"/>
              </w:rPr>
            </w:pPr>
            <w:r w:rsidRPr="005224C3">
              <w:rPr>
                <w:lang w:val="pt-BR"/>
              </w:rPr>
              <w:t>5,1 (1,4)</w:t>
            </w:r>
          </w:p>
        </w:tc>
        <w:tc>
          <w:tcPr>
            <w:tcW w:w="1221" w:type="pct"/>
            <w:tcBorders>
              <w:top w:val="nil"/>
              <w:left w:val="nil"/>
              <w:bottom w:val="nil"/>
              <w:right w:val="nil"/>
            </w:tcBorders>
          </w:tcPr>
          <w:p w14:paraId="5FA593F2" w14:textId="2A7CBB29" w:rsidR="00A01336" w:rsidRPr="005224C3" w:rsidRDefault="00DB7A07" w:rsidP="006466C0">
            <w:pPr>
              <w:pStyle w:val="SemEspaamento"/>
            </w:pPr>
            <w:r w:rsidRPr="005224C3">
              <w:t>-</w:t>
            </w:r>
            <w:r w:rsidR="00CC66A9" w:rsidRPr="005224C3">
              <w:t>2,06</w:t>
            </w:r>
            <w:r w:rsidRPr="005224C3">
              <w:t xml:space="preserve"> </w:t>
            </w:r>
            <w:r w:rsidR="005450BA" w:rsidRPr="005224C3">
              <w:t>(</w:t>
            </w:r>
            <w:r w:rsidRPr="005224C3">
              <w:t>-</w:t>
            </w:r>
            <w:r w:rsidR="00CC66A9" w:rsidRPr="005224C3">
              <w:t>3,63</w:t>
            </w:r>
            <w:r w:rsidRPr="005224C3">
              <w:t>; -0,49</w:t>
            </w:r>
            <w:r w:rsidR="005450BA" w:rsidRPr="005224C3">
              <w:t>)</w:t>
            </w:r>
          </w:p>
        </w:tc>
        <w:tc>
          <w:tcPr>
            <w:tcW w:w="473" w:type="pct"/>
            <w:tcBorders>
              <w:top w:val="nil"/>
              <w:left w:val="nil"/>
              <w:bottom w:val="nil"/>
              <w:right w:val="nil"/>
            </w:tcBorders>
            <w:vAlign w:val="bottom"/>
          </w:tcPr>
          <w:p w14:paraId="67FC3DF8" w14:textId="4BDC5B40" w:rsidR="00A01336" w:rsidRPr="005224C3" w:rsidRDefault="00A01336" w:rsidP="006466C0">
            <w:pPr>
              <w:pStyle w:val="SemEspaamento"/>
              <w:rPr>
                <w:lang w:val="pt-BR"/>
              </w:rPr>
            </w:pPr>
            <w:r w:rsidRPr="005224C3">
              <w:rPr>
                <w:lang w:val="pt-BR"/>
              </w:rPr>
              <w:t>&lt;0,01</w:t>
            </w:r>
          </w:p>
        </w:tc>
      </w:tr>
      <w:tr w:rsidR="00466A1D" w:rsidRPr="005224C3" w14:paraId="24B6B4CC" w14:textId="77777777" w:rsidTr="00466A1D">
        <w:trPr>
          <w:trHeight w:val="20"/>
        </w:trPr>
        <w:tc>
          <w:tcPr>
            <w:tcW w:w="1719" w:type="pct"/>
            <w:tcBorders>
              <w:top w:val="nil"/>
              <w:left w:val="nil"/>
              <w:bottom w:val="nil"/>
              <w:right w:val="nil"/>
            </w:tcBorders>
            <w:vAlign w:val="center"/>
          </w:tcPr>
          <w:p w14:paraId="4B808BDF" w14:textId="77777777" w:rsidR="00A01336" w:rsidRPr="005224C3" w:rsidRDefault="00A01336" w:rsidP="006466C0">
            <w:pPr>
              <w:pStyle w:val="SemEspaamento"/>
              <w:rPr>
                <w:lang w:val="pt-BR"/>
              </w:rPr>
            </w:pPr>
            <w:r w:rsidRPr="005224C3">
              <w:rPr>
                <w:lang w:val="pt-BR"/>
              </w:rPr>
              <w:t>PFE (%), média(</w:t>
            </w:r>
            <w:proofErr w:type="spellStart"/>
            <w:r w:rsidRPr="005224C3">
              <w:rPr>
                <w:lang w:val="pt-BR"/>
              </w:rPr>
              <w:t>dp</w:t>
            </w:r>
            <w:proofErr w:type="spellEnd"/>
            <w:r w:rsidRPr="005224C3">
              <w:rPr>
                <w:lang w:val="pt-BR"/>
              </w:rPr>
              <w:t>)</w:t>
            </w:r>
          </w:p>
        </w:tc>
        <w:tc>
          <w:tcPr>
            <w:tcW w:w="804" w:type="pct"/>
            <w:tcBorders>
              <w:top w:val="nil"/>
              <w:left w:val="nil"/>
              <w:bottom w:val="nil"/>
              <w:right w:val="nil"/>
            </w:tcBorders>
          </w:tcPr>
          <w:p w14:paraId="1D82D7C9" w14:textId="77777777" w:rsidR="00A01336" w:rsidRPr="005224C3" w:rsidRDefault="00A01336" w:rsidP="006466C0">
            <w:pPr>
              <w:pStyle w:val="SemEspaamento"/>
              <w:rPr>
                <w:lang w:val="pt-BR"/>
              </w:rPr>
            </w:pPr>
            <w:r w:rsidRPr="005224C3">
              <w:rPr>
                <w:lang w:val="pt-BR"/>
              </w:rPr>
              <w:t>86,1 (7,6)</w:t>
            </w:r>
          </w:p>
        </w:tc>
        <w:tc>
          <w:tcPr>
            <w:tcW w:w="782" w:type="pct"/>
            <w:tcBorders>
              <w:top w:val="nil"/>
              <w:left w:val="nil"/>
              <w:bottom w:val="nil"/>
              <w:right w:val="nil"/>
            </w:tcBorders>
            <w:vAlign w:val="bottom"/>
          </w:tcPr>
          <w:p w14:paraId="3F9CF178" w14:textId="77777777" w:rsidR="00A01336" w:rsidRPr="005224C3" w:rsidRDefault="00A01336" w:rsidP="006466C0">
            <w:pPr>
              <w:pStyle w:val="SemEspaamento"/>
              <w:rPr>
                <w:lang w:val="pt-BR"/>
              </w:rPr>
            </w:pPr>
            <w:r w:rsidRPr="005224C3">
              <w:rPr>
                <w:lang w:val="pt-BR"/>
              </w:rPr>
              <w:t>64,2 (16,3)</w:t>
            </w:r>
          </w:p>
        </w:tc>
        <w:tc>
          <w:tcPr>
            <w:tcW w:w="1221" w:type="pct"/>
            <w:tcBorders>
              <w:top w:val="nil"/>
              <w:left w:val="nil"/>
              <w:bottom w:val="nil"/>
              <w:right w:val="nil"/>
            </w:tcBorders>
          </w:tcPr>
          <w:p w14:paraId="4B1B832C" w14:textId="353AAB17" w:rsidR="00A01336" w:rsidRPr="005224C3" w:rsidRDefault="00DB7A07" w:rsidP="006466C0">
            <w:pPr>
              <w:pStyle w:val="SemEspaamento"/>
            </w:pPr>
            <w:r w:rsidRPr="005224C3">
              <w:t>-</w:t>
            </w:r>
            <w:r w:rsidR="00CC66A9" w:rsidRPr="005224C3">
              <w:t>21,89</w:t>
            </w:r>
            <w:r w:rsidRPr="005224C3">
              <w:t xml:space="preserve"> </w:t>
            </w:r>
            <w:r w:rsidR="005450BA" w:rsidRPr="005224C3">
              <w:t>(</w:t>
            </w:r>
            <w:r w:rsidRPr="005224C3">
              <w:t>-</w:t>
            </w:r>
            <w:r w:rsidR="00CC66A9" w:rsidRPr="005224C3">
              <w:t>30,65</w:t>
            </w:r>
            <w:r w:rsidRPr="005224C3">
              <w:t>; -13,14</w:t>
            </w:r>
            <w:r w:rsidR="005450BA" w:rsidRPr="005224C3">
              <w:t>)</w:t>
            </w:r>
          </w:p>
        </w:tc>
        <w:tc>
          <w:tcPr>
            <w:tcW w:w="473" w:type="pct"/>
            <w:tcBorders>
              <w:top w:val="nil"/>
              <w:left w:val="nil"/>
              <w:bottom w:val="nil"/>
              <w:right w:val="nil"/>
            </w:tcBorders>
            <w:vAlign w:val="bottom"/>
          </w:tcPr>
          <w:p w14:paraId="02E84BF5" w14:textId="6E298D38" w:rsidR="00A01336" w:rsidRPr="005224C3" w:rsidRDefault="00A01336" w:rsidP="006466C0">
            <w:pPr>
              <w:pStyle w:val="SemEspaamento"/>
              <w:rPr>
                <w:lang w:val="pt-BR"/>
              </w:rPr>
            </w:pPr>
            <w:r w:rsidRPr="005224C3">
              <w:rPr>
                <w:lang w:val="pt-BR"/>
              </w:rPr>
              <w:t>&lt;0,01</w:t>
            </w:r>
          </w:p>
        </w:tc>
      </w:tr>
      <w:tr w:rsidR="00466A1D" w:rsidRPr="005224C3" w14:paraId="145CD500" w14:textId="77777777" w:rsidTr="00466A1D">
        <w:trPr>
          <w:trHeight w:val="20"/>
        </w:trPr>
        <w:tc>
          <w:tcPr>
            <w:tcW w:w="1719" w:type="pct"/>
            <w:tcBorders>
              <w:top w:val="nil"/>
              <w:left w:val="nil"/>
              <w:bottom w:val="nil"/>
              <w:right w:val="nil"/>
            </w:tcBorders>
            <w:vAlign w:val="center"/>
          </w:tcPr>
          <w:p w14:paraId="1042B1D5" w14:textId="77777777" w:rsidR="00A01336" w:rsidRPr="005224C3" w:rsidRDefault="00A01336" w:rsidP="006466C0">
            <w:pPr>
              <w:pStyle w:val="SemEspaamento"/>
              <w:rPr>
                <w:lang w:val="pt-BR"/>
              </w:rPr>
            </w:pPr>
            <w:r w:rsidRPr="005224C3">
              <w:rPr>
                <w:lang w:val="pt-BR"/>
              </w:rPr>
              <w:t>PI máx.,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tcPr>
          <w:p w14:paraId="69ACF9F0" w14:textId="77777777" w:rsidR="00A01336" w:rsidRPr="005224C3" w:rsidRDefault="00A01336" w:rsidP="006466C0">
            <w:pPr>
              <w:pStyle w:val="SemEspaamento"/>
              <w:rPr>
                <w:lang w:val="pt-BR"/>
              </w:rPr>
            </w:pPr>
            <w:r w:rsidRPr="005224C3">
              <w:rPr>
                <w:lang w:val="pt-BR"/>
              </w:rPr>
              <w:t>101,4 (39,7)</w:t>
            </w:r>
          </w:p>
        </w:tc>
        <w:tc>
          <w:tcPr>
            <w:tcW w:w="782" w:type="pct"/>
            <w:tcBorders>
              <w:top w:val="nil"/>
              <w:left w:val="nil"/>
              <w:bottom w:val="nil"/>
              <w:right w:val="nil"/>
            </w:tcBorders>
            <w:vAlign w:val="bottom"/>
          </w:tcPr>
          <w:p w14:paraId="2BFD69EB" w14:textId="77777777" w:rsidR="00A01336" w:rsidRPr="005224C3" w:rsidRDefault="00A01336" w:rsidP="006466C0">
            <w:pPr>
              <w:pStyle w:val="SemEspaamento"/>
              <w:rPr>
                <w:lang w:val="pt-BR"/>
              </w:rPr>
            </w:pPr>
            <w:r w:rsidRPr="005224C3">
              <w:rPr>
                <w:lang w:val="pt-BR"/>
              </w:rPr>
              <w:t>92,4 (15,7)</w:t>
            </w:r>
          </w:p>
        </w:tc>
        <w:tc>
          <w:tcPr>
            <w:tcW w:w="1221" w:type="pct"/>
            <w:tcBorders>
              <w:top w:val="nil"/>
              <w:left w:val="nil"/>
              <w:bottom w:val="nil"/>
              <w:right w:val="nil"/>
            </w:tcBorders>
          </w:tcPr>
          <w:p w14:paraId="5878E227" w14:textId="07727E90" w:rsidR="00A01336" w:rsidRPr="005224C3" w:rsidRDefault="001F1489" w:rsidP="006466C0">
            <w:pPr>
              <w:pStyle w:val="SemEspaamento"/>
            </w:pPr>
            <w:r w:rsidRPr="005224C3">
              <w:t>-4,65</w:t>
            </w:r>
            <w:r w:rsidR="00466A1D" w:rsidRPr="005224C3">
              <w:t xml:space="preserve"> </w:t>
            </w:r>
            <w:r w:rsidR="005450BA" w:rsidRPr="005224C3">
              <w:t>(</w:t>
            </w:r>
            <w:r w:rsidRPr="005224C3">
              <w:t>-15,65; 6,36</w:t>
            </w:r>
            <w:r w:rsidR="005450BA" w:rsidRPr="005224C3">
              <w:t>)</w:t>
            </w:r>
          </w:p>
        </w:tc>
        <w:tc>
          <w:tcPr>
            <w:tcW w:w="473" w:type="pct"/>
            <w:tcBorders>
              <w:top w:val="nil"/>
              <w:left w:val="nil"/>
              <w:bottom w:val="nil"/>
              <w:right w:val="nil"/>
            </w:tcBorders>
            <w:vAlign w:val="bottom"/>
          </w:tcPr>
          <w:p w14:paraId="33D52E45" w14:textId="01141631" w:rsidR="00A01336" w:rsidRPr="005224C3" w:rsidRDefault="00A01336" w:rsidP="006466C0">
            <w:pPr>
              <w:pStyle w:val="SemEspaamento"/>
              <w:rPr>
                <w:lang w:val="pt-BR"/>
              </w:rPr>
            </w:pPr>
            <w:r w:rsidRPr="005224C3">
              <w:rPr>
                <w:lang w:val="pt-BR"/>
              </w:rPr>
              <w:t>0,</w:t>
            </w:r>
            <w:r w:rsidR="001F1489" w:rsidRPr="005224C3">
              <w:rPr>
                <w:lang w:val="pt-BR"/>
              </w:rPr>
              <w:t>39</w:t>
            </w:r>
          </w:p>
        </w:tc>
      </w:tr>
      <w:tr w:rsidR="00466A1D" w:rsidRPr="005224C3" w14:paraId="3327A326" w14:textId="77777777" w:rsidTr="00466A1D">
        <w:trPr>
          <w:trHeight w:val="20"/>
        </w:trPr>
        <w:tc>
          <w:tcPr>
            <w:tcW w:w="1719" w:type="pct"/>
            <w:tcBorders>
              <w:top w:val="nil"/>
              <w:left w:val="nil"/>
              <w:bottom w:val="nil"/>
              <w:right w:val="nil"/>
            </w:tcBorders>
            <w:vAlign w:val="center"/>
          </w:tcPr>
          <w:p w14:paraId="486422DD" w14:textId="77777777" w:rsidR="00A01336" w:rsidRPr="005224C3" w:rsidRDefault="00A01336" w:rsidP="006466C0">
            <w:pPr>
              <w:pStyle w:val="SemEspaamento"/>
              <w:rPr>
                <w:lang w:val="pt-BR"/>
              </w:rPr>
            </w:pPr>
            <w:r w:rsidRPr="005224C3">
              <w:rPr>
                <w:lang w:val="pt-BR"/>
              </w:rPr>
              <w:t>Li PI máx.,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tcPr>
          <w:p w14:paraId="449A4529" w14:textId="77777777" w:rsidR="00A01336" w:rsidRPr="005224C3" w:rsidRDefault="00A01336" w:rsidP="006466C0">
            <w:pPr>
              <w:pStyle w:val="SemEspaamento"/>
              <w:rPr>
                <w:lang w:val="pt-BR"/>
              </w:rPr>
            </w:pPr>
            <w:r w:rsidRPr="005224C3">
              <w:rPr>
                <w:lang w:val="pt-BR"/>
              </w:rPr>
              <w:t>86,5 (27,2)</w:t>
            </w:r>
          </w:p>
        </w:tc>
        <w:tc>
          <w:tcPr>
            <w:tcW w:w="782" w:type="pct"/>
            <w:tcBorders>
              <w:top w:val="nil"/>
              <w:left w:val="nil"/>
              <w:bottom w:val="nil"/>
              <w:right w:val="nil"/>
            </w:tcBorders>
            <w:vAlign w:val="bottom"/>
          </w:tcPr>
          <w:p w14:paraId="6D5C1DAB" w14:textId="77777777" w:rsidR="00A01336" w:rsidRPr="005224C3" w:rsidRDefault="00A01336" w:rsidP="006466C0">
            <w:pPr>
              <w:pStyle w:val="SemEspaamento"/>
              <w:rPr>
                <w:lang w:val="pt-BR"/>
              </w:rPr>
            </w:pPr>
            <w:r w:rsidRPr="005224C3">
              <w:rPr>
                <w:lang w:val="pt-BR"/>
              </w:rPr>
              <w:t>77,5 (14,2)</w:t>
            </w:r>
          </w:p>
        </w:tc>
        <w:tc>
          <w:tcPr>
            <w:tcW w:w="1221" w:type="pct"/>
            <w:tcBorders>
              <w:top w:val="nil"/>
              <w:left w:val="nil"/>
              <w:bottom w:val="nil"/>
              <w:right w:val="nil"/>
            </w:tcBorders>
          </w:tcPr>
          <w:p w14:paraId="0BED300E" w14:textId="6CEEC8C1" w:rsidR="00A01336" w:rsidRPr="005224C3" w:rsidRDefault="001F1489" w:rsidP="006466C0">
            <w:pPr>
              <w:pStyle w:val="SemEspaamento"/>
            </w:pPr>
            <w:r w:rsidRPr="005224C3">
              <w:t xml:space="preserve">-4,6 </w:t>
            </w:r>
            <w:r w:rsidR="005450BA" w:rsidRPr="005224C3">
              <w:t>(</w:t>
            </w:r>
            <w:r w:rsidRPr="005224C3">
              <w:t>-12,09; 2,78</w:t>
            </w:r>
            <w:r w:rsidR="005450BA" w:rsidRPr="005224C3">
              <w:t>)</w:t>
            </w:r>
          </w:p>
        </w:tc>
        <w:tc>
          <w:tcPr>
            <w:tcW w:w="473" w:type="pct"/>
            <w:tcBorders>
              <w:top w:val="nil"/>
              <w:left w:val="nil"/>
              <w:bottom w:val="nil"/>
              <w:right w:val="nil"/>
            </w:tcBorders>
            <w:vAlign w:val="bottom"/>
          </w:tcPr>
          <w:p w14:paraId="01EB18EB" w14:textId="03830945" w:rsidR="00A01336" w:rsidRPr="005224C3" w:rsidRDefault="00A01336" w:rsidP="006466C0">
            <w:pPr>
              <w:pStyle w:val="SemEspaamento"/>
              <w:rPr>
                <w:lang w:val="pt-BR"/>
              </w:rPr>
            </w:pPr>
            <w:r w:rsidRPr="005224C3">
              <w:rPr>
                <w:lang w:val="pt-BR"/>
              </w:rPr>
              <w:t>0,</w:t>
            </w:r>
            <w:r w:rsidR="001F1489" w:rsidRPr="005224C3">
              <w:rPr>
                <w:lang w:val="pt-BR"/>
              </w:rPr>
              <w:t>21</w:t>
            </w:r>
          </w:p>
        </w:tc>
      </w:tr>
      <w:tr w:rsidR="00466A1D" w:rsidRPr="005224C3" w14:paraId="1B8BC89E" w14:textId="77777777" w:rsidTr="008266AD">
        <w:trPr>
          <w:trHeight w:val="20"/>
        </w:trPr>
        <w:tc>
          <w:tcPr>
            <w:tcW w:w="1719" w:type="pct"/>
            <w:tcBorders>
              <w:top w:val="nil"/>
              <w:left w:val="nil"/>
              <w:bottom w:val="nil"/>
              <w:right w:val="nil"/>
            </w:tcBorders>
            <w:shd w:val="clear" w:color="auto" w:fill="auto"/>
            <w:vAlign w:val="center"/>
          </w:tcPr>
          <w:p w14:paraId="44F48656" w14:textId="77777777" w:rsidR="00A01336" w:rsidRPr="005224C3" w:rsidRDefault="00A01336" w:rsidP="006466C0">
            <w:pPr>
              <w:pStyle w:val="SemEspaamento"/>
              <w:rPr>
                <w:lang w:val="pt-BR"/>
              </w:rPr>
            </w:pPr>
            <w:r w:rsidRPr="005224C3">
              <w:t xml:space="preserve">PE, </w:t>
            </w:r>
            <w:proofErr w:type="spellStart"/>
            <w:r w:rsidRPr="005224C3">
              <w:t>mediana</w:t>
            </w:r>
            <w:proofErr w:type="spellEnd"/>
            <w:r w:rsidRPr="005224C3">
              <w:t>(</w:t>
            </w:r>
            <w:proofErr w:type="spellStart"/>
            <w:r w:rsidRPr="005224C3">
              <w:t>iqr</w:t>
            </w:r>
            <w:proofErr w:type="spellEnd"/>
            <w:r w:rsidRPr="005224C3">
              <w:t>)</w:t>
            </w:r>
          </w:p>
        </w:tc>
        <w:tc>
          <w:tcPr>
            <w:tcW w:w="804" w:type="pct"/>
            <w:tcBorders>
              <w:top w:val="nil"/>
              <w:left w:val="nil"/>
              <w:bottom w:val="nil"/>
              <w:right w:val="nil"/>
            </w:tcBorders>
            <w:shd w:val="clear" w:color="auto" w:fill="auto"/>
          </w:tcPr>
          <w:p w14:paraId="73D2702C" w14:textId="77777777" w:rsidR="00A01336" w:rsidRPr="005224C3" w:rsidRDefault="00A01336" w:rsidP="006466C0">
            <w:pPr>
              <w:pStyle w:val="SemEspaamento"/>
              <w:rPr>
                <w:lang w:val="pt-BR"/>
              </w:rPr>
            </w:pPr>
            <w:r w:rsidRPr="005224C3">
              <w:t>112,1 (26,5)</w:t>
            </w:r>
          </w:p>
        </w:tc>
        <w:tc>
          <w:tcPr>
            <w:tcW w:w="782" w:type="pct"/>
            <w:tcBorders>
              <w:top w:val="nil"/>
              <w:left w:val="nil"/>
              <w:bottom w:val="nil"/>
              <w:right w:val="nil"/>
            </w:tcBorders>
            <w:shd w:val="clear" w:color="auto" w:fill="auto"/>
            <w:vAlign w:val="bottom"/>
          </w:tcPr>
          <w:p w14:paraId="6B264D81" w14:textId="77777777" w:rsidR="00A01336" w:rsidRPr="005224C3" w:rsidRDefault="00A01336" w:rsidP="006466C0">
            <w:pPr>
              <w:pStyle w:val="SemEspaamento"/>
              <w:rPr>
                <w:lang w:val="pt-BR"/>
              </w:rPr>
            </w:pPr>
            <w:r w:rsidRPr="005224C3">
              <w:t>81,0 (30,8)</w:t>
            </w:r>
          </w:p>
        </w:tc>
        <w:tc>
          <w:tcPr>
            <w:tcW w:w="1221" w:type="pct"/>
            <w:tcBorders>
              <w:top w:val="nil"/>
              <w:left w:val="nil"/>
              <w:bottom w:val="nil"/>
              <w:right w:val="nil"/>
            </w:tcBorders>
            <w:shd w:val="clear" w:color="auto" w:fill="auto"/>
          </w:tcPr>
          <w:p w14:paraId="4249FB4F" w14:textId="38A779F8" w:rsidR="00A01336" w:rsidRPr="005224C3" w:rsidRDefault="00D2047A" w:rsidP="006466C0">
            <w:pPr>
              <w:pStyle w:val="SemEspaamento"/>
            </w:pPr>
            <w:r w:rsidRPr="005224C3">
              <w:t>-10,0</w:t>
            </w:r>
            <w:r w:rsidR="00DB7A07" w:rsidRPr="005224C3">
              <w:t xml:space="preserve"> </w:t>
            </w:r>
            <w:r w:rsidR="005450BA" w:rsidRPr="005224C3">
              <w:t>(</w:t>
            </w:r>
            <w:r w:rsidRPr="005224C3">
              <w:t xml:space="preserve">-29,79; </w:t>
            </w:r>
            <w:r w:rsidR="00466A1D" w:rsidRPr="005224C3">
              <w:t>-</w:t>
            </w:r>
            <w:r w:rsidRPr="005224C3">
              <w:t>9,79</w:t>
            </w:r>
            <w:r w:rsidR="005450BA" w:rsidRPr="005224C3">
              <w:t>)</w:t>
            </w:r>
          </w:p>
        </w:tc>
        <w:tc>
          <w:tcPr>
            <w:tcW w:w="473" w:type="pct"/>
            <w:tcBorders>
              <w:top w:val="nil"/>
              <w:left w:val="nil"/>
              <w:bottom w:val="nil"/>
              <w:right w:val="nil"/>
            </w:tcBorders>
            <w:shd w:val="clear" w:color="auto" w:fill="auto"/>
            <w:vAlign w:val="bottom"/>
          </w:tcPr>
          <w:p w14:paraId="37784214" w14:textId="1A7980AC" w:rsidR="00A01336" w:rsidRPr="005224C3" w:rsidRDefault="00A01336" w:rsidP="006466C0">
            <w:pPr>
              <w:pStyle w:val="SemEspaamento"/>
              <w:rPr>
                <w:lang w:val="pt-BR"/>
              </w:rPr>
            </w:pPr>
            <w:r w:rsidRPr="005224C3">
              <w:t>&lt;0,01</w:t>
            </w:r>
          </w:p>
        </w:tc>
      </w:tr>
      <w:tr w:rsidR="00466A1D" w:rsidRPr="005224C3" w14:paraId="4C43A219" w14:textId="77777777" w:rsidTr="008266AD">
        <w:trPr>
          <w:trHeight w:val="20"/>
        </w:trPr>
        <w:tc>
          <w:tcPr>
            <w:tcW w:w="1719" w:type="pct"/>
            <w:tcBorders>
              <w:top w:val="nil"/>
              <w:left w:val="nil"/>
              <w:bottom w:val="nil"/>
              <w:right w:val="nil"/>
            </w:tcBorders>
            <w:shd w:val="clear" w:color="auto" w:fill="auto"/>
            <w:vAlign w:val="center"/>
          </w:tcPr>
          <w:p w14:paraId="5C9C1696" w14:textId="77777777" w:rsidR="00A01336" w:rsidRPr="005224C3" w:rsidRDefault="00A01336" w:rsidP="006466C0">
            <w:pPr>
              <w:pStyle w:val="SemEspaamento"/>
              <w:rPr>
                <w:lang w:val="pt-BR"/>
              </w:rPr>
            </w:pPr>
            <w:bookmarkStart w:id="3" w:name="_Hlk185527541"/>
            <w:r w:rsidRPr="005224C3">
              <w:rPr>
                <w:lang w:val="pt-BR"/>
              </w:rPr>
              <w:t>Li PE máx., média(</w:t>
            </w:r>
            <w:proofErr w:type="spellStart"/>
            <w:r w:rsidRPr="005224C3">
              <w:rPr>
                <w:lang w:val="pt-BR"/>
              </w:rPr>
              <w:t>dp</w:t>
            </w:r>
            <w:proofErr w:type="spellEnd"/>
            <w:r w:rsidRPr="005224C3">
              <w:rPr>
                <w:lang w:val="pt-BR"/>
              </w:rPr>
              <w:t>)</w:t>
            </w:r>
          </w:p>
        </w:tc>
        <w:tc>
          <w:tcPr>
            <w:tcW w:w="804" w:type="pct"/>
            <w:tcBorders>
              <w:top w:val="nil"/>
              <w:left w:val="nil"/>
              <w:bottom w:val="nil"/>
              <w:right w:val="nil"/>
            </w:tcBorders>
            <w:shd w:val="clear" w:color="auto" w:fill="auto"/>
          </w:tcPr>
          <w:p w14:paraId="6B1B5361" w14:textId="77777777" w:rsidR="00A01336" w:rsidRPr="005224C3" w:rsidRDefault="00A01336" w:rsidP="006466C0">
            <w:pPr>
              <w:pStyle w:val="SemEspaamento"/>
              <w:rPr>
                <w:lang w:val="pt-BR"/>
              </w:rPr>
            </w:pPr>
            <w:r w:rsidRPr="005224C3">
              <w:t>90,3 (24,7)</w:t>
            </w:r>
          </w:p>
        </w:tc>
        <w:tc>
          <w:tcPr>
            <w:tcW w:w="782" w:type="pct"/>
            <w:tcBorders>
              <w:top w:val="nil"/>
              <w:left w:val="nil"/>
              <w:bottom w:val="nil"/>
              <w:right w:val="nil"/>
            </w:tcBorders>
            <w:shd w:val="clear" w:color="auto" w:fill="auto"/>
            <w:vAlign w:val="center"/>
          </w:tcPr>
          <w:p w14:paraId="125A96BE" w14:textId="77777777" w:rsidR="00A01336" w:rsidRPr="005224C3" w:rsidRDefault="00A01336" w:rsidP="006466C0">
            <w:pPr>
              <w:pStyle w:val="SemEspaamento"/>
              <w:rPr>
                <w:lang w:val="pt-BR"/>
              </w:rPr>
            </w:pPr>
            <w:r w:rsidRPr="005224C3">
              <w:t>61,0 (29,0)</w:t>
            </w:r>
          </w:p>
        </w:tc>
        <w:tc>
          <w:tcPr>
            <w:tcW w:w="1221" w:type="pct"/>
            <w:tcBorders>
              <w:top w:val="nil"/>
              <w:left w:val="nil"/>
              <w:bottom w:val="nil"/>
              <w:right w:val="nil"/>
            </w:tcBorders>
            <w:shd w:val="clear" w:color="auto" w:fill="auto"/>
          </w:tcPr>
          <w:p w14:paraId="0CF1DF0F" w14:textId="4CEBF9AA" w:rsidR="00A01336" w:rsidRPr="005224C3" w:rsidRDefault="00DB7A07" w:rsidP="006466C0">
            <w:pPr>
              <w:pStyle w:val="SemEspaamento"/>
            </w:pPr>
            <w:r w:rsidRPr="005224C3">
              <w:t>-</w:t>
            </w:r>
            <w:r w:rsidR="00CC66A9" w:rsidRPr="005224C3">
              <w:t xml:space="preserve">29,35 </w:t>
            </w:r>
            <w:r w:rsidR="005450BA" w:rsidRPr="005224C3">
              <w:t>(</w:t>
            </w:r>
            <w:r w:rsidRPr="005224C3">
              <w:t>-</w:t>
            </w:r>
            <w:r w:rsidR="00CC66A9" w:rsidRPr="005224C3">
              <w:t>48,81</w:t>
            </w:r>
            <w:r w:rsidRPr="005224C3">
              <w:t>; -9,89</w:t>
            </w:r>
            <w:r w:rsidR="005450BA" w:rsidRPr="005224C3">
              <w:t>)</w:t>
            </w:r>
          </w:p>
        </w:tc>
        <w:tc>
          <w:tcPr>
            <w:tcW w:w="473" w:type="pct"/>
            <w:tcBorders>
              <w:top w:val="nil"/>
              <w:left w:val="nil"/>
              <w:bottom w:val="nil"/>
              <w:right w:val="nil"/>
            </w:tcBorders>
            <w:shd w:val="clear" w:color="auto" w:fill="auto"/>
            <w:vAlign w:val="bottom"/>
          </w:tcPr>
          <w:p w14:paraId="3855BD15" w14:textId="2B3AE1B6" w:rsidR="00A01336" w:rsidRPr="005224C3" w:rsidRDefault="00A01336" w:rsidP="006466C0">
            <w:pPr>
              <w:pStyle w:val="SemEspaamento"/>
              <w:rPr>
                <w:lang w:val="pt-BR"/>
              </w:rPr>
            </w:pPr>
            <w:r w:rsidRPr="005224C3">
              <w:t>&lt;0,01</w:t>
            </w:r>
          </w:p>
        </w:tc>
      </w:tr>
      <w:tr w:rsidR="00466A1D" w:rsidRPr="005224C3" w14:paraId="1752D50E" w14:textId="77777777" w:rsidTr="008266AD">
        <w:trPr>
          <w:trHeight w:val="20"/>
        </w:trPr>
        <w:tc>
          <w:tcPr>
            <w:tcW w:w="1719" w:type="pct"/>
            <w:tcBorders>
              <w:top w:val="nil"/>
              <w:left w:val="nil"/>
              <w:bottom w:val="nil"/>
              <w:right w:val="nil"/>
            </w:tcBorders>
            <w:shd w:val="clear" w:color="auto" w:fill="auto"/>
            <w:vAlign w:val="center"/>
          </w:tcPr>
          <w:p w14:paraId="59AE8042" w14:textId="77777777" w:rsidR="00A01336" w:rsidRPr="005224C3" w:rsidRDefault="00A01336" w:rsidP="006466C0">
            <w:pPr>
              <w:pStyle w:val="SemEspaamento"/>
              <w:rPr>
                <w:lang w:val="pt-BR"/>
              </w:rPr>
            </w:pPr>
            <w:bookmarkStart w:id="4" w:name="_Hlk185527674"/>
            <w:bookmarkEnd w:id="3"/>
            <w:r w:rsidRPr="005224C3">
              <w:t xml:space="preserve">SNIP, </w:t>
            </w:r>
            <w:proofErr w:type="spellStart"/>
            <w:r w:rsidRPr="005224C3">
              <w:t>mediana</w:t>
            </w:r>
            <w:proofErr w:type="spellEnd"/>
            <w:r w:rsidRPr="005224C3">
              <w:t>(</w:t>
            </w:r>
            <w:proofErr w:type="spellStart"/>
            <w:r w:rsidRPr="005224C3">
              <w:t>iqr</w:t>
            </w:r>
            <w:proofErr w:type="spellEnd"/>
            <w:r w:rsidRPr="005224C3">
              <w:t>)</w:t>
            </w:r>
          </w:p>
        </w:tc>
        <w:tc>
          <w:tcPr>
            <w:tcW w:w="804" w:type="pct"/>
            <w:tcBorders>
              <w:top w:val="nil"/>
              <w:left w:val="nil"/>
              <w:bottom w:val="nil"/>
              <w:right w:val="nil"/>
            </w:tcBorders>
            <w:shd w:val="clear" w:color="auto" w:fill="auto"/>
          </w:tcPr>
          <w:p w14:paraId="167B4264" w14:textId="77777777" w:rsidR="00A01336" w:rsidRPr="005224C3" w:rsidRDefault="00A01336" w:rsidP="006466C0">
            <w:pPr>
              <w:pStyle w:val="SemEspaamento"/>
              <w:rPr>
                <w:lang w:val="pt-BR"/>
              </w:rPr>
            </w:pPr>
            <w:r w:rsidRPr="005224C3">
              <w:t>133,0 (44,0)</w:t>
            </w:r>
          </w:p>
        </w:tc>
        <w:tc>
          <w:tcPr>
            <w:tcW w:w="782" w:type="pct"/>
            <w:tcBorders>
              <w:top w:val="nil"/>
              <w:left w:val="nil"/>
              <w:bottom w:val="nil"/>
              <w:right w:val="nil"/>
            </w:tcBorders>
            <w:shd w:val="clear" w:color="auto" w:fill="auto"/>
            <w:vAlign w:val="bottom"/>
          </w:tcPr>
          <w:p w14:paraId="11AEA4B6" w14:textId="77777777" w:rsidR="00A01336" w:rsidRPr="005224C3" w:rsidRDefault="00A01336" w:rsidP="006466C0">
            <w:pPr>
              <w:pStyle w:val="SemEspaamento"/>
              <w:rPr>
                <w:lang w:val="pt-BR"/>
              </w:rPr>
            </w:pPr>
            <w:r w:rsidRPr="005224C3">
              <w:t>57,0 (36,0)</w:t>
            </w:r>
          </w:p>
        </w:tc>
        <w:tc>
          <w:tcPr>
            <w:tcW w:w="1221" w:type="pct"/>
            <w:tcBorders>
              <w:top w:val="nil"/>
              <w:left w:val="nil"/>
              <w:bottom w:val="nil"/>
              <w:right w:val="nil"/>
            </w:tcBorders>
            <w:shd w:val="clear" w:color="auto" w:fill="auto"/>
          </w:tcPr>
          <w:p w14:paraId="435A7F2D" w14:textId="0AC84F68" w:rsidR="00A01336" w:rsidRPr="005224C3" w:rsidRDefault="007A6FF2" w:rsidP="006466C0">
            <w:pPr>
              <w:pStyle w:val="SemEspaamento"/>
            </w:pPr>
            <w:r w:rsidRPr="005224C3">
              <w:t>-37,5</w:t>
            </w:r>
            <w:r w:rsidR="00466A1D" w:rsidRPr="005224C3">
              <w:t xml:space="preserve"> </w:t>
            </w:r>
            <w:r w:rsidR="005450BA" w:rsidRPr="005224C3">
              <w:t>(</w:t>
            </w:r>
            <w:r w:rsidRPr="005224C3">
              <w:t>-55,49; -19,50</w:t>
            </w:r>
            <w:r w:rsidR="005450BA" w:rsidRPr="005224C3">
              <w:t>)</w:t>
            </w:r>
          </w:p>
        </w:tc>
        <w:tc>
          <w:tcPr>
            <w:tcW w:w="473" w:type="pct"/>
            <w:tcBorders>
              <w:top w:val="nil"/>
              <w:left w:val="nil"/>
              <w:bottom w:val="nil"/>
              <w:right w:val="nil"/>
            </w:tcBorders>
            <w:shd w:val="clear" w:color="auto" w:fill="auto"/>
            <w:vAlign w:val="bottom"/>
          </w:tcPr>
          <w:p w14:paraId="73F19E4D" w14:textId="3606F10E" w:rsidR="00A01336" w:rsidRPr="005224C3" w:rsidRDefault="00A01336" w:rsidP="006466C0">
            <w:pPr>
              <w:pStyle w:val="SemEspaamento"/>
              <w:rPr>
                <w:lang w:val="pt-BR"/>
              </w:rPr>
            </w:pPr>
            <w:r w:rsidRPr="005224C3">
              <w:t>&lt;0,01</w:t>
            </w:r>
          </w:p>
        </w:tc>
      </w:tr>
      <w:bookmarkEnd w:id="4"/>
      <w:tr w:rsidR="00466A1D" w:rsidRPr="005224C3" w14:paraId="2F21960E" w14:textId="77777777" w:rsidTr="008266AD">
        <w:trPr>
          <w:trHeight w:val="20"/>
        </w:trPr>
        <w:tc>
          <w:tcPr>
            <w:tcW w:w="1719" w:type="pct"/>
            <w:tcBorders>
              <w:top w:val="nil"/>
              <w:left w:val="nil"/>
              <w:bottom w:val="nil"/>
              <w:right w:val="nil"/>
            </w:tcBorders>
            <w:shd w:val="clear" w:color="auto" w:fill="auto"/>
            <w:vAlign w:val="center"/>
          </w:tcPr>
          <w:p w14:paraId="5FC42EE9" w14:textId="77777777" w:rsidR="00A01336" w:rsidRPr="005224C3" w:rsidRDefault="00A01336" w:rsidP="006466C0">
            <w:pPr>
              <w:pStyle w:val="SemEspaamento"/>
              <w:rPr>
                <w:lang w:val="pt-BR"/>
              </w:rPr>
            </w:pPr>
            <w:r w:rsidRPr="005224C3">
              <w:t xml:space="preserve">PFT, </w:t>
            </w:r>
            <w:proofErr w:type="spellStart"/>
            <w:r w:rsidRPr="005224C3">
              <w:t>mediana</w:t>
            </w:r>
            <w:proofErr w:type="spellEnd"/>
            <w:r w:rsidRPr="005224C3">
              <w:t>(</w:t>
            </w:r>
            <w:proofErr w:type="spellStart"/>
            <w:r w:rsidRPr="005224C3">
              <w:t>iqr</w:t>
            </w:r>
            <w:proofErr w:type="spellEnd"/>
            <w:r w:rsidRPr="005224C3">
              <w:t>)</w:t>
            </w:r>
          </w:p>
        </w:tc>
        <w:tc>
          <w:tcPr>
            <w:tcW w:w="804" w:type="pct"/>
            <w:tcBorders>
              <w:top w:val="nil"/>
              <w:left w:val="nil"/>
              <w:bottom w:val="nil"/>
              <w:right w:val="nil"/>
            </w:tcBorders>
            <w:shd w:val="clear" w:color="auto" w:fill="auto"/>
          </w:tcPr>
          <w:p w14:paraId="04487CA9" w14:textId="77777777" w:rsidR="00A01336" w:rsidRPr="005224C3" w:rsidRDefault="00A01336" w:rsidP="006466C0">
            <w:pPr>
              <w:pStyle w:val="SemEspaamento"/>
              <w:rPr>
                <w:lang w:val="pt-BR"/>
              </w:rPr>
            </w:pPr>
            <w:r w:rsidRPr="005224C3">
              <w:t>480,0 (280,0)</w:t>
            </w:r>
          </w:p>
        </w:tc>
        <w:tc>
          <w:tcPr>
            <w:tcW w:w="782" w:type="pct"/>
            <w:tcBorders>
              <w:top w:val="nil"/>
              <w:left w:val="nil"/>
              <w:bottom w:val="nil"/>
              <w:right w:val="nil"/>
            </w:tcBorders>
            <w:shd w:val="clear" w:color="auto" w:fill="auto"/>
            <w:vAlign w:val="bottom"/>
          </w:tcPr>
          <w:p w14:paraId="6BE314F7" w14:textId="77777777" w:rsidR="00A01336" w:rsidRPr="005224C3" w:rsidRDefault="00A01336" w:rsidP="006466C0">
            <w:pPr>
              <w:pStyle w:val="SemEspaamento"/>
              <w:rPr>
                <w:lang w:val="pt-BR"/>
              </w:rPr>
            </w:pPr>
            <w:r w:rsidRPr="005224C3">
              <w:t>300,0 (130,0)</w:t>
            </w:r>
          </w:p>
        </w:tc>
        <w:tc>
          <w:tcPr>
            <w:tcW w:w="1221" w:type="pct"/>
            <w:tcBorders>
              <w:top w:val="nil"/>
              <w:left w:val="nil"/>
              <w:bottom w:val="nil"/>
              <w:right w:val="nil"/>
            </w:tcBorders>
            <w:shd w:val="clear" w:color="auto" w:fill="auto"/>
          </w:tcPr>
          <w:p w14:paraId="4C67D40C" w14:textId="48082AAC" w:rsidR="00A01336" w:rsidRPr="005224C3" w:rsidRDefault="007A6FF2" w:rsidP="006466C0">
            <w:pPr>
              <w:pStyle w:val="SemEspaamento"/>
            </w:pPr>
            <w:r w:rsidRPr="005224C3">
              <w:t>-90,0</w:t>
            </w:r>
            <w:r w:rsidR="00466A1D" w:rsidRPr="005224C3">
              <w:t xml:space="preserve"> </w:t>
            </w:r>
            <w:r w:rsidR="005450BA" w:rsidRPr="005224C3">
              <w:t>(</w:t>
            </w:r>
            <w:r w:rsidRPr="005224C3">
              <w:t>-164,22; -15,77</w:t>
            </w:r>
            <w:r w:rsidR="005450BA" w:rsidRPr="005224C3">
              <w:t>)</w:t>
            </w:r>
          </w:p>
        </w:tc>
        <w:tc>
          <w:tcPr>
            <w:tcW w:w="473" w:type="pct"/>
            <w:tcBorders>
              <w:top w:val="nil"/>
              <w:left w:val="nil"/>
              <w:bottom w:val="nil"/>
              <w:right w:val="nil"/>
            </w:tcBorders>
            <w:shd w:val="clear" w:color="auto" w:fill="auto"/>
            <w:vAlign w:val="bottom"/>
          </w:tcPr>
          <w:p w14:paraId="01A84311" w14:textId="4FA001B8" w:rsidR="00A01336" w:rsidRPr="005224C3" w:rsidRDefault="007A6FF2" w:rsidP="006466C0">
            <w:pPr>
              <w:pStyle w:val="SemEspaamento"/>
              <w:rPr>
                <w:lang w:val="pt-BR"/>
              </w:rPr>
            </w:pPr>
            <w:r w:rsidRPr="005224C3">
              <w:t>0,02</w:t>
            </w:r>
          </w:p>
        </w:tc>
      </w:tr>
      <w:tr w:rsidR="00466A1D" w:rsidRPr="005224C3" w14:paraId="24CC466E" w14:textId="77777777" w:rsidTr="008266AD">
        <w:trPr>
          <w:trHeight w:val="20"/>
        </w:trPr>
        <w:tc>
          <w:tcPr>
            <w:tcW w:w="1719" w:type="pct"/>
            <w:tcBorders>
              <w:top w:val="nil"/>
              <w:left w:val="nil"/>
              <w:bottom w:val="nil"/>
              <w:right w:val="nil"/>
            </w:tcBorders>
            <w:shd w:val="clear" w:color="auto" w:fill="auto"/>
            <w:vAlign w:val="center"/>
          </w:tcPr>
          <w:p w14:paraId="36865760" w14:textId="77777777" w:rsidR="00A01336" w:rsidRPr="005224C3" w:rsidRDefault="00A01336" w:rsidP="006466C0">
            <w:pPr>
              <w:pStyle w:val="SemEspaamento"/>
              <w:rPr>
                <w:lang w:val="pt-BR"/>
              </w:rPr>
            </w:pPr>
            <w:r w:rsidRPr="005224C3">
              <w:t xml:space="preserve">SPO2, </w:t>
            </w:r>
            <w:proofErr w:type="spellStart"/>
            <w:r w:rsidRPr="005224C3">
              <w:t>mediana</w:t>
            </w:r>
            <w:proofErr w:type="spellEnd"/>
            <w:r w:rsidRPr="005224C3">
              <w:t>(</w:t>
            </w:r>
            <w:proofErr w:type="spellStart"/>
            <w:r w:rsidRPr="005224C3">
              <w:t>iqr</w:t>
            </w:r>
            <w:proofErr w:type="spellEnd"/>
            <w:r w:rsidRPr="005224C3">
              <w:t>)</w:t>
            </w:r>
          </w:p>
        </w:tc>
        <w:tc>
          <w:tcPr>
            <w:tcW w:w="804" w:type="pct"/>
            <w:tcBorders>
              <w:top w:val="nil"/>
              <w:left w:val="nil"/>
              <w:bottom w:val="nil"/>
              <w:right w:val="nil"/>
            </w:tcBorders>
            <w:shd w:val="clear" w:color="auto" w:fill="auto"/>
          </w:tcPr>
          <w:p w14:paraId="5AD2DD5F" w14:textId="77777777" w:rsidR="00A01336" w:rsidRPr="005224C3" w:rsidRDefault="00A01336" w:rsidP="006466C0">
            <w:pPr>
              <w:pStyle w:val="SemEspaamento"/>
              <w:rPr>
                <w:lang w:val="pt-BR"/>
              </w:rPr>
            </w:pPr>
            <w:r w:rsidRPr="005224C3">
              <w:t>98,0 (2,0)</w:t>
            </w:r>
          </w:p>
        </w:tc>
        <w:tc>
          <w:tcPr>
            <w:tcW w:w="782" w:type="pct"/>
            <w:tcBorders>
              <w:top w:val="nil"/>
              <w:left w:val="nil"/>
              <w:bottom w:val="nil"/>
              <w:right w:val="nil"/>
            </w:tcBorders>
            <w:shd w:val="clear" w:color="auto" w:fill="auto"/>
            <w:vAlign w:val="bottom"/>
          </w:tcPr>
          <w:p w14:paraId="66835F6C" w14:textId="77777777" w:rsidR="00A01336" w:rsidRPr="005224C3" w:rsidRDefault="00A01336" w:rsidP="006466C0">
            <w:pPr>
              <w:pStyle w:val="SemEspaamento"/>
              <w:rPr>
                <w:lang w:val="pt-BR"/>
              </w:rPr>
            </w:pPr>
            <w:r w:rsidRPr="005224C3">
              <w:t>95,0 (2,0)</w:t>
            </w:r>
          </w:p>
        </w:tc>
        <w:tc>
          <w:tcPr>
            <w:tcW w:w="1221" w:type="pct"/>
            <w:tcBorders>
              <w:top w:val="nil"/>
              <w:left w:val="nil"/>
              <w:bottom w:val="nil"/>
              <w:right w:val="nil"/>
            </w:tcBorders>
            <w:shd w:val="clear" w:color="auto" w:fill="auto"/>
          </w:tcPr>
          <w:p w14:paraId="7086C77F" w14:textId="1F241DA3" w:rsidR="00A01336" w:rsidRPr="005224C3" w:rsidRDefault="007A6FF2" w:rsidP="006466C0">
            <w:pPr>
              <w:pStyle w:val="SemEspaamento"/>
            </w:pPr>
            <w:r w:rsidRPr="005224C3">
              <w:t>-1,5</w:t>
            </w:r>
            <w:r w:rsidR="00466A1D" w:rsidRPr="005224C3">
              <w:t xml:space="preserve"> </w:t>
            </w:r>
            <w:r w:rsidR="005450BA" w:rsidRPr="005224C3">
              <w:t>(</w:t>
            </w:r>
            <w:r w:rsidRPr="005224C3">
              <w:t>-2,1; -0,90</w:t>
            </w:r>
            <w:r w:rsidR="005450BA" w:rsidRPr="005224C3">
              <w:t>)</w:t>
            </w:r>
          </w:p>
        </w:tc>
        <w:tc>
          <w:tcPr>
            <w:tcW w:w="473" w:type="pct"/>
            <w:tcBorders>
              <w:top w:val="nil"/>
              <w:left w:val="nil"/>
              <w:bottom w:val="nil"/>
              <w:right w:val="nil"/>
            </w:tcBorders>
            <w:shd w:val="clear" w:color="auto" w:fill="auto"/>
            <w:vAlign w:val="bottom"/>
          </w:tcPr>
          <w:p w14:paraId="58F0B13D" w14:textId="463EC134" w:rsidR="00A01336" w:rsidRPr="005224C3" w:rsidRDefault="00A01336" w:rsidP="006466C0">
            <w:pPr>
              <w:pStyle w:val="SemEspaamento"/>
              <w:rPr>
                <w:lang w:val="pt-BR"/>
              </w:rPr>
            </w:pPr>
            <w:r w:rsidRPr="005224C3">
              <w:t>&lt;0,01</w:t>
            </w:r>
          </w:p>
        </w:tc>
      </w:tr>
      <w:tr w:rsidR="00466A1D" w:rsidRPr="005224C3" w14:paraId="3E6FE718" w14:textId="77777777" w:rsidTr="008266AD">
        <w:trPr>
          <w:trHeight w:val="20"/>
        </w:trPr>
        <w:tc>
          <w:tcPr>
            <w:tcW w:w="1719" w:type="pct"/>
            <w:tcBorders>
              <w:top w:val="nil"/>
              <w:left w:val="nil"/>
              <w:bottom w:val="nil"/>
              <w:right w:val="nil"/>
            </w:tcBorders>
            <w:shd w:val="clear" w:color="auto" w:fill="auto"/>
            <w:vAlign w:val="center"/>
          </w:tcPr>
          <w:p w14:paraId="3B1709FF" w14:textId="77777777" w:rsidR="00A01336" w:rsidRPr="005224C3" w:rsidRDefault="00A01336" w:rsidP="006466C0">
            <w:pPr>
              <w:pStyle w:val="SemEspaamento"/>
              <w:rPr>
                <w:lang w:val="pt-BR"/>
              </w:rPr>
            </w:pPr>
            <w:r w:rsidRPr="005224C3">
              <w:t xml:space="preserve">ETCO2, </w:t>
            </w:r>
            <w:proofErr w:type="spellStart"/>
            <w:r w:rsidRPr="005224C3">
              <w:t>média</w:t>
            </w:r>
            <w:proofErr w:type="spellEnd"/>
            <w:r w:rsidRPr="005224C3">
              <w:t>(</w:t>
            </w:r>
            <w:proofErr w:type="spellStart"/>
            <w:r w:rsidRPr="005224C3">
              <w:t>dp</w:t>
            </w:r>
            <w:proofErr w:type="spellEnd"/>
            <w:r w:rsidRPr="005224C3">
              <w:t>)</w:t>
            </w:r>
          </w:p>
        </w:tc>
        <w:tc>
          <w:tcPr>
            <w:tcW w:w="804" w:type="pct"/>
            <w:tcBorders>
              <w:top w:val="nil"/>
              <w:left w:val="nil"/>
              <w:bottom w:val="nil"/>
              <w:right w:val="nil"/>
            </w:tcBorders>
            <w:shd w:val="clear" w:color="auto" w:fill="auto"/>
          </w:tcPr>
          <w:p w14:paraId="7DE76163" w14:textId="77777777" w:rsidR="00A01336" w:rsidRPr="005224C3" w:rsidRDefault="00A01336" w:rsidP="006466C0">
            <w:pPr>
              <w:pStyle w:val="SemEspaamento"/>
              <w:rPr>
                <w:lang w:val="pt-BR"/>
              </w:rPr>
            </w:pPr>
            <w:r w:rsidRPr="005224C3">
              <w:t>35,7 (2,9)</w:t>
            </w:r>
          </w:p>
        </w:tc>
        <w:tc>
          <w:tcPr>
            <w:tcW w:w="782" w:type="pct"/>
            <w:tcBorders>
              <w:top w:val="nil"/>
              <w:left w:val="nil"/>
              <w:bottom w:val="nil"/>
              <w:right w:val="nil"/>
            </w:tcBorders>
            <w:shd w:val="clear" w:color="auto" w:fill="auto"/>
            <w:vAlign w:val="bottom"/>
          </w:tcPr>
          <w:p w14:paraId="3090066E" w14:textId="77777777" w:rsidR="00A01336" w:rsidRPr="005224C3" w:rsidRDefault="00A01336" w:rsidP="006466C0">
            <w:pPr>
              <w:pStyle w:val="SemEspaamento"/>
              <w:rPr>
                <w:lang w:val="pt-BR"/>
              </w:rPr>
            </w:pPr>
            <w:r w:rsidRPr="005224C3">
              <w:t>39,1 (3,9)</w:t>
            </w:r>
          </w:p>
        </w:tc>
        <w:tc>
          <w:tcPr>
            <w:tcW w:w="1221" w:type="pct"/>
            <w:tcBorders>
              <w:top w:val="nil"/>
              <w:left w:val="nil"/>
              <w:bottom w:val="nil"/>
              <w:right w:val="nil"/>
            </w:tcBorders>
            <w:shd w:val="clear" w:color="auto" w:fill="auto"/>
          </w:tcPr>
          <w:p w14:paraId="095C915C" w14:textId="3CFC1C62" w:rsidR="00A01336" w:rsidRPr="005224C3" w:rsidRDefault="00CC66A9" w:rsidP="006466C0">
            <w:pPr>
              <w:pStyle w:val="SemEspaamento"/>
            </w:pPr>
            <w:r w:rsidRPr="005224C3">
              <w:t xml:space="preserve">-3,39 </w:t>
            </w:r>
            <w:r w:rsidR="005450BA" w:rsidRPr="005224C3">
              <w:t>(</w:t>
            </w:r>
            <w:r w:rsidRPr="005224C3">
              <w:t>-5,</w:t>
            </w:r>
            <w:r w:rsidR="00466A1D" w:rsidRPr="005224C3">
              <w:t>84; -</w:t>
            </w:r>
            <w:r w:rsidRPr="005224C3">
              <w:t>0,94</w:t>
            </w:r>
            <w:r w:rsidR="005450BA" w:rsidRPr="005224C3">
              <w:t>)</w:t>
            </w:r>
          </w:p>
        </w:tc>
        <w:tc>
          <w:tcPr>
            <w:tcW w:w="473" w:type="pct"/>
            <w:tcBorders>
              <w:top w:val="nil"/>
              <w:left w:val="nil"/>
              <w:bottom w:val="nil"/>
              <w:right w:val="nil"/>
            </w:tcBorders>
            <w:shd w:val="clear" w:color="auto" w:fill="auto"/>
            <w:vAlign w:val="bottom"/>
          </w:tcPr>
          <w:p w14:paraId="2053805B" w14:textId="7DA04AA5" w:rsidR="00A01336" w:rsidRPr="005224C3" w:rsidRDefault="00A01336" w:rsidP="006466C0">
            <w:pPr>
              <w:pStyle w:val="SemEspaamento"/>
              <w:rPr>
                <w:lang w:val="pt-BR"/>
              </w:rPr>
            </w:pPr>
            <w:r w:rsidRPr="005224C3">
              <w:t>0,01</w:t>
            </w:r>
          </w:p>
        </w:tc>
      </w:tr>
      <w:tr w:rsidR="00466A1D" w:rsidRPr="005224C3" w14:paraId="66D7F028" w14:textId="77777777" w:rsidTr="008266AD">
        <w:trPr>
          <w:trHeight w:val="20"/>
        </w:trPr>
        <w:tc>
          <w:tcPr>
            <w:tcW w:w="1719" w:type="pct"/>
            <w:tcBorders>
              <w:top w:val="nil"/>
              <w:left w:val="nil"/>
              <w:bottom w:val="nil"/>
              <w:right w:val="nil"/>
            </w:tcBorders>
            <w:shd w:val="clear" w:color="auto" w:fill="auto"/>
            <w:vAlign w:val="bottom"/>
          </w:tcPr>
          <w:p w14:paraId="66015ADC" w14:textId="77777777" w:rsidR="00A01336" w:rsidRPr="005224C3" w:rsidRDefault="00A01336" w:rsidP="006466C0">
            <w:pPr>
              <w:pStyle w:val="SemEspaamento"/>
              <w:rPr>
                <w:lang w:val="pt-BR"/>
              </w:rPr>
            </w:pPr>
            <w:proofErr w:type="spellStart"/>
            <w:r w:rsidRPr="005224C3">
              <w:t>Amplit</w:t>
            </w:r>
            <w:proofErr w:type="spellEnd"/>
            <w:r w:rsidRPr="005224C3">
              <w:t xml:space="preserve"> </w:t>
            </w:r>
            <w:proofErr w:type="spellStart"/>
            <w:r w:rsidRPr="005224C3">
              <w:t>máx</w:t>
            </w:r>
            <w:proofErr w:type="spellEnd"/>
            <w:r w:rsidRPr="005224C3">
              <w:t xml:space="preserve">, </w:t>
            </w:r>
            <w:proofErr w:type="spellStart"/>
            <w:r w:rsidRPr="005224C3">
              <w:t>mediana</w:t>
            </w:r>
            <w:proofErr w:type="spellEnd"/>
            <w:r w:rsidRPr="005224C3">
              <w:t>(</w:t>
            </w:r>
            <w:proofErr w:type="spellStart"/>
            <w:r w:rsidRPr="005224C3">
              <w:t>iqr</w:t>
            </w:r>
            <w:proofErr w:type="spellEnd"/>
            <w:r w:rsidRPr="005224C3">
              <w:t>)</w:t>
            </w:r>
          </w:p>
        </w:tc>
        <w:tc>
          <w:tcPr>
            <w:tcW w:w="804" w:type="pct"/>
            <w:tcBorders>
              <w:top w:val="nil"/>
              <w:left w:val="nil"/>
              <w:bottom w:val="nil"/>
              <w:right w:val="nil"/>
            </w:tcBorders>
            <w:shd w:val="clear" w:color="auto" w:fill="auto"/>
            <w:vAlign w:val="bottom"/>
          </w:tcPr>
          <w:p w14:paraId="5D078D46" w14:textId="77777777" w:rsidR="00A01336" w:rsidRPr="005224C3" w:rsidRDefault="00A01336" w:rsidP="006466C0">
            <w:pPr>
              <w:pStyle w:val="SemEspaamento"/>
              <w:rPr>
                <w:lang w:val="pt-BR"/>
              </w:rPr>
            </w:pPr>
            <w:r w:rsidRPr="005224C3">
              <w:t>0,8 (0,2)</w:t>
            </w:r>
          </w:p>
        </w:tc>
        <w:tc>
          <w:tcPr>
            <w:tcW w:w="782" w:type="pct"/>
            <w:tcBorders>
              <w:top w:val="nil"/>
              <w:left w:val="nil"/>
              <w:bottom w:val="nil"/>
              <w:right w:val="nil"/>
            </w:tcBorders>
            <w:shd w:val="clear" w:color="auto" w:fill="auto"/>
            <w:vAlign w:val="bottom"/>
          </w:tcPr>
          <w:p w14:paraId="05C3B117" w14:textId="77777777" w:rsidR="00A01336" w:rsidRPr="005224C3" w:rsidRDefault="00A01336" w:rsidP="006466C0">
            <w:pPr>
              <w:pStyle w:val="SemEspaamento"/>
              <w:rPr>
                <w:lang w:val="pt-BR"/>
              </w:rPr>
            </w:pPr>
            <w:r w:rsidRPr="005224C3">
              <w:t>0,5 (0,2)</w:t>
            </w:r>
          </w:p>
        </w:tc>
        <w:tc>
          <w:tcPr>
            <w:tcW w:w="1221" w:type="pct"/>
            <w:tcBorders>
              <w:top w:val="nil"/>
              <w:left w:val="nil"/>
              <w:bottom w:val="nil"/>
              <w:right w:val="nil"/>
            </w:tcBorders>
            <w:shd w:val="clear" w:color="auto" w:fill="auto"/>
          </w:tcPr>
          <w:p w14:paraId="3FD4C68A" w14:textId="7099C727" w:rsidR="00A01336" w:rsidRPr="005224C3" w:rsidRDefault="007A6FF2" w:rsidP="006466C0">
            <w:pPr>
              <w:pStyle w:val="SemEspaamento"/>
            </w:pPr>
            <w:bookmarkStart w:id="5" w:name="_Hlk185527806"/>
            <w:r w:rsidRPr="005224C3">
              <w:t>-0,17</w:t>
            </w:r>
            <w:r w:rsidR="003B782A" w:rsidRPr="005224C3">
              <w:t xml:space="preserve"> </w:t>
            </w:r>
            <w:r w:rsidR="005450BA" w:rsidRPr="005224C3">
              <w:t>(</w:t>
            </w:r>
            <w:r w:rsidRPr="005224C3">
              <w:t>-0,32; -0,01</w:t>
            </w:r>
            <w:r w:rsidR="005450BA" w:rsidRPr="005224C3">
              <w:t>)</w:t>
            </w:r>
            <w:bookmarkEnd w:id="5"/>
          </w:p>
        </w:tc>
        <w:tc>
          <w:tcPr>
            <w:tcW w:w="473" w:type="pct"/>
            <w:tcBorders>
              <w:top w:val="nil"/>
              <w:left w:val="nil"/>
              <w:bottom w:val="nil"/>
              <w:right w:val="nil"/>
            </w:tcBorders>
            <w:shd w:val="clear" w:color="auto" w:fill="auto"/>
            <w:vAlign w:val="bottom"/>
          </w:tcPr>
          <w:p w14:paraId="3F6D8018" w14:textId="6F9F61A4" w:rsidR="00A01336" w:rsidRPr="005224C3" w:rsidRDefault="00A01336" w:rsidP="006466C0">
            <w:pPr>
              <w:pStyle w:val="SemEspaamento"/>
              <w:rPr>
                <w:lang w:val="pt-BR"/>
              </w:rPr>
            </w:pPr>
            <w:r w:rsidRPr="005224C3">
              <w:t>0,0</w:t>
            </w:r>
            <w:r w:rsidR="007A6FF2" w:rsidRPr="005224C3">
              <w:t>3</w:t>
            </w:r>
          </w:p>
        </w:tc>
      </w:tr>
      <w:tr w:rsidR="00466A1D" w:rsidRPr="005224C3" w14:paraId="48D22A63" w14:textId="77777777" w:rsidTr="008266AD">
        <w:trPr>
          <w:trHeight w:val="20"/>
        </w:trPr>
        <w:tc>
          <w:tcPr>
            <w:tcW w:w="1719" w:type="pct"/>
            <w:tcBorders>
              <w:top w:val="nil"/>
              <w:left w:val="nil"/>
              <w:bottom w:val="nil"/>
              <w:right w:val="nil"/>
            </w:tcBorders>
            <w:shd w:val="clear" w:color="auto" w:fill="auto"/>
            <w:vAlign w:val="bottom"/>
          </w:tcPr>
          <w:p w14:paraId="05252DC3" w14:textId="77777777" w:rsidR="00A01336" w:rsidRPr="005224C3" w:rsidRDefault="00A01336" w:rsidP="006466C0">
            <w:pPr>
              <w:pStyle w:val="SemEspaamento"/>
              <w:rPr>
                <w:lang w:val="pt-BR"/>
              </w:rPr>
            </w:pPr>
            <w:proofErr w:type="spellStart"/>
            <w:r w:rsidRPr="005224C3">
              <w:t>Amplit</w:t>
            </w:r>
            <w:proofErr w:type="spellEnd"/>
            <w:r w:rsidRPr="005224C3">
              <w:t xml:space="preserve"> </w:t>
            </w:r>
            <w:proofErr w:type="spellStart"/>
            <w:r w:rsidRPr="005224C3">
              <w:t>média</w:t>
            </w:r>
            <w:proofErr w:type="spellEnd"/>
            <w:r w:rsidRPr="005224C3">
              <w:t xml:space="preserve">, </w:t>
            </w:r>
            <w:proofErr w:type="spellStart"/>
            <w:r w:rsidRPr="005224C3">
              <w:t>média</w:t>
            </w:r>
            <w:proofErr w:type="spellEnd"/>
            <w:r w:rsidRPr="005224C3">
              <w:t>(</w:t>
            </w:r>
            <w:proofErr w:type="spellStart"/>
            <w:r w:rsidRPr="005224C3">
              <w:t>dp</w:t>
            </w:r>
            <w:proofErr w:type="spellEnd"/>
            <w:r w:rsidRPr="005224C3">
              <w:t>)</w:t>
            </w:r>
          </w:p>
        </w:tc>
        <w:tc>
          <w:tcPr>
            <w:tcW w:w="804" w:type="pct"/>
            <w:tcBorders>
              <w:top w:val="nil"/>
              <w:left w:val="nil"/>
              <w:bottom w:val="nil"/>
              <w:right w:val="nil"/>
            </w:tcBorders>
            <w:shd w:val="clear" w:color="auto" w:fill="auto"/>
            <w:vAlign w:val="bottom"/>
          </w:tcPr>
          <w:p w14:paraId="7E5955A5" w14:textId="77777777" w:rsidR="00A01336" w:rsidRPr="005224C3" w:rsidRDefault="00A01336" w:rsidP="006466C0">
            <w:pPr>
              <w:pStyle w:val="SemEspaamento"/>
              <w:rPr>
                <w:lang w:val="pt-BR"/>
              </w:rPr>
            </w:pPr>
            <w:r w:rsidRPr="005224C3">
              <w:t>0,7 (0,2)</w:t>
            </w:r>
          </w:p>
        </w:tc>
        <w:tc>
          <w:tcPr>
            <w:tcW w:w="782" w:type="pct"/>
            <w:tcBorders>
              <w:top w:val="nil"/>
              <w:left w:val="nil"/>
              <w:bottom w:val="nil"/>
              <w:right w:val="nil"/>
            </w:tcBorders>
            <w:shd w:val="clear" w:color="auto" w:fill="auto"/>
            <w:vAlign w:val="bottom"/>
          </w:tcPr>
          <w:p w14:paraId="4437A9E8" w14:textId="77777777" w:rsidR="00A01336" w:rsidRPr="005224C3" w:rsidRDefault="00A01336" w:rsidP="006466C0">
            <w:pPr>
              <w:pStyle w:val="SemEspaamento"/>
              <w:rPr>
                <w:lang w:val="pt-BR"/>
              </w:rPr>
            </w:pPr>
            <w:r w:rsidRPr="005224C3">
              <w:t>0,4 (0,2)</w:t>
            </w:r>
          </w:p>
        </w:tc>
        <w:tc>
          <w:tcPr>
            <w:tcW w:w="1221" w:type="pct"/>
            <w:tcBorders>
              <w:top w:val="nil"/>
              <w:left w:val="nil"/>
              <w:bottom w:val="nil"/>
              <w:right w:val="nil"/>
            </w:tcBorders>
            <w:shd w:val="clear" w:color="auto" w:fill="auto"/>
          </w:tcPr>
          <w:p w14:paraId="5FB5D6F8" w14:textId="227EC7E4" w:rsidR="00A01336" w:rsidRPr="005224C3" w:rsidRDefault="00DB7A07" w:rsidP="006466C0">
            <w:pPr>
              <w:pStyle w:val="SemEspaamento"/>
            </w:pPr>
            <w:r w:rsidRPr="005224C3">
              <w:t>-</w:t>
            </w:r>
            <w:r w:rsidR="00CC66A9" w:rsidRPr="005224C3">
              <w:t>0,26</w:t>
            </w:r>
            <w:r w:rsidRPr="005224C3">
              <w:t xml:space="preserve"> </w:t>
            </w:r>
            <w:r w:rsidR="005450BA" w:rsidRPr="005224C3">
              <w:t>(</w:t>
            </w:r>
            <w:r w:rsidRPr="005224C3">
              <w:t>-</w:t>
            </w:r>
            <w:r w:rsidR="00CC66A9" w:rsidRPr="005224C3">
              <w:t>0,</w:t>
            </w:r>
            <w:r w:rsidRPr="005224C3">
              <w:t>4</w:t>
            </w:r>
            <w:r w:rsidR="00CC66A9" w:rsidRPr="005224C3">
              <w:t>1; 0,</w:t>
            </w:r>
            <w:r w:rsidRPr="005224C3">
              <w:t>1</w:t>
            </w:r>
            <w:r w:rsidR="00CC66A9" w:rsidRPr="005224C3">
              <w:t>1</w:t>
            </w:r>
            <w:r w:rsidR="005450BA" w:rsidRPr="005224C3">
              <w:t>)</w:t>
            </w:r>
          </w:p>
        </w:tc>
        <w:tc>
          <w:tcPr>
            <w:tcW w:w="473" w:type="pct"/>
            <w:tcBorders>
              <w:top w:val="nil"/>
              <w:left w:val="nil"/>
              <w:bottom w:val="nil"/>
              <w:right w:val="nil"/>
            </w:tcBorders>
            <w:shd w:val="clear" w:color="auto" w:fill="auto"/>
            <w:vAlign w:val="bottom"/>
          </w:tcPr>
          <w:p w14:paraId="267DF2A3" w14:textId="60D17D03" w:rsidR="00A01336" w:rsidRPr="005224C3" w:rsidRDefault="00A01336" w:rsidP="006466C0">
            <w:pPr>
              <w:pStyle w:val="SemEspaamento"/>
              <w:rPr>
                <w:lang w:val="pt-BR"/>
              </w:rPr>
            </w:pPr>
            <w:r w:rsidRPr="005224C3">
              <w:t>&lt;0,01</w:t>
            </w:r>
          </w:p>
        </w:tc>
      </w:tr>
      <w:tr w:rsidR="00466A1D" w:rsidRPr="005224C3" w14:paraId="5DF0644A" w14:textId="77777777" w:rsidTr="00A76167">
        <w:trPr>
          <w:trHeight w:val="20"/>
        </w:trPr>
        <w:tc>
          <w:tcPr>
            <w:tcW w:w="1719" w:type="pct"/>
            <w:tcBorders>
              <w:top w:val="nil"/>
              <w:left w:val="nil"/>
              <w:bottom w:val="nil"/>
              <w:right w:val="nil"/>
            </w:tcBorders>
            <w:vAlign w:val="bottom"/>
          </w:tcPr>
          <w:p w14:paraId="41B0E345" w14:textId="1BC7B6F7" w:rsidR="00A01336" w:rsidRPr="005224C3" w:rsidRDefault="00A01336" w:rsidP="006466C0">
            <w:pPr>
              <w:pStyle w:val="SemEspaamento"/>
              <w:rPr>
                <w:lang w:val="pt-BR"/>
              </w:rPr>
            </w:pPr>
            <w:proofErr w:type="spellStart"/>
            <w:r w:rsidRPr="005224C3">
              <w:rPr>
                <w:lang w:val="pt-BR"/>
              </w:rPr>
              <w:lastRenderedPageBreak/>
              <w:t>Amplit</w:t>
            </w:r>
            <w:proofErr w:type="spellEnd"/>
            <w:r w:rsidRPr="005224C3">
              <w:rPr>
                <w:lang w:val="pt-BR"/>
              </w:rPr>
              <w:t xml:space="preserve"> </w:t>
            </w:r>
            <w:r w:rsidR="007A1A45" w:rsidRPr="005224C3">
              <w:rPr>
                <w:lang w:val="pt-BR"/>
              </w:rPr>
              <w:t>t</w:t>
            </w:r>
            <w:r w:rsidRPr="005224C3">
              <w:rPr>
                <w:lang w:val="pt-BR"/>
              </w:rPr>
              <w:t>rapézio (</w:t>
            </w:r>
            <w:proofErr w:type="spellStart"/>
            <w:r w:rsidRPr="005224C3">
              <w:rPr>
                <w:lang w:val="pt-BR"/>
              </w:rPr>
              <w:t>mv</w:t>
            </w:r>
            <w:proofErr w:type="spellEnd"/>
            <w:r w:rsidRPr="005224C3">
              <w:rPr>
                <w:lang w:val="pt-BR"/>
              </w:rPr>
              <w:t>),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vAlign w:val="center"/>
          </w:tcPr>
          <w:p w14:paraId="3A0B9699" w14:textId="77777777" w:rsidR="00A01336" w:rsidRPr="005224C3" w:rsidRDefault="00A01336" w:rsidP="006466C0">
            <w:pPr>
              <w:pStyle w:val="SemEspaamento"/>
              <w:rPr>
                <w:lang w:val="pt-BR"/>
              </w:rPr>
            </w:pPr>
            <w:r w:rsidRPr="005224C3">
              <w:rPr>
                <w:lang w:val="pt-BR"/>
              </w:rPr>
              <w:t>8,3 (2,3)</w:t>
            </w:r>
          </w:p>
        </w:tc>
        <w:tc>
          <w:tcPr>
            <w:tcW w:w="782" w:type="pct"/>
            <w:tcBorders>
              <w:top w:val="nil"/>
              <w:left w:val="nil"/>
              <w:bottom w:val="nil"/>
              <w:right w:val="nil"/>
            </w:tcBorders>
            <w:vAlign w:val="center"/>
          </w:tcPr>
          <w:p w14:paraId="699D3ED3" w14:textId="77777777" w:rsidR="00A01336" w:rsidRPr="005224C3" w:rsidRDefault="00A01336" w:rsidP="006466C0">
            <w:pPr>
              <w:pStyle w:val="SemEspaamento"/>
              <w:rPr>
                <w:lang w:val="pt-BR"/>
              </w:rPr>
            </w:pPr>
            <w:r w:rsidRPr="005224C3">
              <w:rPr>
                <w:lang w:val="pt-BR"/>
              </w:rPr>
              <w:t>8,7 (1,6)</w:t>
            </w:r>
          </w:p>
        </w:tc>
        <w:tc>
          <w:tcPr>
            <w:tcW w:w="1221" w:type="pct"/>
            <w:tcBorders>
              <w:top w:val="nil"/>
              <w:left w:val="nil"/>
              <w:bottom w:val="nil"/>
              <w:right w:val="nil"/>
            </w:tcBorders>
            <w:vAlign w:val="center"/>
          </w:tcPr>
          <w:p w14:paraId="7CAF8485" w14:textId="19E40BDA" w:rsidR="00A01336" w:rsidRPr="005224C3" w:rsidRDefault="007A6FF2" w:rsidP="006466C0">
            <w:pPr>
              <w:pStyle w:val="SemEspaamento"/>
            </w:pPr>
            <w:r w:rsidRPr="005224C3">
              <w:t>0,1</w:t>
            </w:r>
            <w:r w:rsidR="00DB7A07" w:rsidRPr="005224C3">
              <w:t xml:space="preserve"> </w:t>
            </w:r>
            <w:r w:rsidR="005450BA" w:rsidRPr="005224C3">
              <w:t>(</w:t>
            </w:r>
            <w:r w:rsidRPr="005224C3">
              <w:t>-1,39; 1,59</w:t>
            </w:r>
            <w:r w:rsidR="005450BA" w:rsidRPr="005224C3">
              <w:t>)</w:t>
            </w:r>
          </w:p>
        </w:tc>
        <w:tc>
          <w:tcPr>
            <w:tcW w:w="473" w:type="pct"/>
            <w:tcBorders>
              <w:top w:val="nil"/>
              <w:left w:val="nil"/>
              <w:bottom w:val="nil"/>
              <w:right w:val="nil"/>
            </w:tcBorders>
            <w:vAlign w:val="center"/>
          </w:tcPr>
          <w:p w14:paraId="50801D49" w14:textId="5071B67B" w:rsidR="00A01336" w:rsidRPr="005224C3" w:rsidRDefault="007A6FF2" w:rsidP="006466C0">
            <w:pPr>
              <w:pStyle w:val="SemEspaamento"/>
              <w:rPr>
                <w:lang w:val="pt-BR"/>
              </w:rPr>
            </w:pPr>
            <w:r w:rsidRPr="005224C3">
              <w:rPr>
                <w:lang w:val="pt-BR"/>
              </w:rPr>
              <w:t>0,89</w:t>
            </w:r>
          </w:p>
        </w:tc>
      </w:tr>
      <w:tr w:rsidR="00466A1D" w:rsidRPr="005224C3" w14:paraId="40DFC208" w14:textId="77777777" w:rsidTr="00466A1D">
        <w:trPr>
          <w:trHeight w:val="20"/>
        </w:trPr>
        <w:tc>
          <w:tcPr>
            <w:tcW w:w="1719" w:type="pct"/>
            <w:tcBorders>
              <w:top w:val="nil"/>
              <w:left w:val="nil"/>
              <w:bottom w:val="nil"/>
              <w:right w:val="nil"/>
            </w:tcBorders>
            <w:vAlign w:val="bottom"/>
          </w:tcPr>
          <w:p w14:paraId="6A4464DD" w14:textId="77777777" w:rsidR="00A01336" w:rsidRPr="005224C3" w:rsidRDefault="00A01336" w:rsidP="006466C0">
            <w:pPr>
              <w:pStyle w:val="SemEspaamento"/>
              <w:rPr>
                <w:lang w:val="pt-BR"/>
              </w:rPr>
            </w:pPr>
            <w:proofErr w:type="spellStart"/>
            <w:r w:rsidRPr="005224C3">
              <w:rPr>
                <w:lang w:val="pt-BR"/>
              </w:rPr>
              <w:t>Munix</w:t>
            </w:r>
            <w:proofErr w:type="spellEnd"/>
            <w:r w:rsidRPr="005224C3">
              <w:rPr>
                <w:lang w:val="pt-BR"/>
              </w:rPr>
              <w:t xml:space="preserve"> Trapézio,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vAlign w:val="bottom"/>
          </w:tcPr>
          <w:p w14:paraId="5CDE6766" w14:textId="77777777" w:rsidR="00A01336" w:rsidRPr="005224C3" w:rsidRDefault="00A01336" w:rsidP="006466C0">
            <w:pPr>
              <w:pStyle w:val="SemEspaamento"/>
              <w:rPr>
                <w:lang w:val="pt-BR"/>
              </w:rPr>
            </w:pPr>
            <w:r w:rsidRPr="005224C3">
              <w:rPr>
                <w:lang w:val="pt-BR"/>
              </w:rPr>
              <w:t>211,5 (59,6)</w:t>
            </w:r>
          </w:p>
        </w:tc>
        <w:tc>
          <w:tcPr>
            <w:tcW w:w="782" w:type="pct"/>
            <w:tcBorders>
              <w:top w:val="nil"/>
              <w:left w:val="nil"/>
              <w:bottom w:val="nil"/>
              <w:right w:val="nil"/>
            </w:tcBorders>
            <w:vAlign w:val="bottom"/>
          </w:tcPr>
          <w:p w14:paraId="5B318A39" w14:textId="77777777" w:rsidR="00A01336" w:rsidRPr="005224C3" w:rsidRDefault="00A01336" w:rsidP="006466C0">
            <w:pPr>
              <w:pStyle w:val="SemEspaamento"/>
              <w:rPr>
                <w:lang w:val="pt-BR"/>
              </w:rPr>
            </w:pPr>
            <w:r w:rsidRPr="005224C3">
              <w:rPr>
                <w:lang w:val="pt-BR"/>
              </w:rPr>
              <w:t>204,9 (32,9)</w:t>
            </w:r>
          </w:p>
        </w:tc>
        <w:tc>
          <w:tcPr>
            <w:tcW w:w="1221" w:type="pct"/>
            <w:tcBorders>
              <w:top w:val="nil"/>
              <w:left w:val="nil"/>
              <w:bottom w:val="nil"/>
              <w:right w:val="nil"/>
            </w:tcBorders>
          </w:tcPr>
          <w:p w14:paraId="4FB399CE" w14:textId="1E39C4B5" w:rsidR="00A01336" w:rsidRPr="005224C3" w:rsidRDefault="007A6FF2" w:rsidP="006466C0">
            <w:pPr>
              <w:pStyle w:val="SemEspaamento"/>
            </w:pPr>
            <w:r w:rsidRPr="005224C3">
              <w:t>-4,5</w:t>
            </w:r>
            <w:r w:rsidR="00DB7A07" w:rsidRPr="005224C3">
              <w:t xml:space="preserve"> </w:t>
            </w:r>
            <w:r w:rsidR="005450BA" w:rsidRPr="005224C3">
              <w:t>(</w:t>
            </w:r>
            <w:r w:rsidRPr="005224C3">
              <w:t>39,30; 30,30</w:t>
            </w:r>
            <w:r w:rsidR="005450BA" w:rsidRPr="005224C3">
              <w:t>)</w:t>
            </w:r>
          </w:p>
        </w:tc>
        <w:tc>
          <w:tcPr>
            <w:tcW w:w="473" w:type="pct"/>
            <w:tcBorders>
              <w:top w:val="nil"/>
              <w:left w:val="nil"/>
              <w:bottom w:val="nil"/>
              <w:right w:val="nil"/>
            </w:tcBorders>
            <w:vAlign w:val="bottom"/>
          </w:tcPr>
          <w:p w14:paraId="16908234" w14:textId="357267B9" w:rsidR="00A01336" w:rsidRPr="005224C3" w:rsidRDefault="007A6FF2" w:rsidP="006466C0">
            <w:pPr>
              <w:pStyle w:val="SemEspaamento"/>
              <w:rPr>
                <w:lang w:val="pt-BR"/>
              </w:rPr>
            </w:pPr>
            <w:r w:rsidRPr="005224C3">
              <w:rPr>
                <w:lang w:val="pt-BR"/>
              </w:rPr>
              <w:t>0,79</w:t>
            </w:r>
          </w:p>
        </w:tc>
      </w:tr>
      <w:tr w:rsidR="00466A1D" w:rsidRPr="005224C3" w14:paraId="614A62F5" w14:textId="77777777" w:rsidTr="00466A1D">
        <w:trPr>
          <w:trHeight w:val="20"/>
        </w:trPr>
        <w:tc>
          <w:tcPr>
            <w:tcW w:w="1719" w:type="pct"/>
            <w:tcBorders>
              <w:top w:val="nil"/>
              <w:left w:val="nil"/>
              <w:bottom w:val="nil"/>
              <w:right w:val="nil"/>
            </w:tcBorders>
            <w:vAlign w:val="bottom"/>
          </w:tcPr>
          <w:p w14:paraId="63238F23" w14:textId="77777777" w:rsidR="00A01336" w:rsidRPr="005224C3" w:rsidRDefault="00A01336" w:rsidP="006466C0">
            <w:pPr>
              <w:pStyle w:val="SemEspaamento"/>
              <w:rPr>
                <w:lang w:val="pt-BR"/>
              </w:rPr>
            </w:pPr>
            <w:r w:rsidRPr="005224C3">
              <w:rPr>
                <w:lang w:val="pt-BR"/>
              </w:rPr>
              <w:t>Alfa, média(</w:t>
            </w:r>
            <w:proofErr w:type="spellStart"/>
            <w:r w:rsidRPr="005224C3">
              <w:rPr>
                <w:lang w:val="pt-BR"/>
              </w:rPr>
              <w:t>dp</w:t>
            </w:r>
            <w:proofErr w:type="spellEnd"/>
            <w:r w:rsidRPr="005224C3">
              <w:rPr>
                <w:lang w:val="pt-BR"/>
              </w:rPr>
              <w:t>)</w:t>
            </w:r>
          </w:p>
        </w:tc>
        <w:tc>
          <w:tcPr>
            <w:tcW w:w="804" w:type="pct"/>
            <w:tcBorders>
              <w:top w:val="nil"/>
              <w:left w:val="nil"/>
              <w:bottom w:val="nil"/>
              <w:right w:val="nil"/>
            </w:tcBorders>
            <w:vAlign w:val="bottom"/>
          </w:tcPr>
          <w:p w14:paraId="66371092" w14:textId="77777777" w:rsidR="00A01336" w:rsidRPr="005224C3" w:rsidRDefault="00A01336" w:rsidP="006466C0">
            <w:pPr>
              <w:pStyle w:val="SemEspaamento"/>
              <w:rPr>
                <w:lang w:val="pt-BR"/>
              </w:rPr>
            </w:pPr>
            <w:r w:rsidRPr="005224C3">
              <w:t>-1.0 (0.0)</w:t>
            </w:r>
          </w:p>
        </w:tc>
        <w:tc>
          <w:tcPr>
            <w:tcW w:w="782" w:type="pct"/>
            <w:tcBorders>
              <w:top w:val="nil"/>
              <w:left w:val="nil"/>
              <w:bottom w:val="nil"/>
              <w:right w:val="nil"/>
            </w:tcBorders>
            <w:vAlign w:val="bottom"/>
          </w:tcPr>
          <w:p w14:paraId="6983AF97" w14:textId="77777777" w:rsidR="00A01336" w:rsidRPr="005224C3" w:rsidRDefault="00A01336" w:rsidP="006466C0">
            <w:pPr>
              <w:pStyle w:val="SemEspaamento"/>
              <w:rPr>
                <w:lang w:val="pt-BR"/>
              </w:rPr>
            </w:pPr>
            <w:r w:rsidRPr="005224C3">
              <w:rPr>
                <w:lang w:val="pt-BR"/>
              </w:rPr>
              <w:t>-1,0 (0,1)</w:t>
            </w:r>
          </w:p>
        </w:tc>
        <w:tc>
          <w:tcPr>
            <w:tcW w:w="1221" w:type="pct"/>
            <w:tcBorders>
              <w:top w:val="nil"/>
              <w:left w:val="nil"/>
              <w:bottom w:val="nil"/>
              <w:right w:val="nil"/>
            </w:tcBorders>
          </w:tcPr>
          <w:p w14:paraId="4A117A5D" w14:textId="00F95C93" w:rsidR="00A01336" w:rsidRPr="005224C3" w:rsidRDefault="00CC66A9" w:rsidP="006466C0">
            <w:pPr>
              <w:pStyle w:val="SemEspaamento"/>
            </w:pPr>
            <w:r w:rsidRPr="005224C3">
              <w:t xml:space="preserve">-0,01 </w:t>
            </w:r>
            <w:r w:rsidR="005450BA" w:rsidRPr="005224C3">
              <w:t>(</w:t>
            </w:r>
            <w:r w:rsidRPr="005224C3">
              <w:t>-0,0</w:t>
            </w:r>
            <w:r w:rsidR="007A1A45" w:rsidRPr="005224C3">
              <w:t>3</w:t>
            </w:r>
            <w:r w:rsidRPr="005224C3">
              <w:t>; 0,0</w:t>
            </w:r>
            <w:r w:rsidR="007A1A45" w:rsidRPr="005224C3">
              <w:t>2</w:t>
            </w:r>
            <w:r w:rsidR="005450BA" w:rsidRPr="005224C3">
              <w:t>)</w:t>
            </w:r>
            <w:r w:rsidRPr="005224C3">
              <w:t xml:space="preserve"> </w:t>
            </w:r>
          </w:p>
        </w:tc>
        <w:tc>
          <w:tcPr>
            <w:tcW w:w="473" w:type="pct"/>
            <w:tcBorders>
              <w:top w:val="nil"/>
              <w:left w:val="nil"/>
              <w:bottom w:val="nil"/>
              <w:right w:val="nil"/>
            </w:tcBorders>
            <w:vAlign w:val="bottom"/>
          </w:tcPr>
          <w:p w14:paraId="7BF42C0A" w14:textId="0101F249" w:rsidR="00A01336" w:rsidRPr="005224C3" w:rsidRDefault="00CC66A9" w:rsidP="006466C0">
            <w:pPr>
              <w:pStyle w:val="SemEspaamento"/>
              <w:rPr>
                <w:lang w:val="pt-BR"/>
              </w:rPr>
            </w:pPr>
            <w:r w:rsidRPr="005224C3">
              <w:rPr>
                <w:lang w:val="pt-BR"/>
              </w:rPr>
              <w:t>0,68</w:t>
            </w:r>
          </w:p>
        </w:tc>
      </w:tr>
      <w:tr w:rsidR="00466A1D" w:rsidRPr="005224C3" w14:paraId="2244A856" w14:textId="77777777" w:rsidTr="00466A1D">
        <w:trPr>
          <w:trHeight w:val="20"/>
        </w:trPr>
        <w:tc>
          <w:tcPr>
            <w:tcW w:w="1719" w:type="pct"/>
            <w:tcBorders>
              <w:top w:val="nil"/>
              <w:left w:val="nil"/>
              <w:bottom w:val="nil"/>
              <w:right w:val="nil"/>
            </w:tcBorders>
            <w:vAlign w:val="center"/>
          </w:tcPr>
          <w:p w14:paraId="7DC33D6C" w14:textId="77777777" w:rsidR="001F1489" w:rsidRPr="005224C3" w:rsidRDefault="001F1489" w:rsidP="006466C0">
            <w:pPr>
              <w:pStyle w:val="SemEspaamento"/>
              <w:rPr>
                <w:lang w:val="pt-BR"/>
              </w:rPr>
            </w:pPr>
            <w:r w:rsidRPr="005224C3">
              <w:rPr>
                <w:lang w:val="pt-BR"/>
              </w:rPr>
              <w:t>SARA,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vAlign w:val="bottom"/>
          </w:tcPr>
          <w:p w14:paraId="46185211" w14:textId="77777777" w:rsidR="001F1489" w:rsidRPr="005224C3" w:rsidRDefault="001F1489" w:rsidP="006466C0">
            <w:pPr>
              <w:pStyle w:val="SemEspaamento"/>
              <w:rPr>
                <w:lang w:val="pt-BR"/>
              </w:rPr>
            </w:pPr>
            <w:r w:rsidRPr="005224C3">
              <w:rPr>
                <w:lang w:val="pt-BR"/>
              </w:rPr>
              <w:t>0 (0,0)</w:t>
            </w:r>
          </w:p>
        </w:tc>
        <w:tc>
          <w:tcPr>
            <w:tcW w:w="782" w:type="pct"/>
            <w:tcBorders>
              <w:top w:val="nil"/>
              <w:left w:val="nil"/>
              <w:bottom w:val="nil"/>
              <w:right w:val="nil"/>
            </w:tcBorders>
            <w:vAlign w:val="bottom"/>
          </w:tcPr>
          <w:p w14:paraId="2E113D81" w14:textId="77777777" w:rsidR="001F1489" w:rsidRPr="005224C3" w:rsidRDefault="001F1489" w:rsidP="006466C0">
            <w:pPr>
              <w:pStyle w:val="SemEspaamento"/>
              <w:rPr>
                <w:lang w:val="pt-BR"/>
              </w:rPr>
            </w:pPr>
            <w:r w:rsidRPr="005224C3">
              <w:rPr>
                <w:lang w:val="pt-BR"/>
              </w:rPr>
              <w:t>16,0 (9,5)</w:t>
            </w:r>
          </w:p>
        </w:tc>
        <w:tc>
          <w:tcPr>
            <w:tcW w:w="1221" w:type="pct"/>
            <w:tcBorders>
              <w:top w:val="nil"/>
              <w:left w:val="nil"/>
              <w:bottom w:val="nil"/>
              <w:right w:val="nil"/>
            </w:tcBorders>
          </w:tcPr>
          <w:p w14:paraId="04860386" w14:textId="1333BEBD" w:rsidR="001F1489" w:rsidRPr="005224C3" w:rsidRDefault="001F1489" w:rsidP="006466C0">
            <w:pPr>
              <w:pStyle w:val="SemEspaamento"/>
            </w:pPr>
            <w:r w:rsidRPr="005224C3">
              <w:t>-</w:t>
            </w:r>
          </w:p>
        </w:tc>
        <w:tc>
          <w:tcPr>
            <w:tcW w:w="473" w:type="pct"/>
            <w:tcBorders>
              <w:top w:val="nil"/>
              <w:left w:val="nil"/>
              <w:bottom w:val="nil"/>
              <w:right w:val="nil"/>
            </w:tcBorders>
          </w:tcPr>
          <w:p w14:paraId="667143D8" w14:textId="5E882688" w:rsidR="001F1489" w:rsidRPr="005224C3" w:rsidRDefault="001F1489" w:rsidP="006466C0">
            <w:pPr>
              <w:pStyle w:val="SemEspaamento"/>
              <w:rPr>
                <w:lang w:val="pt-BR"/>
              </w:rPr>
            </w:pPr>
            <w:r w:rsidRPr="005224C3">
              <w:t>-</w:t>
            </w:r>
          </w:p>
        </w:tc>
      </w:tr>
      <w:tr w:rsidR="00466A1D" w:rsidRPr="005224C3" w14:paraId="5C2FEFE4" w14:textId="77777777" w:rsidTr="00466A1D">
        <w:trPr>
          <w:trHeight w:val="20"/>
        </w:trPr>
        <w:tc>
          <w:tcPr>
            <w:tcW w:w="1719" w:type="pct"/>
            <w:tcBorders>
              <w:top w:val="nil"/>
              <w:left w:val="nil"/>
              <w:bottom w:val="single" w:sz="4" w:space="0" w:color="auto"/>
              <w:right w:val="nil"/>
            </w:tcBorders>
            <w:vAlign w:val="center"/>
          </w:tcPr>
          <w:p w14:paraId="3EFAB02D" w14:textId="77777777" w:rsidR="001F1489" w:rsidRPr="005224C3" w:rsidRDefault="001F1489" w:rsidP="006466C0">
            <w:pPr>
              <w:pStyle w:val="SemEspaamento"/>
              <w:rPr>
                <w:lang w:val="pt-BR"/>
              </w:rPr>
            </w:pPr>
            <w:r w:rsidRPr="005224C3">
              <w:rPr>
                <w:lang w:val="pt-BR"/>
              </w:rPr>
              <w:t>ICARS, mediana(</w:t>
            </w:r>
            <w:proofErr w:type="spellStart"/>
            <w:r w:rsidRPr="005224C3">
              <w:rPr>
                <w:lang w:val="pt-BR"/>
              </w:rPr>
              <w:t>iqr</w:t>
            </w:r>
            <w:proofErr w:type="spellEnd"/>
            <w:r w:rsidRPr="005224C3">
              <w:rPr>
                <w:lang w:val="pt-BR"/>
              </w:rPr>
              <w:t>)</w:t>
            </w:r>
          </w:p>
        </w:tc>
        <w:tc>
          <w:tcPr>
            <w:tcW w:w="804" w:type="pct"/>
            <w:tcBorders>
              <w:top w:val="nil"/>
              <w:left w:val="nil"/>
              <w:bottom w:val="single" w:sz="4" w:space="0" w:color="auto"/>
              <w:right w:val="nil"/>
            </w:tcBorders>
            <w:vAlign w:val="bottom"/>
          </w:tcPr>
          <w:p w14:paraId="32458C62" w14:textId="77777777" w:rsidR="001F1489" w:rsidRPr="005224C3" w:rsidRDefault="001F1489" w:rsidP="006466C0">
            <w:pPr>
              <w:pStyle w:val="SemEspaamento"/>
              <w:rPr>
                <w:lang w:val="pt-BR"/>
              </w:rPr>
            </w:pPr>
            <w:r w:rsidRPr="005224C3">
              <w:rPr>
                <w:lang w:val="pt-BR"/>
              </w:rPr>
              <w:t>-</w:t>
            </w:r>
          </w:p>
        </w:tc>
        <w:tc>
          <w:tcPr>
            <w:tcW w:w="782" w:type="pct"/>
            <w:tcBorders>
              <w:top w:val="nil"/>
              <w:left w:val="nil"/>
              <w:bottom w:val="single" w:sz="4" w:space="0" w:color="auto"/>
              <w:right w:val="nil"/>
            </w:tcBorders>
            <w:vAlign w:val="bottom"/>
          </w:tcPr>
          <w:p w14:paraId="312763DE" w14:textId="77777777" w:rsidR="001F1489" w:rsidRPr="005224C3" w:rsidRDefault="001F1489" w:rsidP="006466C0">
            <w:pPr>
              <w:pStyle w:val="SemEspaamento"/>
              <w:rPr>
                <w:lang w:val="pt-BR"/>
              </w:rPr>
            </w:pPr>
            <w:r w:rsidRPr="005224C3">
              <w:rPr>
                <w:lang w:val="pt-BR"/>
              </w:rPr>
              <w:t>46,0 (14,0)</w:t>
            </w:r>
          </w:p>
        </w:tc>
        <w:tc>
          <w:tcPr>
            <w:tcW w:w="1221" w:type="pct"/>
            <w:tcBorders>
              <w:top w:val="nil"/>
              <w:left w:val="nil"/>
              <w:bottom w:val="single" w:sz="4" w:space="0" w:color="auto"/>
              <w:right w:val="nil"/>
            </w:tcBorders>
          </w:tcPr>
          <w:p w14:paraId="0C1B2A3A" w14:textId="4C565D96" w:rsidR="001F1489" w:rsidRPr="005224C3" w:rsidRDefault="001F1489" w:rsidP="006466C0">
            <w:pPr>
              <w:pStyle w:val="SemEspaamento"/>
            </w:pPr>
            <w:r w:rsidRPr="005224C3">
              <w:t>-</w:t>
            </w:r>
          </w:p>
        </w:tc>
        <w:tc>
          <w:tcPr>
            <w:tcW w:w="473" w:type="pct"/>
            <w:tcBorders>
              <w:top w:val="nil"/>
              <w:left w:val="nil"/>
              <w:bottom w:val="single" w:sz="4" w:space="0" w:color="auto"/>
              <w:right w:val="nil"/>
            </w:tcBorders>
          </w:tcPr>
          <w:p w14:paraId="4F2F1470" w14:textId="283B2844" w:rsidR="001F1489" w:rsidRPr="005224C3" w:rsidRDefault="001F1489" w:rsidP="006466C0">
            <w:pPr>
              <w:pStyle w:val="SemEspaamento"/>
              <w:rPr>
                <w:lang w:val="pt-BR"/>
              </w:rPr>
            </w:pPr>
            <w:r w:rsidRPr="005224C3">
              <w:t>-</w:t>
            </w:r>
          </w:p>
        </w:tc>
      </w:tr>
    </w:tbl>
    <w:p w14:paraId="09131A3E" w14:textId="77777777" w:rsidR="005443DD" w:rsidRPr="005224C3" w:rsidRDefault="005443DD" w:rsidP="006466C0">
      <w:pPr>
        <w:spacing w:line="240" w:lineRule="auto"/>
      </w:pPr>
      <w:r w:rsidRPr="005224C3">
        <w:t xml:space="preserve">* Teste t de </w:t>
      </w:r>
      <w:proofErr w:type="spellStart"/>
      <w:r w:rsidRPr="005224C3">
        <w:t>student</w:t>
      </w:r>
      <w:proofErr w:type="spellEnd"/>
      <w:r w:rsidRPr="005224C3">
        <w:t xml:space="preserve"> para variáveis apresentadas em média(</w:t>
      </w:r>
      <w:proofErr w:type="spellStart"/>
      <w:r w:rsidRPr="005224C3">
        <w:t>dp</w:t>
      </w:r>
      <w:proofErr w:type="spellEnd"/>
      <w:r w:rsidRPr="005224C3">
        <w:t>) e teste de Mann-Whitney para variáveis apresentadas em mediana(</w:t>
      </w:r>
      <w:proofErr w:type="spellStart"/>
      <w:r w:rsidRPr="005224C3">
        <w:t>iqr</w:t>
      </w:r>
      <w:proofErr w:type="spellEnd"/>
      <w:r w:rsidRPr="005224C3">
        <w:t>)</w:t>
      </w:r>
    </w:p>
    <w:p w14:paraId="3CE26B04" w14:textId="77777777" w:rsidR="005443DD" w:rsidRPr="005224C3" w:rsidRDefault="005443DD" w:rsidP="00C040F2">
      <w:pPr>
        <w:spacing w:after="0" w:line="240" w:lineRule="auto"/>
      </w:pPr>
      <w:proofErr w:type="spellStart"/>
      <w:r w:rsidRPr="005224C3">
        <w:t>iqr</w:t>
      </w:r>
      <w:proofErr w:type="spellEnd"/>
      <w:r w:rsidRPr="005224C3">
        <w:t>: Intervalo interquartil</w:t>
      </w:r>
    </w:p>
    <w:p w14:paraId="55305A45" w14:textId="77777777" w:rsidR="005443DD" w:rsidRPr="005224C3" w:rsidRDefault="005443DD" w:rsidP="00C040F2">
      <w:pPr>
        <w:spacing w:after="0" w:line="240" w:lineRule="auto"/>
      </w:pPr>
      <w:r w:rsidRPr="005224C3">
        <w:t>Li: Limite Interior</w:t>
      </w:r>
    </w:p>
    <w:p w14:paraId="3B03FB1C" w14:textId="77777777" w:rsidR="005443DD" w:rsidRPr="005224C3" w:rsidRDefault="005443DD" w:rsidP="00C040F2">
      <w:pPr>
        <w:spacing w:after="0" w:line="240" w:lineRule="auto"/>
      </w:pPr>
      <w:r w:rsidRPr="005224C3">
        <w:t>Máx.: Máximo</w:t>
      </w:r>
    </w:p>
    <w:p w14:paraId="22C5262F" w14:textId="664527CD" w:rsidR="005443DD" w:rsidRPr="005224C3" w:rsidRDefault="005443DD" w:rsidP="00C040F2">
      <w:pPr>
        <w:spacing w:after="0" w:line="240" w:lineRule="auto"/>
      </w:pPr>
      <w:proofErr w:type="gramStart"/>
      <w:r w:rsidRPr="005224C3">
        <w:t>L :</w:t>
      </w:r>
      <w:proofErr w:type="gramEnd"/>
      <w:r w:rsidRPr="005224C3">
        <w:t xml:space="preserve"> Litros</w:t>
      </w:r>
    </w:p>
    <w:p w14:paraId="0614C70E" w14:textId="41FA5941" w:rsidR="00F1338D" w:rsidRPr="005224C3" w:rsidRDefault="00F1338D" w:rsidP="00C040F2">
      <w:pPr>
        <w:spacing w:after="0" w:line="240" w:lineRule="auto"/>
      </w:pPr>
      <w:r w:rsidRPr="005224C3">
        <w:t xml:space="preserve">IC 95%: Intervalo de </w:t>
      </w:r>
      <w:r w:rsidR="00001766" w:rsidRPr="005224C3">
        <w:t>Confiança de</w:t>
      </w:r>
      <w:r w:rsidRPr="005224C3">
        <w:t xml:space="preserve"> 95%</w:t>
      </w:r>
    </w:p>
    <w:p w14:paraId="005697B8" w14:textId="77777777" w:rsidR="005443DD" w:rsidRPr="005224C3" w:rsidRDefault="005443DD" w:rsidP="00A51A8F"/>
    <w:p w14:paraId="15071BA1" w14:textId="77777777" w:rsidR="005443DD" w:rsidRPr="005224C3" w:rsidRDefault="005443DD" w:rsidP="00A51A8F"/>
    <w:p w14:paraId="08A5C287" w14:textId="6EE2753A" w:rsidR="00110F08" w:rsidRPr="005224C3" w:rsidRDefault="00110F08" w:rsidP="00A51A8F">
      <w:r w:rsidRPr="005224C3">
        <w:t>Ainda, foi encontrada forte correlação positiva e significante entre SARA e ICARS nos adultos com SCA2 (</w:t>
      </w:r>
      <w:proofErr w:type="spellStart"/>
      <w:r w:rsidRPr="005224C3">
        <w:t>rho</w:t>
      </w:r>
      <w:proofErr w:type="spellEnd"/>
      <w:r w:rsidRPr="005224C3">
        <w:t>=0,83; p&lt;0,01) (Figura 1).</w:t>
      </w:r>
    </w:p>
    <w:p w14:paraId="0012B536" w14:textId="77777777" w:rsidR="005140B6" w:rsidRPr="005224C3" w:rsidRDefault="005140B6" w:rsidP="00A51A8F"/>
    <w:p w14:paraId="72059B66" w14:textId="77777777" w:rsidR="005140B6" w:rsidRPr="005224C3" w:rsidRDefault="005140B6" w:rsidP="00A51A8F"/>
    <w:p w14:paraId="3C037470" w14:textId="16FCB69D" w:rsidR="005140B6" w:rsidRPr="005224C3" w:rsidRDefault="005140B6" w:rsidP="00A51A8F">
      <w:pPr>
        <w:rPr>
          <w:sz w:val="16"/>
          <w:szCs w:val="16"/>
        </w:rPr>
      </w:pPr>
      <w:r w:rsidRPr="005224C3">
        <w:rPr>
          <w:noProof/>
        </w:rPr>
        <w:drawing>
          <wp:anchor distT="0" distB="0" distL="114300" distR="114300" simplePos="0" relativeHeight="251659264" behindDoc="0" locked="0" layoutInCell="1" allowOverlap="1" wp14:anchorId="77F657D5" wp14:editId="40948C6D">
            <wp:simplePos x="0" y="0"/>
            <wp:positionH relativeFrom="column">
              <wp:posOffset>0</wp:posOffset>
            </wp:positionH>
            <wp:positionV relativeFrom="paragraph">
              <wp:posOffset>222885</wp:posOffset>
            </wp:positionV>
            <wp:extent cx="3835400" cy="2301240"/>
            <wp:effectExtent l="0" t="0" r="0" b="3810"/>
            <wp:wrapTopAndBottom/>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35400" cy="2301240"/>
                    </a:xfrm>
                    <a:prstGeom prst="rect">
                      <a:avLst/>
                    </a:prstGeom>
                  </pic:spPr>
                </pic:pic>
              </a:graphicData>
            </a:graphic>
            <wp14:sizeRelH relativeFrom="margin">
              <wp14:pctWidth>0</wp14:pctWidth>
            </wp14:sizeRelH>
            <wp14:sizeRelV relativeFrom="margin">
              <wp14:pctHeight>0</wp14:pctHeight>
            </wp14:sizeRelV>
          </wp:anchor>
        </w:drawing>
      </w:r>
    </w:p>
    <w:p w14:paraId="47E2DA88" w14:textId="77777777" w:rsidR="005140B6" w:rsidRPr="005224C3" w:rsidRDefault="005140B6" w:rsidP="00A51A8F"/>
    <w:p w14:paraId="38A50455" w14:textId="081E27AD" w:rsidR="00785C7F" w:rsidRPr="005224C3" w:rsidRDefault="005140B6" w:rsidP="00B42D7E">
      <w:pPr>
        <w:pStyle w:val="Ttulo2"/>
      </w:pPr>
      <w:r w:rsidRPr="005224C3">
        <w:rPr>
          <w:b/>
          <w:bCs/>
        </w:rPr>
        <w:t>Figura 1.</w:t>
      </w:r>
      <w:r w:rsidRPr="005224C3">
        <w:t xml:space="preserve"> Correlação entre escores das escalas SARA e ICARS em pacientes com SCA2.</w:t>
      </w:r>
    </w:p>
    <w:p w14:paraId="03443BB8" w14:textId="77777777" w:rsidR="00160589" w:rsidRPr="005224C3" w:rsidRDefault="00160589" w:rsidP="001A3D1F">
      <w:pPr>
        <w:pStyle w:val="Corpo"/>
        <w:spacing w:line="360" w:lineRule="auto"/>
        <w:jc w:val="both"/>
        <w:rPr>
          <w:rFonts w:ascii="Arial" w:hAnsi="Arial" w:cs="Arial"/>
          <w:b/>
          <w:bCs/>
          <w:highlight w:val="yellow"/>
        </w:rPr>
      </w:pPr>
    </w:p>
    <w:p w14:paraId="1AE4F59B" w14:textId="0EBFE5BA" w:rsidR="003C7DCD" w:rsidRPr="005224C3" w:rsidRDefault="006466C0" w:rsidP="00A76167">
      <w:pPr>
        <w:pStyle w:val="Ttulo1"/>
        <w:numPr>
          <w:ilvl w:val="0"/>
          <w:numId w:val="10"/>
        </w:numPr>
        <w:rPr>
          <w:rFonts w:ascii="Arial" w:hAnsi="Arial"/>
        </w:rPr>
      </w:pPr>
      <w:r w:rsidRPr="005224C3">
        <w:rPr>
          <w:rFonts w:ascii="Arial" w:hAnsi="Arial"/>
        </w:rPr>
        <w:t>DISCUSSÃO</w:t>
      </w:r>
    </w:p>
    <w:p w14:paraId="3059C14F" w14:textId="03550910" w:rsidR="003C7DCD" w:rsidRPr="005224C3" w:rsidRDefault="00890A47" w:rsidP="00890A47">
      <w:pPr>
        <w:pStyle w:val="Ttulo1"/>
        <w:rPr>
          <w:rFonts w:ascii="Arial" w:hAnsi="Arial"/>
        </w:rPr>
      </w:pPr>
      <w:r w:rsidRPr="005224C3">
        <w:rPr>
          <w:rFonts w:ascii="Arial" w:hAnsi="Arial"/>
        </w:rPr>
        <w:t>Principais resultados</w:t>
      </w:r>
    </w:p>
    <w:p w14:paraId="70495632" w14:textId="5860FFC0" w:rsidR="00890A47" w:rsidRPr="005224C3" w:rsidRDefault="00883331" w:rsidP="00A51A8F">
      <w:pPr>
        <w:rPr>
          <w:lang w:val="en-US"/>
        </w:rPr>
      </w:pPr>
      <w:r w:rsidRPr="005224C3">
        <w:rPr>
          <w:lang w:val="en-US"/>
        </w:rPr>
        <w:t xml:space="preserve"> </w:t>
      </w:r>
    </w:p>
    <w:p w14:paraId="4811D8DA" w14:textId="6137F18F" w:rsidR="008614AB" w:rsidRPr="006466C0" w:rsidRDefault="003B782A" w:rsidP="00A51A8F">
      <w:pPr>
        <w:rPr>
          <w:color w:val="1B1B1B"/>
        </w:rPr>
      </w:pPr>
      <w:r w:rsidRPr="005224C3">
        <w:tab/>
        <w:t xml:space="preserve">Em nosso estudo, indivíduos portadores de SCA2 apresentam um comportamento respiratório diferente do observado em adultos saudáveis, principalmente por caracterizar-se como um padrão restritivo com menores </w:t>
      </w:r>
      <w:r w:rsidR="008614AB" w:rsidRPr="005224C3">
        <w:t xml:space="preserve">CVF, VEF1, </w:t>
      </w:r>
      <w:r w:rsidR="008614AB" w:rsidRPr="006466C0">
        <w:lastRenderedPageBreak/>
        <w:t>VEF1/CVF e PFE</w:t>
      </w:r>
      <w:r w:rsidRPr="006466C0">
        <w:t>,</w:t>
      </w:r>
      <w:r w:rsidR="00DC09AF" w:rsidRPr="006466C0">
        <w:t xml:space="preserve"> quando comparados ao grupo controle</w:t>
      </w:r>
      <w:r w:rsidR="008614AB" w:rsidRPr="006466C0">
        <w:t>.</w:t>
      </w:r>
      <w:r w:rsidR="008751AA" w:rsidRPr="006466C0">
        <w:t xml:space="preserve"> </w:t>
      </w:r>
      <w:r w:rsidR="00DC09AF" w:rsidRPr="006466C0">
        <w:t xml:space="preserve">A espirometria demonstrou, portanto, </w:t>
      </w:r>
      <w:r w:rsidR="008751AA" w:rsidRPr="006466C0">
        <w:t>que a</w:t>
      </w:r>
      <w:r w:rsidR="00DC09AF" w:rsidRPr="006466C0">
        <w:t xml:space="preserve"> maioria dos pacientes apresentou padrão </w:t>
      </w:r>
      <w:r w:rsidR="008751AA" w:rsidRPr="006466C0">
        <w:t>respiratório restritivo</w:t>
      </w:r>
      <w:r w:rsidR="00DC09AF" w:rsidRPr="006466C0">
        <w:t xml:space="preserve">, </w:t>
      </w:r>
      <w:r w:rsidR="00D95306" w:rsidRPr="006466C0">
        <w:t>de maneira que, fica evidenciado o comprometimento respiratório nos pacientes com SCA2.</w:t>
      </w:r>
      <w:r w:rsidR="003C57DD" w:rsidRPr="006466C0">
        <w:t xml:space="preserve"> Por outro lado, a</w:t>
      </w:r>
      <w:r w:rsidR="00A216BC" w:rsidRPr="006466C0">
        <w:rPr>
          <w:color w:val="1B1B1B"/>
        </w:rPr>
        <w:t xml:space="preserve">lguns </w:t>
      </w:r>
      <w:r w:rsidR="003C57DD" w:rsidRPr="006466C0">
        <w:rPr>
          <w:color w:val="1B1B1B"/>
        </w:rPr>
        <w:t xml:space="preserve">participantes </w:t>
      </w:r>
      <w:r w:rsidR="00A216BC" w:rsidRPr="006466C0">
        <w:rPr>
          <w:color w:val="1B1B1B"/>
        </w:rPr>
        <w:t>apresenta</w:t>
      </w:r>
      <w:r w:rsidR="003C57DD" w:rsidRPr="006466C0">
        <w:rPr>
          <w:color w:val="1B1B1B"/>
        </w:rPr>
        <w:t>ra</w:t>
      </w:r>
      <w:r w:rsidR="00A216BC" w:rsidRPr="006466C0">
        <w:rPr>
          <w:color w:val="1B1B1B"/>
        </w:rPr>
        <w:t xml:space="preserve">m quadro obstrutivo e um menor </w:t>
      </w:r>
      <w:r w:rsidR="003C57DD" w:rsidRPr="006466C0">
        <w:rPr>
          <w:color w:val="1B1B1B"/>
        </w:rPr>
        <w:t>percentual</w:t>
      </w:r>
      <w:r w:rsidR="00A216BC" w:rsidRPr="006466C0">
        <w:rPr>
          <w:color w:val="1B1B1B"/>
        </w:rPr>
        <w:t xml:space="preserve"> é de indivíduos com padrão de normalidade ventilatória</w:t>
      </w:r>
      <w:r w:rsidR="003C57DD" w:rsidRPr="006466C0">
        <w:rPr>
          <w:color w:val="1B1B1B"/>
        </w:rPr>
        <w:t xml:space="preserve">, caracterização que está </w:t>
      </w:r>
      <w:r w:rsidR="00A216BC" w:rsidRPr="006466C0">
        <w:rPr>
          <w:color w:val="1B1B1B"/>
        </w:rPr>
        <w:t>em consonância com o</w:t>
      </w:r>
      <w:r w:rsidR="00DC09AF" w:rsidRPr="006466C0">
        <w:rPr>
          <w:color w:val="1B1B1B"/>
        </w:rPr>
        <w:t xml:space="preserve">utros estudos que também avaliaram o padrão ventilatório nas </w:t>
      </w:r>
      <w:proofErr w:type="spellStart"/>
      <w:r w:rsidR="00DC09AF" w:rsidRPr="006466C0">
        <w:rPr>
          <w:color w:val="1B1B1B"/>
        </w:rPr>
        <w:t>SCAs</w:t>
      </w:r>
      <w:proofErr w:type="spellEnd"/>
      <w:r w:rsidR="00A216BC" w:rsidRPr="006466C0">
        <w:rPr>
          <w:color w:val="1B1B1B"/>
        </w:rPr>
        <w:t xml:space="preserve"> </w:t>
      </w:r>
      <w:r w:rsidR="006466C0">
        <w:rPr>
          <w:color w:val="1B1B1B"/>
        </w:rPr>
        <w:fldChar w:fldCharType="begin"/>
      </w:r>
      <w:r w:rsidR="006C66EC">
        <w:rPr>
          <w:color w:val="1B1B1B"/>
        </w:rPr>
        <w:instrText xml:space="preserve"> ADDIN ZOTERO_ITEM CSL_CITATION {"citationID":"Fz2YDtCS","properties":{"formattedCitation":"[25]","plainCitation":"[25]","noteIndex":0},"citationItems":[{"id":6908,"uris":["http://zotero.org/users/10339151/items/GRC9EQ8V"],"itemData":{"id":6908,"type":"article-journal","container-title":"Acta Neurologica Scandinavica","DOI":"10.1111/j.1600-0404.2009.01306.x","ISSN":"00016314, 16000404","language":"en","license":"http://doi.wiley.com/10.1002/tdm_license_1.1","source":"DOI.org (Crossref)","title":"Subclinical pulmonary dysfunction in spinocerebellar ataxias 1, 2 and 3","URL":"https://onlinelibrary.wiley.com/doi/10.1111/j.1600-0404.2009.01306.x","author":[{"family":"Sriranjini","given":"S. J."},{"family":"Pal","given":"P. K."},{"family":"Krishna","given":"N."},{"family":"Sathyaprabha","given":"T. N."}],"accessed":{"date-parts":[["2024",12,20]]},"issued":{"date-parts":[["2009",11]]}}}],"schema":"https://github.com/citation-style-language/schema/raw/master/csl-citation.json"} </w:instrText>
      </w:r>
      <w:r w:rsidR="006466C0">
        <w:rPr>
          <w:color w:val="1B1B1B"/>
        </w:rPr>
        <w:fldChar w:fldCharType="separate"/>
      </w:r>
      <w:r w:rsidR="006C66EC" w:rsidRPr="006C66EC">
        <w:t>[25]</w:t>
      </w:r>
      <w:r w:rsidR="006466C0">
        <w:rPr>
          <w:color w:val="1B1B1B"/>
        </w:rPr>
        <w:fldChar w:fldCharType="end"/>
      </w:r>
      <w:r w:rsidR="00DC09AF" w:rsidRPr="006466C0">
        <w:rPr>
          <w:color w:val="1B1B1B"/>
        </w:rPr>
        <w:t>(</w:t>
      </w:r>
      <w:proofErr w:type="spellStart"/>
      <w:r w:rsidR="00A216BC" w:rsidRPr="006466C0">
        <w:rPr>
          <w:color w:val="1B1B1B"/>
        </w:rPr>
        <w:t>Sriranjini</w:t>
      </w:r>
      <w:proofErr w:type="spellEnd"/>
      <w:r w:rsidR="00A216BC" w:rsidRPr="006466C0">
        <w:rPr>
          <w:color w:val="1B1B1B"/>
        </w:rPr>
        <w:t xml:space="preserve"> et al 2010). </w:t>
      </w:r>
    </w:p>
    <w:p w14:paraId="17868EFB" w14:textId="2C3ED19D" w:rsidR="00A216BC" w:rsidRPr="005224C3" w:rsidRDefault="008614AB" w:rsidP="00A51A8F">
      <w:r w:rsidRPr="006466C0">
        <w:t xml:space="preserve">Observamos </w:t>
      </w:r>
      <w:r w:rsidR="008751AA" w:rsidRPr="006466C0">
        <w:t>que a</w:t>
      </w:r>
      <w:r w:rsidR="00A216BC" w:rsidRPr="006466C0">
        <w:t xml:space="preserve"> força muscular respiratória também esteve abaixo da normalidade no comparativo do grupo SCA2 com os controles normais. O mesmo ocorreu em relação às medidas do </w:t>
      </w:r>
      <w:proofErr w:type="spellStart"/>
      <w:r w:rsidR="00A216BC" w:rsidRPr="006466C0">
        <w:t>Sniff</w:t>
      </w:r>
      <w:proofErr w:type="spellEnd"/>
      <w:r w:rsidR="00A216BC" w:rsidRPr="006466C0">
        <w:t xml:space="preserve"> e Pico de fluxo de tosse. As escalas SARA e ICARS apresentaram correlação</w:t>
      </w:r>
      <w:r w:rsidR="00D95306" w:rsidRPr="006466C0">
        <w:t xml:space="preserve"> forte</w:t>
      </w:r>
      <w:r w:rsidR="00A216BC" w:rsidRPr="006466C0">
        <w:t xml:space="preserve"> entre si. Foi demonstrado que quanto maior o tempo de doença, maiores as implicações respiratórias no grupo SCA2 e do ponto de vista da avaliação neurofisiológica, não houve diferença estatística </w:t>
      </w:r>
      <w:r w:rsidR="00D95306" w:rsidRPr="006466C0">
        <w:t xml:space="preserve">significante </w:t>
      </w:r>
      <w:r w:rsidR="00A216BC" w:rsidRPr="006466C0">
        <w:t>entre os grupos estudados.</w:t>
      </w:r>
    </w:p>
    <w:p w14:paraId="26B6DF66" w14:textId="11A89705" w:rsidR="00770440" w:rsidRPr="005224C3" w:rsidRDefault="00BC399C" w:rsidP="00A51A8F">
      <w:r w:rsidRPr="005224C3">
        <w:rPr>
          <w:lang w:val="pt-PT"/>
        </w:rPr>
        <w:t xml:space="preserve">Postula-se na atualidade, que o cerebelo também desempenhe um papel na respiração. </w:t>
      </w:r>
      <w:r w:rsidR="00DC09AF" w:rsidRPr="005224C3">
        <w:rPr>
          <w:lang w:val="pt-PT"/>
        </w:rPr>
        <w:t>Estu</w:t>
      </w:r>
      <w:r w:rsidR="005224C3" w:rsidRPr="005224C3">
        <w:rPr>
          <w:lang w:val="pt-PT"/>
        </w:rPr>
        <w:t xml:space="preserve">dos </w:t>
      </w:r>
      <w:r w:rsidR="005224C3" w:rsidRPr="005224C3">
        <w:rPr>
          <w:lang w:val="pt-PT"/>
        </w:rPr>
        <w:fldChar w:fldCharType="begin"/>
      </w:r>
      <w:r w:rsidR="006C66EC">
        <w:rPr>
          <w:lang w:val="pt-PT"/>
        </w:rPr>
        <w:instrText xml:space="preserve"> ADDIN ZOTERO_ITEM CSL_CITATION {"citationID":"J6sCkji1","properties":{"formattedCitation":"[26\\uc0\\u8211{}28]","plainCitation":"[26–28]","noteIndex":0},"citationItems":[{"id":6898,"uris":["http://zotero.org/users/10339151/items/5F2KZNEK"],"itemData":{"id":6898,"type":"article-journal","abstract":"ABSTRACT\n            \n              Spinocerebellar ataxia type 3 or Machado</w:instrText>
      </w:r>
      <w:r w:rsidR="006C66EC">
        <w:rPr>
          <w:rFonts w:ascii="Cambria Math" w:hAnsi="Cambria Math" w:cs="Cambria Math"/>
          <w:lang w:val="pt-PT"/>
        </w:rPr>
        <w:instrText>‐</w:instrText>
      </w:r>
      <w:r w:rsidR="006C66EC">
        <w:rPr>
          <w:lang w:val="pt-PT"/>
        </w:rPr>
        <w:instrText>Joseph disease is the most common spinocerebellar ataxia worldwide, and the high frequency of nonmotor manifestations in Machado</w:instrText>
      </w:r>
      <w:r w:rsidR="006C66EC">
        <w:rPr>
          <w:rFonts w:ascii="Cambria Math" w:hAnsi="Cambria Math" w:cs="Cambria Math"/>
          <w:lang w:val="pt-PT"/>
        </w:rPr>
        <w:instrText>‐</w:instrText>
      </w:r>
      <w:r w:rsidR="006C66EC">
        <w:rPr>
          <w:lang w:val="pt-PT"/>
        </w:rPr>
        <w:instrText>Joseph disease demonstrates how variable is the clinical expression of this single genetic entity. Anatomical, physiological, clinical, and functional neuroimaging data reinforce the idea of a degenerative process involving extracerebellar regions of the nervous system in Machado</w:instrText>
      </w:r>
      <w:r w:rsidR="006C66EC">
        <w:rPr>
          <w:rFonts w:ascii="Cambria Math" w:hAnsi="Cambria Math" w:cs="Cambria Math"/>
          <w:lang w:val="pt-PT"/>
        </w:rPr>
        <w:instrText>‐</w:instrText>
      </w:r>
      <w:r w:rsidR="006C66EC">
        <w:rPr>
          <w:lang w:val="pt-PT"/>
        </w:rPr>
        <w:instrText>Joseph disease. Brain imaging and neuropathologic studies have revealed atrophy of the pons, basal ganglia, midbrain, medulla oblongata, multiple cranial nerve nuclei, and thalamus and of the frontal, parietal, temporal, occipital, and limbic lobes. This review provides relevant information about nonmotor manifestations and extracerebellar symptoms in Machado</w:instrText>
      </w:r>
      <w:r w:rsidR="006C66EC">
        <w:rPr>
          <w:rFonts w:ascii="Cambria Math" w:hAnsi="Cambria Math" w:cs="Cambria Math"/>
          <w:lang w:val="pt-PT"/>
        </w:rPr>
        <w:instrText>‐</w:instrText>
      </w:r>
      <w:r w:rsidR="006C66EC">
        <w:rPr>
          <w:lang w:val="pt-PT"/>
        </w:rPr>
        <w:instrText>Joseph disease. The main nonmotor manifestations of Machado</w:instrText>
      </w:r>
      <w:r w:rsidR="006C66EC">
        <w:rPr>
          <w:rFonts w:ascii="Cambria Math" w:hAnsi="Cambria Math" w:cs="Cambria Math"/>
          <w:lang w:val="pt-PT"/>
        </w:rPr>
        <w:instrText>‐</w:instrText>
      </w:r>
      <w:r w:rsidR="006C66EC">
        <w:rPr>
          <w:lang w:val="pt-PT"/>
        </w:rPr>
        <w:instrText>Joseph disease described in previous data and discussed in this article are: sleep disorders, cognitive and affective disturbances, psychiatric symptoms, olfactory dysfunction, peripheral neuropathy, pain, cramps, fatigue, nutritional problems, and dysautonomia. In addition, we conducted a brief discussion of noncerebellar motor manifestations, highlighting movement disorders. © 2013\n              Movement\n              Disorder Society","container-title":"Movement Disorders","DOI":"10.1002/mds.25513","ISSN":"0885-3185, 1531-8257","issue":"9","journalAbbreviation":"Movement Disorders","language":"en","license":"http://onlinelibrary.wiley.com/termsAndConditions#vor","page":"1200-1208","source":"DOI.org (Crossref)","title":"Nonmotor and extracerebellar features in Machado</w:instrText>
      </w:r>
      <w:r w:rsidR="006C66EC">
        <w:rPr>
          <w:rFonts w:ascii="Cambria Math" w:hAnsi="Cambria Math" w:cs="Cambria Math"/>
          <w:lang w:val="pt-PT"/>
        </w:rPr>
        <w:instrText>‐</w:instrText>
      </w:r>
      <w:r w:rsidR="006C66EC">
        <w:rPr>
          <w:lang w:val="pt-PT"/>
        </w:rPr>
        <w:instrText>Joseph disease: A review","title-short":"Nonmotor and extracerebellar features in Machado</w:instrText>
      </w:r>
      <w:r w:rsidR="006C66EC">
        <w:rPr>
          <w:rFonts w:ascii="Cambria Math" w:hAnsi="Cambria Math" w:cs="Cambria Math"/>
          <w:lang w:val="pt-PT"/>
        </w:rPr>
        <w:instrText>‐</w:instrText>
      </w:r>
      <w:r w:rsidR="006C66EC">
        <w:rPr>
          <w:lang w:val="pt-PT"/>
        </w:rPr>
        <w:instrText>Joseph disease","volume":"28","author":[{"family":"Pedroso","given":"José Luiz"},{"family":"França","given":"Marcondes C."},{"family":"Braga</w:instrText>
      </w:r>
      <w:r w:rsidR="006C66EC">
        <w:rPr>
          <w:rFonts w:ascii="Cambria Math" w:hAnsi="Cambria Math" w:cs="Cambria Math"/>
          <w:lang w:val="pt-PT"/>
        </w:rPr>
        <w:instrText>‐</w:instrText>
      </w:r>
      <w:r w:rsidR="006C66EC">
        <w:rPr>
          <w:lang w:val="pt-PT"/>
        </w:rPr>
        <w:instrText>Neto","given":"Pedro"},{"family":"D'Abreu","given":"Anelyssa"},{"family":"Saraiva</w:instrText>
      </w:r>
      <w:r w:rsidR="006C66EC">
        <w:rPr>
          <w:rFonts w:ascii="Cambria Math" w:hAnsi="Cambria Math" w:cs="Cambria Math"/>
          <w:lang w:val="pt-PT"/>
        </w:rPr>
        <w:instrText>‐</w:instrText>
      </w:r>
      <w:r w:rsidR="006C66EC">
        <w:rPr>
          <w:lang w:val="pt-PT"/>
        </w:rPr>
        <w:instrText>Pereira","given":"Maria Luiza"},{"family":"Saute","given":"Jonas A."},{"family":"Teive","given":"Hélio A."},{"family":"Caramelli","given":"Paulo"},{"family":"Jardim","given":"Laura Bannach"},{"family":"Lopes</w:instrText>
      </w:r>
      <w:r w:rsidR="006C66EC">
        <w:rPr>
          <w:rFonts w:ascii="Cambria Math" w:hAnsi="Cambria Math" w:cs="Cambria Math"/>
          <w:lang w:val="pt-PT"/>
        </w:rPr>
        <w:instrText>‐</w:instrText>
      </w:r>
      <w:r w:rsidR="006C66EC">
        <w:rPr>
          <w:lang w:val="pt-PT"/>
        </w:rPr>
        <w:instrText xml:space="preserve">Cendes","given":"Iscia"},{"family":"Barsottini","given":"Orlando Graziani P."}],"issued":{"date-parts":[["2013",8]]}},"label":"page"},{"id":6905,"uris":["http://zotero.org/users/10339151/items/CAQ8AHYW"],"itemData":{"id":6905,"type":"article-journal","container-title":"The Cerebellum","note":"publisher: Springer","page":"196–202","source":"Google Scholar","title":"Abnormal findings in polysomnographic recordings of patients with spinocerebellar ataxia type 2 (SCA2)","volume":"18","author":[{"family":"Zanatta","given":"Alessandra"},{"family":"Camargo","given":"Carlos Henrique Ferreira"},{"family":"Germiniani","given":"Francisco Manoel Branco"},{"family":"Raskin","given":"Salmo"},{"family":"Souza Crippa","given":"Ana Chrystina","non-dropping-particle":"de"},{"family":"Teive","given":"Hélio Afonso Ghizoni"}],"issued":{"date-parts":[["2019"]]}},"label":"page"},{"id":6907,"uris":["http://zotero.org/users/10339151/items/F8YDPKFG"],"itemData":{"id":6907,"type":"article-journal","container-title":"Neurology","DOI":"10.1212/01.wnl.0000247054.90322.14","ISSN":"0028-3878, 1526-632X","issue":"11","journalAbbreviation":"Neurology","language":"en","page":"1966-1972","source":"DOI.org (Crossref)","title":"Stages of sleep pathology in spinocerebellar ataxia type 2 (SCA2)","volume":"67","author":[{"family":"Tuin","given":"I."},{"family":"Voss","given":"U."},{"family":"Kang","given":"J. -S."},{"family":"Kessler","given":"K."},{"family":"Rüb","given":"U."},{"family":"Nolte","given":"D."},{"family":"Lochmüller","given":"H."},{"family":"Tinschert","given":"S."},{"family":"Claus","given":"D."},{"family":"Krakow","given":"K."},{"family":"Pflug","given":"B."},{"family":"Steinmetz","given":"H."},{"family":"Auburger","given":"G."}],"issued":{"date-parts":[["2006",12,12]]}},"label":"page"}],"schema":"https://github.com/citation-style-language/schema/raw/master/csl-citation.json"} </w:instrText>
      </w:r>
      <w:r w:rsidR="005224C3" w:rsidRPr="005224C3">
        <w:rPr>
          <w:lang w:val="pt-PT"/>
        </w:rPr>
        <w:fldChar w:fldCharType="separate"/>
      </w:r>
      <w:r w:rsidR="006C66EC" w:rsidRPr="006C66EC">
        <w:rPr>
          <w:szCs w:val="24"/>
        </w:rPr>
        <w:t>[26–28]</w:t>
      </w:r>
      <w:r w:rsidR="005224C3" w:rsidRPr="005224C3">
        <w:rPr>
          <w:lang w:val="pt-PT"/>
        </w:rPr>
        <w:fldChar w:fldCharType="end"/>
      </w:r>
      <w:r w:rsidR="00DC09AF" w:rsidRPr="005224C3">
        <w:rPr>
          <w:lang w:val="pt-PT"/>
        </w:rPr>
        <w:t xml:space="preserve"> relatam que o sono é muito implicado nas </w:t>
      </w:r>
      <w:proofErr w:type="spellStart"/>
      <w:r w:rsidR="00DC09AF" w:rsidRPr="005224C3">
        <w:rPr>
          <w:lang w:val="pt-PT"/>
        </w:rPr>
        <w:t>SCAs</w:t>
      </w:r>
      <w:proofErr w:type="spellEnd"/>
      <w:r w:rsidR="00DC09AF" w:rsidRPr="005224C3">
        <w:rPr>
          <w:lang w:val="pt-PT"/>
        </w:rPr>
        <w:t xml:space="preserve">. </w:t>
      </w:r>
      <w:r w:rsidRPr="005224C3">
        <w:rPr>
          <w:lang w:val="pt-PT"/>
        </w:rPr>
        <w:t xml:space="preserve">O sono é uma etapa vital da função respiratória, os distúrbios do sono estão presentes em um amplo número de doenças neurodegenerativas, tais como, Parkinson, Alzheimer, atrofia de múltiplos sistemas, doenças por corpos de </w:t>
      </w:r>
      <w:proofErr w:type="spellStart"/>
      <w:r w:rsidRPr="005224C3">
        <w:rPr>
          <w:lang w:val="pt-PT"/>
        </w:rPr>
        <w:t>Lewi</w:t>
      </w:r>
      <w:proofErr w:type="spellEnd"/>
      <w:r w:rsidRPr="005224C3">
        <w:rPr>
          <w:lang w:val="pt-PT"/>
        </w:rPr>
        <w:t xml:space="preserve"> e inclusive, entre as </w:t>
      </w:r>
      <w:proofErr w:type="spellStart"/>
      <w:r w:rsidRPr="005224C3">
        <w:rPr>
          <w:lang w:val="pt-PT"/>
        </w:rPr>
        <w:t>SCAs</w:t>
      </w:r>
      <w:proofErr w:type="spellEnd"/>
      <w:r w:rsidR="00BA3F88" w:rsidRPr="005224C3">
        <w:rPr>
          <w:lang w:val="pt-PT"/>
        </w:rPr>
        <w:fldChar w:fldCharType="begin"/>
      </w:r>
      <w:r w:rsidR="006C66EC">
        <w:rPr>
          <w:lang w:val="pt-PT"/>
        </w:rPr>
        <w:instrText xml:space="preserve"> ADDIN ZOTERO_ITEM CSL_CITATION {"citationID":"JI5yJp0D","properties":{"formattedCitation":"[26]","plainCitation":"[26]","noteIndex":0},"citationItems":[{"id":6898,"uris":["http://zotero.org/users/10339151/items/5F2KZNEK"],"itemData":{"id":6898,"type":"article-journal","abstract":"ABSTRACT\n            \n              Spinocerebellar ataxia type 3 or Machado</w:instrText>
      </w:r>
      <w:r w:rsidR="006C66EC">
        <w:rPr>
          <w:rFonts w:ascii="Cambria Math" w:hAnsi="Cambria Math" w:cs="Cambria Math"/>
          <w:lang w:val="pt-PT"/>
        </w:rPr>
        <w:instrText>‐</w:instrText>
      </w:r>
      <w:r w:rsidR="006C66EC">
        <w:rPr>
          <w:lang w:val="pt-PT"/>
        </w:rPr>
        <w:instrText>Joseph disease is the most common spinocerebellar ataxia worldwide, and the high frequency of nonmotor manifestations in Machado</w:instrText>
      </w:r>
      <w:r w:rsidR="006C66EC">
        <w:rPr>
          <w:rFonts w:ascii="Cambria Math" w:hAnsi="Cambria Math" w:cs="Cambria Math"/>
          <w:lang w:val="pt-PT"/>
        </w:rPr>
        <w:instrText>‐</w:instrText>
      </w:r>
      <w:r w:rsidR="006C66EC">
        <w:rPr>
          <w:lang w:val="pt-PT"/>
        </w:rPr>
        <w:instrText>Joseph disease demonstrates how variable is the clinical expression of this single genetic entity. Anatomical, physiological, clinical, and functional neuroimaging data reinforce the idea of a degenerative process involving extracerebellar regions of the nervous system in Machado</w:instrText>
      </w:r>
      <w:r w:rsidR="006C66EC">
        <w:rPr>
          <w:rFonts w:ascii="Cambria Math" w:hAnsi="Cambria Math" w:cs="Cambria Math"/>
          <w:lang w:val="pt-PT"/>
        </w:rPr>
        <w:instrText>‐</w:instrText>
      </w:r>
      <w:r w:rsidR="006C66EC">
        <w:rPr>
          <w:lang w:val="pt-PT"/>
        </w:rPr>
        <w:instrText>Joseph disease. Brain imaging and neuropathologic studies have revealed atrophy of the pons, basal ganglia, midbrain, medulla oblongata, multiple cranial nerve nuclei, and thalamus and of the frontal, parietal, temporal, occipital, and limbic lobes. This review provides relevant information about nonmotor manifestations and extracerebellar symptoms in Machado</w:instrText>
      </w:r>
      <w:r w:rsidR="006C66EC">
        <w:rPr>
          <w:rFonts w:ascii="Cambria Math" w:hAnsi="Cambria Math" w:cs="Cambria Math"/>
          <w:lang w:val="pt-PT"/>
        </w:rPr>
        <w:instrText>‐</w:instrText>
      </w:r>
      <w:r w:rsidR="006C66EC">
        <w:rPr>
          <w:lang w:val="pt-PT"/>
        </w:rPr>
        <w:instrText>Joseph disease. The main nonmotor manifestations of Machado</w:instrText>
      </w:r>
      <w:r w:rsidR="006C66EC">
        <w:rPr>
          <w:rFonts w:ascii="Cambria Math" w:hAnsi="Cambria Math" w:cs="Cambria Math"/>
          <w:lang w:val="pt-PT"/>
        </w:rPr>
        <w:instrText>‐</w:instrText>
      </w:r>
      <w:r w:rsidR="006C66EC">
        <w:rPr>
          <w:lang w:val="pt-PT"/>
        </w:rPr>
        <w:instrText>Joseph disease described in previous data and discussed in this article are: sleep disorders, cognitive and affective disturbances, psychiatric symptoms, olfactory dysfunction, peripheral neuropathy, pain, cramps, fatigue, nutritional problems, and dysautonomia. In addition, we conducted a brief discussion of noncerebellar motor manifestations, highlighting movement disorders. © 2013\n              Movement\n              Disorder Society","container-title":"Movement Disorders","DOI":"10.1002/mds.25513","ISSN":"0885-3185, 1531-8257","issue":"9","journalAbbreviation":"Movement Disorders","language":"en","license":"http://onlinelibrary.wiley.com/termsAndConditions#vor","page":"1200-1208","source":"DOI.org (Crossref)","title":"Nonmotor and extracerebellar features in Machado</w:instrText>
      </w:r>
      <w:r w:rsidR="006C66EC">
        <w:rPr>
          <w:rFonts w:ascii="Cambria Math" w:hAnsi="Cambria Math" w:cs="Cambria Math"/>
          <w:lang w:val="pt-PT"/>
        </w:rPr>
        <w:instrText>‐</w:instrText>
      </w:r>
      <w:r w:rsidR="006C66EC">
        <w:rPr>
          <w:lang w:val="pt-PT"/>
        </w:rPr>
        <w:instrText>Joseph disease: A review","title-short":"Nonmotor and extracerebellar features in Machado</w:instrText>
      </w:r>
      <w:r w:rsidR="006C66EC">
        <w:rPr>
          <w:rFonts w:ascii="Cambria Math" w:hAnsi="Cambria Math" w:cs="Cambria Math"/>
          <w:lang w:val="pt-PT"/>
        </w:rPr>
        <w:instrText>‐</w:instrText>
      </w:r>
      <w:r w:rsidR="006C66EC">
        <w:rPr>
          <w:lang w:val="pt-PT"/>
        </w:rPr>
        <w:instrText>Joseph disease","volume":"28","author":[{"family":"Pedroso","given":"José Luiz"},{"family":"França","given":"Marcondes C."},{"family":"Braga</w:instrText>
      </w:r>
      <w:r w:rsidR="006C66EC">
        <w:rPr>
          <w:rFonts w:ascii="Cambria Math" w:hAnsi="Cambria Math" w:cs="Cambria Math"/>
          <w:lang w:val="pt-PT"/>
        </w:rPr>
        <w:instrText>‐</w:instrText>
      </w:r>
      <w:r w:rsidR="006C66EC">
        <w:rPr>
          <w:lang w:val="pt-PT"/>
        </w:rPr>
        <w:instrText>Neto","given":"Pedro"},{"family":"D'Abreu","given":"Anelyssa"},{"family":"Saraiva</w:instrText>
      </w:r>
      <w:r w:rsidR="006C66EC">
        <w:rPr>
          <w:rFonts w:ascii="Cambria Math" w:hAnsi="Cambria Math" w:cs="Cambria Math"/>
          <w:lang w:val="pt-PT"/>
        </w:rPr>
        <w:instrText>‐</w:instrText>
      </w:r>
      <w:r w:rsidR="006C66EC">
        <w:rPr>
          <w:lang w:val="pt-PT"/>
        </w:rPr>
        <w:instrText>Pereira","given":"Maria Luiza"},{"family":"Saute","given":"Jonas A."},{"family":"Teive","given":"Hélio A."},{"family":"Caramelli","given":"Paulo"},{"family":"Jardim","given":"Laura Bannach"},{"family":"Lopes</w:instrText>
      </w:r>
      <w:r w:rsidR="006C66EC">
        <w:rPr>
          <w:rFonts w:ascii="Cambria Math" w:hAnsi="Cambria Math" w:cs="Cambria Math"/>
          <w:lang w:val="pt-PT"/>
        </w:rPr>
        <w:instrText>‐</w:instrText>
      </w:r>
      <w:r w:rsidR="006C66EC">
        <w:rPr>
          <w:lang w:val="pt-PT"/>
        </w:rPr>
        <w:instrText xml:space="preserve">Cendes","given":"Iscia"},{"family":"Barsottini","given":"Orlando Graziani P."}],"issued":{"date-parts":[["2013",8]]}}}],"schema":"https://github.com/citation-style-language/schema/raw/master/csl-citation.json"} </w:instrText>
      </w:r>
      <w:r w:rsidR="00BA3F88" w:rsidRPr="005224C3">
        <w:rPr>
          <w:lang w:val="pt-PT"/>
        </w:rPr>
        <w:fldChar w:fldCharType="separate"/>
      </w:r>
      <w:r w:rsidR="006C66EC" w:rsidRPr="006C66EC">
        <w:t>[26]</w:t>
      </w:r>
      <w:r w:rsidR="00BA3F88" w:rsidRPr="005224C3">
        <w:rPr>
          <w:lang w:val="pt-PT"/>
        </w:rPr>
        <w:fldChar w:fldCharType="end"/>
      </w:r>
      <w:r w:rsidRPr="005224C3">
        <w:rPr>
          <w:lang w:val="pt-PT"/>
        </w:rPr>
        <w:t>.</w:t>
      </w:r>
      <w:r w:rsidRPr="005224C3">
        <w:t xml:space="preserve"> </w:t>
      </w:r>
      <w:r w:rsidR="00D95306" w:rsidRPr="005224C3">
        <w:t xml:space="preserve"> Nossa hipótese, portanto, de que os pacientes com SCA2 teriam prejuízos ventilatórios, foi confirmada. Acreditamos que mais pesquisas serão necessárias nas </w:t>
      </w:r>
      <w:proofErr w:type="spellStart"/>
      <w:r w:rsidR="00D95306" w:rsidRPr="005224C3">
        <w:t>SCAs</w:t>
      </w:r>
      <w:proofErr w:type="spellEnd"/>
      <w:r w:rsidR="00D95306" w:rsidRPr="005224C3">
        <w:t xml:space="preserve"> a fim de evidenciar se esse acometimento se repete em outr</w:t>
      </w:r>
      <w:r w:rsidR="00DC09AF" w:rsidRPr="005224C3">
        <w:t>os tipos de ataxia</w:t>
      </w:r>
      <w:r w:rsidR="00D95306" w:rsidRPr="005224C3">
        <w:t>. A relevância do estudo</w:t>
      </w:r>
      <w:r w:rsidR="00DC09AF" w:rsidRPr="005224C3">
        <w:t xml:space="preserve"> consiste na demonstração que</w:t>
      </w:r>
      <w:r w:rsidR="00770440" w:rsidRPr="005224C3">
        <w:t xml:space="preserve"> a função respiratória (ventilatória) está prejudicada nos pacientes estudados. </w:t>
      </w:r>
    </w:p>
    <w:p w14:paraId="17BC3722" w14:textId="77777777" w:rsidR="00A216BC" w:rsidRPr="005224C3" w:rsidRDefault="00A216BC" w:rsidP="00A51A8F"/>
    <w:p w14:paraId="2908109C" w14:textId="2E78BB4A" w:rsidR="00890A47" w:rsidRPr="005224C3" w:rsidRDefault="00890A47" w:rsidP="00890A47">
      <w:pPr>
        <w:pStyle w:val="Ttulo1"/>
        <w:rPr>
          <w:rFonts w:ascii="Arial" w:hAnsi="Arial"/>
        </w:rPr>
      </w:pPr>
      <w:r w:rsidRPr="005224C3">
        <w:rPr>
          <w:rFonts w:ascii="Arial" w:hAnsi="Arial"/>
        </w:rPr>
        <w:t>Limitações</w:t>
      </w:r>
    </w:p>
    <w:p w14:paraId="1CB464E3" w14:textId="4248C886" w:rsidR="00883331" w:rsidRPr="005224C3" w:rsidRDefault="003C57DD" w:rsidP="00A51A8F">
      <w:r w:rsidRPr="005224C3">
        <w:t xml:space="preserve"> </w:t>
      </w:r>
    </w:p>
    <w:p w14:paraId="4E11E8DF" w14:textId="3C995942" w:rsidR="000E65A9" w:rsidRPr="005224C3" w:rsidRDefault="003C57DD" w:rsidP="00A51A8F">
      <w:r w:rsidRPr="005224C3">
        <w:t>O tamanho da amostra reduzido é uma limitação reconhecida no presente estudo. Isso ocorreu por</w:t>
      </w:r>
      <w:r w:rsidR="004D342B" w:rsidRPr="005224C3">
        <w:t xml:space="preserve"> dificuldades </w:t>
      </w:r>
      <w:r w:rsidRPr="005224C3">
        <w:t>para o recrutamento</w:t>
      </w:r>
      <w:r w:rsidR="004D342B" w:rsidRPr="005224C3">
        <w:t xml:space="preserve"> de </w:t>
      </w:r>
      <w:r w:rsidRPr="005224C3">
        <w:t>participantes</w:t>
      </w:r>
      <w:r w:rsidR="00743344" w:rsidRPr="005224C3">
        <w:t xml:space="preserve">, </w:t>
      </w:r>
      <w:r w:rsidRPr="005224C3">
        <w:t xml:space="preserve">porque </w:t>
      </w:r>
      <w:r w:rsidR="004D342B" w:rsidRPr="005224C3">
        <w:t>muitos abandonam o tratamento por desesperança</w:t>
      </w:r>
      <w:r w:rsidR="00AE569F" w:rsidRPr="005224C3">
        <w:t xml:space="preserve">, dificuldades em obter um acompanhamento </w:t>
      </w:r>
      <w:proofErr w:type="spellStart"/>
      <w:r w:rsidR="00AE569F" w:rsidRPr="005224C3">
        <w:t>reabilitacional</w:t>
      </w:r>
      <w:proofErr w:type="spellEnd"/>
      <w:r w:rsidR="004D342B" w:rsidRPr="005224C3">
        <w:t>,</w:t>
      </w:r>
      <w:r w:rsidRPr="005224C3">
        <w:t xml:space="preserve"> além de </w:t>
      </w:r>
      <w:r w:rsidR="004D342B" w:rsidRPr="005224C3">
        <w:t xml:space="preserve">outros </w:t>
      </w:r>
      <w:r w:rsidRPr="005224C3">
        <w:t xml:space="preserve">que </w:t>
      </w:r>
      <w:r w:rsidR="004D342B" w:rsidRPr="005224C3">
        <w:t>mudaram de endereço e telefone e não foram localizados</w:t>
      </w:r>
      <w:r w:rsidR="00743344" w:rsidRPr="005224C3">
        <w:t>. O</w:t>
      </w:r>
      <w:r w:rsidR="004D342B" w:rsidRPr="005224C3">
        <w:t xml:space="preserve">utro aspecto que dificultou </w:t>
      </w:r>
      <w:r w:rsidRPr="005224C3">
        <w:t xml:space="preserve">a viabilidade da </w:t>
      </w:r>
      <w:r w:rsidR="004D342B" w:rsidRPr="005224C3">
        <w:t xml:space="preserve">nossa pesquisa foi a pandemia de </w:t>
      </w:r>
      <w:r w:rsidRPr="005224C3">
        <w:t>COVID-</w:t>
      </w:r>
      <w:r w:rsidR="004D342B" w:rsidRPr="005224C3">
        <w:t>19</w:t>
      </w:r>
      <w:r w:rsidR="00AE569F" w:rsidRPr="005224C3">
        <w:t xml:space="preserve">, uma vez que, </w:t>
      </w:r>
      <w:r w:rsidR="00743344" w:rsidRPr="005224C3">
        <w:t xml:space="preserve">o isolamento social afastou os pacientes do setor de neurologia e neuro ataxia de maneira que os que compareciam o faziam em situação de extrema necessidade. </w:t>
      </w:r>
    </w:p>
    <w:p w14:paraId="53C1A3E6" w14:textId="05150FE1" w:rsidR="00890A47" w:rsidRPr="005224C3" w:rsidRDefault="005224C3" w:rsidP="00883331">
      <w:pPr>
        <w:pStyle w:val="Ttulo1"/>
        <w:rPr>
          <w:rFonts w:ascii="Arial" w:hAnsi="Arial"/>
        </w:rPr>
      </w:pPr>
      <w:r w:rsidRPr="005224C3">
        <w:rPr>
          <w:rFonts w:ascii="Arial" w:hAnsi="Arial"/>
        </w:rPr>
        <w:t>Interpretação</w:t>
      </w:r>
    </w:p>
    <w:p w14:paraId="5AE82539" w14:textId="7DAB8AAF" w:rsidR="00890A47" w:rsidRPr="005224C3" w:rsidRDefault="00883331" w:rsidP="00A51A8F">
      <w:pPr>
        <w:rPr>
          <w:lang w:val="en-US"/>
        </w:rPr>
      </w:pPr>
      <w:r w:rsidRPr="005224C3">
        <w:rPr>
          <w:lang w:val="en-US"/>
        </w:rPr>
        <w:t xml:space="preserve"> </w:t>
      </w:r>
    </w:p>
    <w:p w14:paraId="39754250" w14:textId="5ADBB99F" w:rsidR="00973169" w:rsidRPr="005224C3" w:rsidRDefault="00973169" w:rsidP="00A51A8F">
      <w:r w:rsidRPr="005224C3">
        <w:t xml:space="preserve">Nas ataxias em geral, a função respiratória é pouco valorizada, de modo que as implicações respiratórias são subdiagnosticadas. Nesse contexto, exceção seja feita aos casos de ataxia telangiectasia (AT) que sabidamente cursam para além da </w:t>
      </w:r>
      <w:r w:rsidRPr="005224C3">
        <w:rPr>
          <w:color w:val="212121"/>
          <w:shd w:val="clear" w:color="auto" w:fill="FFFFFF"/>
        </w:rPr>
        <w:t>ataxia cerebelar progressiva, com imunodeficiência, insuficiência respiratória e suscetibilidade ao câncer</w:t>
      </w:r>
      <w:r w:rsidR="00BA3F88" w:rsidRPr="005224C3">
        <w:rPr>
          <w:color w:val="212121"/>
          <w:shd w:val="clear" w:color="auto" w:fill="FFFFFF"/>
        </w:rPr>
        <w:fldChar w:fldCharType="begin"/>
      </w:r>
      <w:r w:rsidR="006C66EC">
        <w:rPr>
          <w:color w:val="212121"/>
          <w:shd w:val="clear" w:color="auto" w:fill="FFFFFF"/>
        </w:rPr>
        <w:instrText xml:space="preserve"> ADDIN ZOTERO_ITEM CSL_CITATION {"citationID":"4FHc005p","properties":{"formattedCitation":"[29,30]","plainCitation":"[29,30]","noteIndex":0},"citationItems":[{"id":6900,"uris":["http://zotero.org/users/10339151/items/VEJUZ23Z"],"itemData":{"id":6900,"type":"article-journal","abstract":"Abstract\n            \n              Patients with ataxia-telangiectasia (A-T) suffer from progressive cerebellar ataxia, immunodeficiency, respiratory failure, and cancer susceptibility. From a clinical point of view, A-T patients with IgA deficiency show more symptoms and may have a poorer prognosis. In this study, we analyzed mortality and immunity data of 659 A-T patients with regard to IgA deficiency collected from the European Society for Immunodeficiencies (ESID) registry and from 66 patients with classical A-T who attended at the Frankfurt Goethe-University between 2012 and 2018. We studied peripheral B- and T-cell subsets and T-cell repertoire of the Frankfurt cohort and survival rates of all A-T patients in the ESID registry. Patients with A-T have significant alterations in their lymphocyte phenotypes. All subsets (CD3, CD4, CD8, CD19, CD4/CD45RA, and CD8/CD45RA) were significantly diminished compared to standard values. Patients with IgA deficiency (\n              n\n               = 35) had significantly lower lymphocyte counts compared to A-T patients without IgA deficiency (\n              n\n               = 31) due to a further decrease of naïve CD4 T-cells, central memory CD4 cells, and regulatory T-cells. Although both patient groups showed affected TCR-ß repertoires compared to controls, no differences could be detected between patients with and without IgA deficiency. Overall survival of patients with IgA deficiency was significantly diminished. For the first time, our data show that patients with IgA deficiency have significantly lower lymphocyte counts and subsets, which are accompanied with reduced survival, compared to A-T patients without IgA deficiency. IgA, a simple surrogate marker, is indicating the poorest prognosis for classical A-T patients. Both non-interventional clinical trials were registered at clinicaltrials.gov 2012 (Susceptibility to infections in ataxia-telangiectasia; NCT02345135) and 2017 (Susceptibility to Infections, tumor risk and liver disease in patients with ataxia-telangiectasia; NCT03357978)","container-title":"Journal of Clinical Immunology","DOI":"10.1007/s10875-021-01090-8","ISSN":"0271-9142, 1573-2592","issue":"8","journalAbbreviation":"J Clin Immunol","language":"en","page":"1878-1892","source":"DOI.org (Crossref)","title":"Simple Measurement of IgA Predicts Immunity and Mortality in Ataxia-Telangiectasia","volume":"41","author":[{"family":"Zielen","given":"Stefan"},{"family":"Duecker","given":"Ruth Pia"},{"family":"Woelke","given":"Sandra"},{"family":"Donath","given":"Helena"},{"family":"Bakhtiar","given":"Sharhzad"},{"family":"Buecker","given":"Aileen"},{"family":"Kreyenberg","given":"Hermann"},{"family":"Huenecke","given":"Sabine"},{"family":"Bader","given":"Peter"},{"family":"Mahlaoui","given":"Nizar"},{"family":"Ehl","given":"Stephan"},{"family":"El-Helou","given":"Sabine M."},{"family":"Pietrucha","given":"Barbara"},{"family":"Plebani","given":"Alessandro"},{"family":"Van Der Flier","given":"Michiel"},{"family":"Van Aerde","given":"Koen"},{"family":"Kilic","given":"Sara S."},{"family":"Reda","given":"Shereen M."},{"family":"Kostyuchenko","given":"Larysa"},{"family":"McDermott","given":"Elizabeth"},{"family":"Galal","given":"Nermeen"},{"family":"Pignata","given":"Claudio"},{"family":"Pérez","given":"Juan Luis Santos"},{"family":"Laws","given":"Hans-Juergen"},{"family":"Niehues","given":"Tim"},{"family":"Kutukculer","given":"Necil"},{"family":"Seidel","given":"Markus G."},{"family":"Marques","given":"Laura"},{"family":"Ciznar","given":"Peter"},{"family":"Edgar","given":"John David M."},{"family":"Soler-Palacín","given":"Pere"},{"family":"Von Bernuth","given":"Horst"},{"family":"Krueger","given":"Renate"},{"family":"Meyts","given":"Isabelle"},{"family":"Baumann","given":"Ulrich"},{"family":"Kanariou","given":"Maria"},{"family":"Grimbacher","given":"Bodo"},{"family":"Hauck","given":"Fabian"},{"family":"Graf","given":"Dagmar"},{"family":"Granado","given":"Luis Ignacio Gonzalez"},{"family":"Prader","given":"Seraina"},{"family":"Reisli","given":"Ismail"},{"family":"Slatter","given":"Mary"},{"family":"Rodríguez-Gallego","given":"Carlos"},{"family":"Arkwright","given":"Peter D."},{"family":"Bethune","given":"Claire"},{"family":"Deripapa","given":"Elena"},{"family":"Sharapova","given":"Svetlana O."},{"family":"Lehmberg","given":"Kai"},{"family":"Davies","given":"E. Graham"},{"family":"Schuetz","given":"Catharina"},{"family":"Kindle","given":"Gerhard"},{"family":"Schubert","given":"Ralf"}],"issued":{"date-parts":[["2021",11]]}}},{"id":6902,"uris":["http://zotero.org/users/10339151/items/UN2R4SNN"],"itemData":{"id":6902,"type":"article-journal","container-title":"Journal of Asthma","DOI":"10.3109/02770903.2015.1032304","ISSN":"0277-0903, 1532-4303","issue":"1","journalAbbreviation":"Journal of Asthma","language":"en","page":"37-42","source":"DOI.org (Crossref)","title":"Cough ability measurements and recurrent respiratory symptoms in individuals with Ataxia Telangiectasia","volume":"53","author":[{"family":"Vilozni","given":"Daphna"},{"family":"Lavie","given":"Moran"},{"family":"Sarouk","given":"Ifat"},{"family":"Levi","given":"Yonit"},{"family":"Alcaneses Ofek","given":"Mary-Rose"},{"family":"Efrati","given":"Ori"}],"issued":{"date-parts":[["2016",1,2]]}},"label":"page"}],"schema":"https://github.com/citation-style-language/schema/raw/master/csl-citation.json"} </w:instrText>
      </w:r>
      <w:r w:rsidR="00BA3F88" w:rsidRPr="005224C3">
        <w:rPr>
          <w:color w:val="212121"/>
          <w:shd w:val="clear" w:color="auto" w:fill="FFFFFF"/>
        </w:rPr>
        <w:fldChar w:fldCharType="separate"/>
      </w:r>
      <w:r w:rsidR="006C66EC" w:rsidRPr="006C66EC">
        <w:t>[29,30]</w:t>
      </w:r>
      <w:r w:rsidR="00BA3F88" w:rsidRPr="005224C3">
        <w:rPr>
          <w:color w:val="212121"/>
          <w:shd w:val="clear" w:color="auto" w:fill="FFFFFF"/>
        </w:rPr>
        <w:fldChar w:fldCharType="end"/>
      </w:r>
      <w:r w:rsidRPr="005224C3">
        <w:rPr>
          <w:color w:val="212121"/>
          <w:shd w:val="clear" w:color="auto" w:fill="FFFFFF"/>
        </w:rPr>
        <w:t xml:space="preserve"> </w:t>
      </w:r>
      <w:r w:rsidR="00AB0CF3" w:rsidRPr="005224C3">
        <w:rPr>
          <w:color w:val="212121"/>
          <w:shd w:val="clear" w:color="auto" w:fill="FFFFFF"/>
        </w:rPr>
        <w:t xml:space="preserve">, e </w:t>
      </w:r>
      <w:r w:rsidRPr="005224C3">
        <w:rPr>
          <w:color w:val="212121"/>
          <w:shd w:val="clear" w:color="auto" w:fill="FFFFFF"/>
        </w:rPr>
        <w:t xml:space="preserve">os demais casos não são avaliados. </w:t>
      </w:r>
    </w:p>
    <w:p w14:paraId="627DD2C6" w14:textId="3CD0A1EC" w:rsidR="00973169" w:rsidRPr="005224C3" w:rsidRDefault="00973169" w:rsidP="00A51A8F">
      <w:r w:rsidRPr="005224C3">
        <w:t xml:space="preserve">Considerando os aspectos abordados neste e em outros estudos, com evidências de comprometimento dos neurônios do tronco cerebral, dos núcleos dos pares cranianos, em especial o XII (nervo hipoglosso) bem como, as lesões referidas no nervo </w:t>
      </w:r>
      <w:r w:rsidRPr="005224C3">
        <w:lastRenderedPageBreak/>
        <w:t xml:space="preserve">frênico (V par craniano) que tem origem entre C3 e C5 e suas repercussões sobre o desempenho do diafragma, podendo desencadear </w:t>
      </w:r>
      <w:proofErr w:type="spellStart"/>
      <w:r w:rsidRPr="005224C3">
        <w:t>hipoventilação</w:t>
      </w:r>
      <w:proofErr w:type="spellEnd"/>
      <w:r w:rsidRPr="005224C3">
        <w:t xml:space="preserve"> respiratória decorrente da fraqueza diafragmática, considerando os achados dos estudos  </w:t>
      </w:r>
      <w:r w:rsidRPr="005224C3">
        <w:rPr>
          <w:i/>
          <w:iCs/>
        </w:rPr>
        <w:t>pós mortem</w:t>
      </w:r>
      <w:r w:rsidRPr="005224C3">
        <w:t xml:space="preserve"> em humanos e em animais de laboratório, em presença de </w:t>
      </w:r>
      <w:proofErr w:type="spellStart"/>
      <w:r w:rsidRPr="005224C3">
        <w:t>SCAs</w:t>
      </w:r>
      <w:proofErr w:type="spellEnd"/>
      <w:r w:rsidRPr="005224C3">
        <w:t xml:space="preserve">, tipos: 1,2,3,4,6,7,13,34,36 e, ainda, para além das </w:t>
      </w:r>
      <w:proofErr w:type="spellStart"/>
      <w:r w:rsidRPr="005224C3">
        <w:t>SCAs</w:t>
      </w:r>
      <w:proofErr w:type="spellEnd"/>
      <w:r w:rsidRPr="005224C3">
        <w:t>, o envolvimento respiratório também nas ataxias recessivas, fica muito mais robusta a percepção de que as ataxias de um modo geral, têm de fato prejuízos respiratórios subdiagnosticados</w:t>
      </w:r>
      <w:r w:rsidR="00AB0CF3" w:rsidRPr="005224C3">
        <w:fldChar w:fldCharType="begin"/>
      </w:r>
      <w:r w:rsidR="006C66EC">
        <w:instrText xml:space="preserve"> ADDIN ZOTERO_ITEM CSL_CITATION {"citationID":"FyOcWbxO","properties":{"formattedCitation":"[7,24]","plainCitation":"[7,24]","noteIndex":0},"citationItems":[{"id":6869,"uris":["http://zotero.org/users/10339151/items/KT4WMSWW"],"itemData":{"id":6869,"type":"article-journal","container-title":"Journal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K."}],"issued":{"date-parts":[["2022",12]]}},"label":"page"},{"id":6903,"uris":["http://zotero.org/users/10339151/items/F4GBVET6"],"itemData":{"id":6903,"type":"article-journal","container-title":"Arquivos de Neuro-Psiquiatria","issue":"2","note":"publisher: SciELO Brasil","page":"96–102","source":"Google Scholar","title":"Assessment of ventilatory function in patients with spinocerebellar ataxia type 2","volume":"78","author":[{"family":"Mello","given":"Neliana Maria","dropping-particle":"de"},{"family":"Zonta","given":"Marise Bueno"},{"family":"Teive","given":"Hélio Afonso Ghizoni"},{"family":"Meira","given":"Alex Tiburtino"},{"family":"LOPES","given":"Francisco Diego Negrão"},{"family":"Silva","given":"Janaína Turcato da Silva Nonato","dropping-particle":"da"},{"family":"Camargo","given":"Carlos Henrique Ferreira"},{"family":"Zeigelboim","given":"Bianca Simone"}],"issued":{"date-parts":[["2020"]]}},"label":"page"}],"schema":"https://github.com/citation-style-language/schema/raw/master/csl-citation.json"} </w:instrText>
      </w:r>
      <w:r w:rsidR="00AB0CF3" w:rsidRPr="005224C3">
        <w:fldChar w:fldCharType="separate"/>
      </w:r>
      <w:r w:rsidR="006C66EC" w:rsidRPr="006C66EC">
        <w:t>[7,24]</w:t>
      </w:r>
      <w:r w:rsidR="00AB0CF3" w:rsidRPr="005224C3">
        <w:fldChar w:fldCharType="end"/>
      </w:r>
      <w:r w:rsidR="00AB0CF3" w:rsidRPr="005224C3">
        <w:t>.</w:t>
      </w:r>
    </w:p>
    <w:p w14:paraId="100BDC5C" w14:textId="4C4F63DC" w:rsidR="00973169" w:rsidRPr="005224C3" w:rsidRDefault="00973169" w:rsidP="00A51A8F">
      <w:bookmarkStart w:id="6" w:name="_Hlk185257543"/>
      <w:r w:rsidRPr="005224C3">
        <w:t xml:space="preserve">Na SCA2 o sono REM anormal é o sintoma respiratório mais frequentemente encontrado. </w:t>
      </w:r>
      <w:proofErr w:type="spellStart"/>
      <w:r w:rsidRPr="005224C3">
        <w:t>Zanatta</w:t>
      </w:r>
      <w:proofErr w:type="spellEnd"/>
      <w:r w:rsidRPr="005224C3">
        <w:t> </w:t>
      </w:r>
      <w:r w:rsidRPr="005224C3">
        <w:rPr>
          <w:rStyle w:val="nfase"/>
          <w:rFonts w:eastAsiaTheme="majorEastAsia"/>
        </w:rPr>
        <w:t>et al.</w:t>
      </w:r>
      <w:r w:rsidR="00AB0CF3" w:rsidRPr="005224C3">
        <w:rPr>
          <w:rStyle w:val="nfase"/>
          <w:rFonts w:eastAsiaTheme="majorEastAsia"/>
        </w:rPr>
        <w:fldChar w:fldCharType="begin"/>
      </w:r>
      <w:r w:rsidR="006C66EC">
        <w:rPr>
          <w:rStyle w:val="nfase"/>
          <w:rFonts w:eastAsiaTheme="majorEastAsia"/>
        </w:rPr>
        <w:instrText xml:space="preserve"> ADDIN ZOTERO_ITEM CSL_CITATION {"citationID":"zhP1r2Es","properties":{"formattedCitation":"[27]","plainCitation":"[27]","noteIndex":0},"citationItems":[{"id":6905,"uris":["http://zotero.org/users/10339151/items/CAQ8AHYW"],"itemData":{"id":6905,"type":"article-journal","container-title":"The Cerebellum","note":"publisher: Springer","page":"196–202","source":"Google Scholar","title":"Abnormal findings in polysomnographic recordings of patients with spinocerebellar ataxia type 2 (SCA2)","volume":"18","author":[{"family":"Zanatta","given":"Alessandra"},{"family":"Camargo","given":"Carlos Henrique Ferreira"},{"family":"Germiniani","given":"Francisco Manoel Branco"},{"family":"Raskin","given":"Salmo"},{"family":"Souza Crippa","given":"Ana Chrystina","non-dropping-particle":"de"},{"family":"Teive","given":"Hélio Afonso Ghizoni"}],"issued":{"date-parts":[["2019"]]}}}],"schema":"https://github.com/citation-style-language/schema/raw/master/csl-citation.json"} </w:instrText>
      </w:r>
      <w:r w:rsidR="00AB0CF3" w:rsidRPr="005224C3">
        <w:rPr>
          <w:rStyle w:val="nfase"/>
          <w:rFonts w:eastAsiaTheme="majorEastAsia"/>
        </w:rPr>
        <w:fldChar w:fldCharType="separate"/>
      </w:r>
      <w:r w:rsidR="006C66EC" w:rsidRPr="006C66EC">
        <w:t>[27]</w:t>
      </w:r>
      <w:r w:rsidR="00AB0CF3" w:rsidRPr="005224C3">
        <w:rPr>
          <w:rStyle w:val="nfase"/>
          <w:rFonts w:eastAsiaTheme="majorEastAsia"/>
        </w:rPr>
        <w:fldChar w:fldCharType="end"/>
      </w:r>
      <w:r w:rsidRPr="005224C3">
        <w:t xml:space="preserve">, </w:t>
      </w:r>
      <w:proofErr w:type="spellStart"/>
      <w:r w:rsidRPr="005224C3">
        <w:t>analizaram</w:t>
      </w:r>
      <w:proofErr w:type="spellEnd"/>
      <w:r w:rsidRPr="005224C3">
        <w:t xml:space="preserve"> gravações </w:t>
      </w:r>
      <w:proofErr w:type="spellStart"/>
      <w:r w:rsidRPr="005224C3">
        <w:t>polissonográficas</w:t>
      </w:r>
      <w:proofErr w:type="spellEnd"/>
      <w:r w:rsidRPr="005224C3">
        <w:t> de dezessete pacientes com SCA2 geneticamente confirmada , </w:t>
      </w:r>
      <w:hyperlink r:id="rId9" w:anchor="R50" w:history="1">
        <w:r w:rsidRPr="005224C3">
          <w:rPr>
            <w:rStyle w:val="Hyperlink"/>
            <w:rFonts w:eastAsiaTheme="majorEastAsia"/>
            <w:color w:val="auto"/>
            <w:u w:val="none"/>
          </w:rPr>
          <w:t xml:space="preserve"> onde observou-se redução no tempo total </w:t>
        </w:r>
      </w:hyperlink>
      <w:hyperlink r:id="rId10" w:anchor="R50" w:history="1">
        <w:r w:rsidRPr="005224C3">
          <w:rPr>
            <w:rStyle w:val="Hyperlink"/>
            <w:rFonts w:eastAsiaTheme="majorEastAsia"/>
            <w:color w:val="auto"/>
            <w:u w:val="none"/>
          </w:rPr>
          <w:t>de</w:t>
        </w:r>
      </w:hyperlink>
      <w:r w:rsidRPr="005224C3">
        <w:t> sono (TTS), eficiência do sono (ES) latência do sono e densidade REM</w:t>
      </w:r>
      <w:r w:rsidRPr="005224C3">
        <w:rPr>
          <w:color w:val="1B1B1B"/>
        </w:rPr>
        <w:t xml:space="preserve">. O estudo demonstrou que quanto maior o tempo de doença menores as porcentagens de REM, caracterizando correlação direta. No entanto, não houve diferença significativa no índice de apneia-hipopneia entre os pacientes com SCA2 e seus controles. </w:t>
      </w:r>
      <w:bookmarkEnd w:id="6"/>
      <w:r w:rsidR="00AB0CF3" w:rsidRPr="005224C3">
        <w:rPr>
          <w:color w:val="1B1B1B"/>
        </w:rPr>
        <w:t xml:space="preserve"> </w:t>
      </w:r>
      <w:r w:rsidRPr="005224C3">
        <w:rPr>
          <w:color w:val="1B1B1B"/>
        </w:rPr>
        <w:t>REM sem atonia pode ocorrer na SCA 2, piorando a qualidade do sono</w:t>
      </w:r>
      <w:r w:rsidR="00AB0CF3" w:rsidRPr="005224C3">
        <w:rPr>
          <w:color w:val="1B1B1B"/>
        </w:rPr>
        <w:fldChar w:fldCharType="begin"/>
      </w:r>
      <w:r w:rsidR="006C66EC">
        <w:rPr>
          <w:color w:val="1B1B1B"/>
        </w:rPr>
        <w:instrText xml:space="preserve"> ADDIN ZOTERO_ITEM CSL_CITATION {"citationID":"0tdxHNn1","properties":{"formattedCitation":"[28]","plainCitation":"[28]","noteIndex":0},"citationItems":[{"id":6907,"uris":["http://zotero.org/users/10339151/items/F8YDPKFG"],"itemData":{"id":6907,"type":"article-journal","container-title":"Neurology","DOI":"10.1212/01.wnl.0000247054.90322.14","ISSN":"0028-3878, 1526-632X","issue":"11","journalAbbreviation":"Neurology","language":"en","page":"1966-1972","source":"DOI.org (Crossref)","title":"Stages of sleep pathology in spinocerebellar ataxia type 2 (SCA2)","volume":"67","author":[{"family":"Tuin","given":"I."},{"family":"Voss","given":"U."},{"family":"Kang","given":"J. -S."},{"family":"Kessler","given":"K."},{"family":"Rüb","given":"U."},{"family":"Nolte","given":"D."},{"family":"Lochmüller","given":"H."},{"family":"Tinschert","given":"S."},{"family":"Claus","given":"D."},{"family":"Krakow","given":"K."},{"family":"Pflug","given":"B."},{"family":"Steinmetz","given":"H."},{"family":"Auburger","given":"G."}],"issued":{"date-parts":[["2006",12,12]]}}}],"schema":"https://github.com/citation-style-language/schema/raw/master/csl-citation.json"} </w:instrText>
      </w:r>
      <w:r w:rsidR="00AB0CF3" w:rsidRPr="005224C3">
        <w:rPr>
          <w:color w:val="1B1B1B"/>
        </w:rPr>
        <w:fldChar w:fldCharType="separate"/>
      </w:r>
      <w:r w:rsidR="006C66EC" w:rsidRPr="006C66EC">
        <w:t>[28]</w:t>
      </w:r>
      <w:r w:rsidR="00AB0CF3" w:rsidRPr="005224C3">
        <w:rPr>
          <w:color w:val="1B1B1B"/>
        </w:rPr>
        <w:fldChar w:fldCharType="end"/>
      </w:r>
      <w:r w:rsidR="00AB0CF3" w:rsidRPr="005224C3">
        <w:rPr>
          <w:color w:val="1B1B1B"/>
        </w:rPr>
        <w:t>.</w:t>
      </w:r>
      <w:r w:rsidRPr="005224C3">
        <w:rPr>
          <w:color w:val="1B1B1B"/>
        </w:rPr>
        <w:t xml:space="preserve"> </w:t>
      </w:r>
      <w:r w:rsidRPr="005224C3">
        <w:t>Pacientes com SCA 2 podem ainda, apresentar distúrbios autonômicos</w:t>
      </w:r>
      <w:r w:rsidR="00AB0CF3" w:rsidRPr="005224C3">
        <w:fldChar w:fldCharType="begin"/>
      </w:r>
      <w:r w:rsidR="00A73454">
        <w:instrText xml:space="preserve"> ADDIN ZOTERO_ITEM CSL_CITATION {"citationID":"bmrNYqKz","properties":{"formattedCitation":"[4]","plainCitation":"[4]","noteIndex":0},"citationItems":[{"id":6866,"uris":["http://zotero.org/users/10339151/items/HM8FZICN"],"itemData":{"id":6866,"type":"chapter","container-title":"Polyglutamine Disorders","event-place":"Cham","ISBN":"978-3-319-71778-4","note":"collection-title: Advances in Experimental Medicine and Biology\nDOI: 10.1007/978-3-319-71779-1_8","page":"175-195","publisher":"Springer International Publishing","publisher-place":"Cham","source":"DOI.org (Crossref)","title":"Spinocerebellar Ataxia Type 2","URL":"http://link.springer.com/10.1007/978-3-319-71779-1_8","volume":"1049","editor":[{"family":"Nóbrega","given":"Clévio"},{"family":"Pereira De Almeida","given":"Luís"}],"author":[{"family":"Scoles","given":"Daniel R."},{"family":"Pulst","given":"Stefan M."}],"accessed":{"date-parts":[["2024",12,20]]},"issued":{"date-parts":[["2018"]]}}}],"schema":"https://github.com/citation-style-language/schema/raw/master/csl-citation.json"} </w:instrText>
      </w:r>
      <w:r w:rsidR="00AB0CF3" w:rsidRPr="005224C3">
        <w:fldChar w:fldCharType="separate"/>
      </w:r>
      <w:r w:rsidR="00A73454" w:rsidRPr="00A73454">
        <w:t>[4]</w:t>
      </w:r>
      <w:r w:rsidR="00AB0CF3" w:rsidRPr="005224C3">
        <w:fldChar w:fldCharType="end"/>
      </w:r>
      <w:r w:rsidRPr="005224C3">
        <w:t xml:space="preserve">. </w:t>
      </w:r>
    </w:p>
    <w:p w14:paraId="72821E79" w14:textId="3AC868AC" w:rsidR="003B14A8" w:rsidRPr="005224C3" w:rsidRDefault="00E058AF" w:rsidP="00A51A8F">
      <w:r w:rsidRPr="005224C3">
        <w:t xml:space="preserve">Os estudos nesse segmento </w:t>
      </w:r>
      <w:r w:rsidR="003B14A8" w:rsidRPr="005224C3">
        <w:t>neuro respiratório</w:t>
      </w:r>
      <w:r w:rsidRPr="005224C3">
        <w:t xml:space="preserve"> são </w:t>
      </w:r>
      <w:r w:rsidR="00FD4518" w:rsidRPr="005224C3">
        <w:t>escassos, por</w:t>
      </w:r>
      <w:r w:rsidR="00743344" w:rsidRPr="005224C3">
        <w:t xml:space="preserve"> muito tempo as questões respiratórias não foram </w:t>
      </w:r>
      <w:r w:rsidR="00382D57" w:rsidRPr="005224C3">
        <w:t>observadas</w:t>
      </w:r>
      <w:r w:rsidR="00743344" w:rsidRPr="005224C3">
        <w:t xml:space="preserve"> devido </w:t>
      </w:r>
      <w:r w:rsidR="003B14A8" w:rsidRPr="005224C3">
        <w:t>à</w:t>
      </w:r>
      <w:r w:rsidR="00743344" w:rsidRPr="005224C3">
        <w:t xml:space="preserve"> suspeita </w:t>
      </w:r>
      <w:r w:rsidR="003B14A8" w:rsidRPr="005224C3">
        <w:t xml:space="preserve">da ausência de relação entre </w:t>
      </w:r>
      <w:r w:rsidR="00743344" w:rsidRPr="005224C3">
        <w:t xml:space="preserve">o cerebelo </w:t>
      </w:r>
      <w:r w:rsidR="003B14A8" w:rsidRPr="005224C3">
        <w:t xml:space="preserve">e </w:t>
      </w:r>
      <w:r w:rsidR="00743344" w:rsidRPr="005224C3">
        <w:t>a função respiratória. Todavia</w:t>
      </w:r>
      <w:r w:rsidR="003B14A8" w:rsidRPr="005224C3">
        <w:t>,</w:t>
      </w:r>
      <w:r w:rsidR="00743344" w:rsidRPr="005224C3">
        <w:t xml:space="preserve"> a pesquisa de </w:t>
      </w:r>
      <w:bookmarkStart w:id="7" w:name="_Hlk185626503"/>
      <w:proofErr w:type="spellStart"/>
      <w:r w:rsidR="00743344" w:rsidRPr="005224C3">
        <w:t>S</w:t>
      </w:r>
      <w:r w:rsidR="00382D57" w:rsidRPr="005224C3">
        <w:t>rira</w:t>
      </w:r>
      <w:r w:rsidR="00743344" w:rsidRPr="005224C3">
        <w:t>njini</w:t>
      </w:r>
      <w:proofErr w:type="spellEnd"/>
      <w:r w:rsidR="00743344" w:rsidRPr="005224C3">
        <w:t xml:space="preserve"> </w:t>
      </w:r>
      <w:bookmarkEnd w:id="7"/>
      <w:r w:rsidR="00743344" w:rsidRPr="005224C3">
        <w:t>et al</w:t>
      </w:r>
      <w:r w:rsidR="00AB0CF3" w:rsidRPr="005224C3">
        <w:fldChar w:fldCharType="begin"/>
      </w:r>
      <w:r w:rsidR="006C66EC">
        <w:instrText xml:space="preserve"> ADDIN ZOTERO_ITEM CSL_CITATION {"citationID":"KmDYL65i","properties":{"formattedCitation":"[25]","plainCitation":"[25]","noteIndex":0},"citationItems":[{"id":6908,"uris":["http://zotero.org/users/10339151/items/GRC9EQ8V"],"itemData":{"id":6908,"type":"article-journal","container-title":"Acta Neurologica Scandinavica","DOI":"10.1111/j.1600-0404.2009.01306.x","ISSN":"00016314, 16000404","language":"en","license":"http://doi.wiley.com/10.1002/tdm_license_1.1","source":"DOI.org (Crossref)","title":"Subclinical pulmonary dysfunction in spinocerebellar ataxias 1, 2 and 3","URL":"https://onlinelibrary.wiley.com/doi/10.1111/j.1600-0404.2009.01306.x","author":[{"family":"Sriranjini","given":"S. J."},{"family":"Pal","given":"P. K."},{"family":"Krishna","given":"N."},{"family":"Sathyaprabha","given":"T. N."}],"accessed":{"date-parts":[["2024",12,20]]},"issued":{"date-parts":[["2009",11]]}}}],"schema":"https://github.com/citation-style-language/schema/raw/master/csl-citation.json"} </w:instrText>
      </w:r>
      <w:r w:rsidR="00AB0CF3" w:rsidRPr="005224C3">
        <w:fldChar w:fldCharType="separate"/>
      </w:r>
      <w:r w:rsidR="006C66EC" w:rsidRPr="006C66EC">
        <w:t>[25]</w:t>
      </w:r>
      <w:r w:rsidR="00AB0CF3" w:rsidRPr="005224C3">
        <w:fldChar w:fldCharType="end"/>
      </w:r>
      <w:r w:rsidR="00743344" w:rsidRPr="005224C3">
        <w:t>, sinalizou para esse aspecto até então pouco valorizado</w:t>
      </w:r>
      <w:r w:rsidR="00382D57" w:rsidRPr="005224C3">
        <w:t xml:space="preserve"> observando que pacientes com SC</w:t>
      </w:r>
      <w:r w:rsidR="00AE569F" w:rsidRPr="005224C3">
        <w:t xml:space="preserve">A </w:t>
      </w:r>
      <w:r w:rsidR="00382D57" w:rsidRPr="005224C3">
        <w:t>1,2 e 3, apresentaram disfunção pulmonar subclínica do tipo restritivo e possível obstrução de vias aéreas superiores, aspectos semelhantes aos encontrados em nossa pesquisa.</w:t>
      </w:r>
      <w:r w:rsidR="00973169" w:rsidRPr="005224C3">
        <w:t xml:space="preserve"> </w:t>
      </w:r>
      <w:r w:rsidR="003B14A8" w:rsidRPr="005224C3">
        <w:t xml:space="preserve">Os estudos têm evidenciado participação do cerebelo em múltiplas funções do sistema nervoso.  Estima-se que no ato de respirar haja também um papel do cerebelo, ainda não totalmente compreendido, tanto no aspecto de controle ventilatório quanto na coordenação do ato de respirar em repouso e sob atividade </w:t>
      </w:r>
      <w:r w:rsidR="00973169" w:rsidRPr="005224C3">
        <w:t>intensa</w:t>
      </w:r>
      <w:r w:rsidR="00AB0CF3" w:rsidRPr="005224C3">
        <w:t>.</w:t>
      </w:r>
      <w:r w:rsidR="003B14A8" w:rsidRPr="005224C3">
        <w:t xml:space="preserve"> </w:t>
      </w:r>
    </w:p>
    <w:p w14:paraId="29F0B80B" w14:textId="707E6128" w:rsidR="009016C0" w:rsidRPr="005224C3" w:rsidRDefault="003B14A8" w:rsidP="00A51A8F">
      <w:r w:rsidRPr="005224C3">
        <w:t>A degeneração dos neurônios motores do tronco encefálico é a causa dos sintomas de fraqueza na língua, distonia oro mandibular, disfagia, disartria, pneumonia por aspiração recorrente e obstrução das vias aéreas superiores. levando à disfunção diafragmática e impactando adversamente na fase inspiratória do ciclo respiratório</w:t>
      </w:r>
      <w:r w:rsidR="00AB0CF3" w:rsidRPr="005224C3">
        <w:fldChar w:fldCharType="begin"/>
      </w:r>
      <w:r w:rsidR="00A73454">
        <w:instrText xml:space="preserve"> ADDIN ZOTERO_ITEM CSL_CITATION {"citationID":"zzaBoD03","properties":{"formattedCitation":"[7]","plainCitation":"[7]","noteIndex":0},"citationItems":[{"id":6869,"uris":["http://zotero.org/users/10339151/items/KT4WMSWW"],"itemData":{"id":6869,"type":"article-journal","container-title":"Journal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K."}],"issued":{"date-parts":[["2022",12]]}}}],"schema":"https://github.com/citation-style-language/schema/raw/master/csl-citation.json"} </w:instrText>
      </w:r>
      <w:r w:rsidR="00AB0CF3" w:rsidRPr="005224C3">
        <w:fldChar w:fldCharType="separate"/>
      </w:r>
      <w:r w:rsidR="00A73454" w:rsidRPr="00A73454">
        <w:t>[7]</w:t>
      </w:r>
      <w:r w:rsidR="00AB0CF3" w:rsidRPr="005224C3">
        <w:fldChar w:fldCharType="end"/>
      </w:r>
      <w:r w:rsidRPr="005224C3">
        <w:t>. Além disso</w:t>
      </w:r>
      <w:r w:rsidR="00743344" w:rsidRPr="005224C3">
        <w:t xml:space="preserve">, pacientes com SCA2 </w:t>
      </w:r>
      <w:r w:rsidR="009016C0" w:rsidRPr="005224C3">
        <w:t>apresentam disfunção ventilatória mesmo quando assintomática, estando a disfunção ventilatória relacionada ao comprometimento do equilíbrio, à independência e à gravidade da ataxia</w:t>
      </w:r>
      <w:r w:rsidR="00CD27D9" w:rsidRPr="005224C3">
        <w:fldChar w:fldCharType="begin"/>
      </w:r>
      <w:r w:rsidR="006C66EC">
        <w:instrText xml:space="preserve"> ADDIN ZOTERO_ITEM CSL_CITATION {"citationID":"sb82roRo","properties":{"formattedCitation":"[24]","plainCitation":"[24]","noteIndex":0},"citationItems":[{"id":6903,"uris":["http://zotero.org/users/10339151/items/F4GBVET6"],"itemData":{"id":6903,"type":"article-journal","container-title":"Arquivos de Neuro-Psiquiatria","issue":"2","note":"publisher: SciELO Brasil","page":"96–102","source":"Google Scholar","title":"Assessment of ventilatory function in patients with spinocerebellar ataxia type 2","volume":"78","author":[{"family":"Mello","given":"Neliana Maria","dropping-particle":"de"},{"family":"Zonta","given":"Marise Bueno"},{"family":"Teive","given":"Hélio Afonso Ghizoni"},{"family":"Meira","given":"Alex Tiburtino"},{"family":"LOPES","given":"Francisco Diego Negrão"},{"family":"Silva","given":"Janaína Turcato da Silva Nonato","dropping-particle":"da"},{"family":"Camargo","given":"Carlos Henrique Ferreira"},{"family":"Zeigelboim","given":"Bianca Simone"}],"issued":{"date-parts":[["2020"]]}}}],"schema":"https://github.com/citation-style-language/schema/raw/master/csl-citation.json"} </w:instrText>
      </w:r>
      <w:r w:rsidR="00CD27D9" w:rsidRPr="005224C3">
        <w:fldChar w:fldCharType="separate"/>
      </w:r>
      <w:r w:rsidR="006C66EC" w:rsidRPr="006C66EC">
        <w:t>[24]</w:t>
      </w:r>
      <w:r w:rsidR="00CD27D9" w:rsidRPr="005224C3">
        <w:fldChar w:fldCharType="end"/>
      </w:r>
      <w:r w:rsidR="00CD27D9" w:rsidRPr="005224C3">
        <w:t>.</w:t>
      </w:r>
      <w:r w:rsidRPr="005224C3">
        <w:t xml:space="preserve"> </w:t>
      </w:r>
    </w:p>
    <w:p w14:paraId="7115A85C" w14:textId="77777777" w:rsidR="003B14A8" w:rsidRPr="005224C3" w:rsidRDefault="00134634" w:rsidP="00A51A8F">
      <w:r w:rsidRPr="005224C3">
        <w:t xml:space="preserve">Entretanto, esperávamos que os valores obtidos na avaliação de condutibilidade frênica trouxessem-nos valores inferiores aos obtidos e que correlacionassem com os valores </w:t>
      </w:r>
      <w:proofErr w:type="spellStart"/>
      <w:r w:rsidRPr="005224C3">
        <w:t>espirométricos</w:t>
      </w:r>
      <w:proofErr w:type="spellEnd"/>
      <w:r w:rsidRPr="005224C3">
        <w:t xml:space="preserve"> e das demais medidas respiratórias. Não ocorrendo isso, suspeitamos que mesmo em ausência de neuropatia periférica mais evidente, a incoordenação respiratória é o que prepondera</w:t>
      </w:r>
      <w:r w:rsidR="003B14A8" w:rsidRPr="005224C3">
        <w:t>. O</w:t>
      </w:r>
      <w:r w:rsidRPr="005224C3">
        <w:t xml:space="preserve">u seja, em presença de evidente neuropatia ou na ausência destas a suspeita que temos é que os pacientes com ataxia motora desenvolvam também ataxia respiratória. </w:t>
      </w:r>
    </w:p>
    <w:p w14:paraId="58E2C9E9" w14:textId="7388B45D" w:rsidR="003B14A8" w:rsidRPr="005224C3" w:rsidRDefault="00297417" w:rsidP="00A51A8F">
      <w:pPr>
        <w:rPr>
          <w:lang w:val="pt-PT"/>
        </w:rPr>
      </w:pPr>
      <w:r w:rsidRPr="005224C3">
        <w:t>Foi postulado que a</w:t>
      </w:r>
      <w:r w:rsidRPr="005224C3">
        <w:rPr>
          <w:lang w:val="pt-PT"/>
        </w:rPr>
        <w:t xml:space="preserve"> atividade inerente ao centro respiratório não pode, por si só, ser responsável pelo padrão respiratório regular em resposta às necessidades metabólicas. Estudos apontam que um centro de comando neural no hipotálamo integra o influxo proveniente de neurônios descendentes nas áreas motoras superiores nos hemisférios cerebrais, da protuberância e de outras regiões do cérebro, de forma a afetar a duração e a intensidade do ciclo inspiratório. </w:t>
      </w:r>
    </w:p>
    <w:p w14:paraId="29273983" w14:textId="7C696DA8" w:rsidR="008F35A3" w:rsidRPr="005224C3" w:rsidRDefault="00297417" w:rsidP="00A51A8F">
      <w:r w:rsidRPr="005224C3">
        <w:rPr>
          <w:lang w:val="pt-PT"/>
        </w:rPr>
        <w:lastRenderedPageBreak/>
        <w:t xml:space="preserve">Ao mesmo tempo sinais neurais ascendentes, desencadeados por alterações mecânicas e/ou químicas dos músculos ativos, proporcionam um controle periférico de retroalimentação (feedback) através do cerebelo para o centro respiratório, a fim de influenciar a ajustagem </w:t>
      </w:r>
      <w:proofErr w:type="spellStart"/>
      <w:r w:rsidRPr="005224C3">
        <w:rPr>
          <w:lang w:val="pt-PT"/>
        </w:rPr>
        <w:t>ventilatória</w:t>
      </w:r>
      <w:proofErr w:type="spellEnd"/>
      <w:r w:rsidRPr="005224C3">
        <w:rPr>
          <w:lang w:val="pt-PT"/>
        </w:rPr>
        <w:t xml:space="preserve"> induzida pela atividade física. </w:t>
      </w:r>
      <w:r w:rsidRPr="005224C3">
        <w:t xml:space="preserve">O papel do cerebelo no controle respiratório foi negligenciado por um longo período. Pesquisas recentes com utilização de abordagens eletrofisiológicas, farmacológicas e morfológicas, apontam para o envolvimento dos núcleos profundos do cerebelo (NPC), especialmente os núcleos </w:t>
      </w:r>
      <w:proofErr w:type="spellStart"/>
      <w:r w:rsidRPr="005224C3">
        <w:t>fastigiais</w:t>
      </w:r>
      <w:proofErr w:type="spellEnd"/>
      <w:r w:rsidRPr="005224C3">
        <w:t xml:space="preserve"> rostrais (</w:t>
      </w:r>
      <w:proofErr w:type="spellStart"/>
      <w:r w:rsidRPr="005224C3">
        <w:t>NFr</w:t>
      </w:r>
      <w:proofErr w:type="spellEnd"/>
      <w:r w:rsidRPr="005224C3">
        <w:t xml:space="preserve">), no controle da respiração. É sabido que o </w:t>
      </w:r>
      <w:proofErr w:type="spellStart"/>
      <w:r w:rsidRPr="005224C3">
        <w:t>NFr</w:t>
      </w:r>
      <w:proofErr w:type="spellEnd"/>
      <w:r w:rsidRPr="005224C3">
        <w:t xml:space="preserve"> é capaz de receber, interagir e modular informações respiratórias, principalmente dos quimiorreceptores</w:t>
      </w:r>
      <w:r w:rsidR="0046772B" w:rsidRPr="005224C3">
        <w:fldChar w:fldCharType="begin"/>
      </w:r>
      <w:r w:rsidR="00A73454">
        <w:instrText xml:space="preserve"> ADDIN ZOTERO_ITEM CSL_CITATION {"citationID":"26PPQPnz","properties":{"formattedCitation":"[6]","plainCitation":"[6]","noteIndex":0},"citationItems":[{"id":6868,"uris":["http://zotero.org/users/10339151/items/JWXLHMDK"],"itemData":{"id":6868,"type":"article-journal","container-title":"The Cerebellum","DOI":"10.1080/147342202753203078","ISSN":"1473-4222","issue":"1","journalAbbreviation":"The Cerebellum","page":"35-40","source":"DOI.org (Crossref)","title":"Role of the cerebellar deep nuclei in respiratory modulation","volume":"1","author":[{"family":"Xu","given":"Fadi"},{"family":"Frazier","given":"Donald T"}],"issued":{"date-parts":[["2002",1,1]]}}}],"schema":"https://github.com/citation-style-language/schema/raw/master/csl-citation.json"} </w:instrText>
      </w:r>
      <w:r w:rsidR="0046772B" w:rsidRPr="005224C3">
        <w:fldChar w:fldCharType="separate"/>
      </w:r>
      <w:r w:rsidR="00A73454" w:rsidRPr="00A73454">
        <w:t>[6]</w:t>
      </w:r>
      <w:r w:rsidR="0046772B" w:rsidRPr="005224C3">
        <w:fldChar w:fldCharType="end"/>
      </w:r>
      <w:r w:rsidR="0046772B" w:rsidRPr="005224C3">
        <w:t xml:space="preserve">. </w:t>
      </w:r>
    </w:p>
    <w:p w14:paraId="66D5B246" w14:textId="6C997485" w:rsidR="00297417" w:rsidRPr="005224C3" w:rsidRDefault="004E272F" w:rsidP="00A51A8F">
      <w:r w:rsidRPr="005224C3">
        <w:t xml:space="preserve">A literatura vigente sugere </w:t>
      </w:r>
      <w:r w:rsidR="00297417" w:rsidRPr="005224C3">
        <w:t>que o cerebelo deve exercer um papel maior na coordenação da fala, da deglutição e da respiração nas ataxias</w:t>
      </w:r>
      <w:r w:rsidRPr="005224C3">
        <w:t>, d</w:t>
      </w:r>
      <w:r w:rsidR="00297417" w:rsidRPr="005224C3">
        <w:t xml:space="preserve">e modo a desencadear nos pacientes um padrão respiratório </w:t>
      </w:r>
      <w:proofErr w:type="spellStart"/>
      <w:r w:rsidR="00297417" w:rsidRPr="005224C3">
        <w:t>atáxico</w:t>
      </w:r>
      <w:proofErr w:type="spellEnd"/>
      <w:r w:rsidR="00297417" w:rsidRPr="005224C3">
        <w:t xml:space="preserve"> ainda não tão bem definido. Nosso estudo aponta nessa direção.</w:t>
      </w:r>
      <w:r w:rsidR="00715640" w:rsidRPr="005224C3">
        <w:t xml:space="preserve"> O padrão ora obstrutivo, ora restritivo observado decorre da degeneração neuronal e dos processos inflamatórios dos neurônios do tronco encefálico. Sabemos que, o centro respiratório também integra atividades voluntárias, como fala e canto ao ritmo respiratório, e medeia outras influências como sono, estresse, infecção, emoção e dor. </w:t>
      </w:r>
      <w:r w:rsidR="00812DBD" w:rsidRPr="005224C3">
        <w:fldChar w:fldCharType="begin"/>
      </w:r>
      <w:r w:rsidR="006C66EC">
        <w:instrText xml:space="preserve"> ADDIN ZOTERO_ITEM CSL_CITATION {"citationID":"u8SrVtch","properties":{"formattedCitation":"[31]","plainCitation":"[31]","noteIndex":0},"citationItems":[{"id":6909,"uris":["http://zotero.org/users/10339151/items/PK5Z7AQ3"],"itemData":{"id":6909,"type":"article-journal","container-title":"Respiratory Physiology &amp; Neurobiology","note":"publisher: Elsevier","page":"103869","source":"Google Scholar","title":"Disordered breathing in severe cerebral illness–Towards a conceptual framework","volume":"300","author":[{"family":"Summ","given":"Oliver"},{"family":"Hassanpour","given":"Nahid"},{"family":"Mathys","given":"Christian"},{"family":"Gross","given":"Martin"}],"issued":{"date-parts":[["2022"]]}}}],"schema":"https://github.com/citation-style-language/schema/raw/master/csl-citation.json"} </w:instrText>
      </w:r>
      <w:r w:rsidR="00812DBD" w:rsidRPr="005224C3">
        <w:fldChar w:fldCharType="separate"/>
      </w:r>
      <w:r w:rsidR="006C66EC" w:rsidRPr="006C66EC">
        <w:t>[31]</w:t>
      </w:r>
      <w:r w:rsidR="00812DBD" w:rsidRPr="005224C3">
        <w:fldChar w:fldCharType="end"/>
      </w:r>
    </w:p>
    <w:p w14:paraId="537153E6" w14:textId="73491597" w:rsidR="00890A47" w:rsidRPr="005224C3" w:rsidRDefault="005224C3" w:rsidP="00890A47">
      <w:pPr>
        <w:pStyle w:val="Ttulo1"/>
        <w:rPr>
          <w:rFonts w:ascii="Arial" w:hAnsi="Arial"/>
        </w:rPr>
      </w:pPr>
      <w:r w:rsidRPr="005224C3">
        <w:rPr>
          <w:rFonts w:ascii="Arial" w:hAnsi="Arial"/>
        </w:rPr>
        <w:t>Generalização</w:t>
      </w:r>
    </w:p>
    <w:p w14:paraId="36C21877" w14:textId="3B45CB8D" w:rsidR="008F35A3" w:rsidRPr="005224C3" w:rsidRDefault="000E65A9" w:rsidP="00A51A8F">
      <w:r w:rsidRPr="005224C3">
        <w:t xml:space="preserve">Nosso estudo </w:t>
      </w:r>
      <w:r w:rsidR="003C57DD" w:rsidRPr="005224C3">
        <w:tab/>
      </w:r>
      <w:r w:rsidRPr="005224C3">
        <w:t>aponta para a necessidade de um olhar mais acurado sobre a questão respiratória nas populações de pacientes</w:t>
      </w:r>
      <w:r w:rsidR="008F35A3" w:rsidRPr="005224C3">
        <w:t xml:space="preserve"> com ataxia </w:t>
      </w:r>
      <w:proofErr w:type="spellStart"/>
      <w:r w:rsidR="008F35A3" w:rsidRPr="005224C3">
        <w:t>espinocerebelar</w:t>
      </w:r>
      <w:proofErr w:type="spellEnd"/>
      <w:r w:rsidR="008F35A3" w:rsidRPr="005224C3">
        <w:t xml:space="preserve"> tipo 2 (SCA2</w:t>
      </w:r>
      <w:r w:rsidR="004E272F" w:rsidRPr="005224C3">
        <w:t>), de</w:t>
      </w:r>
      <w:r w:rsidRPr="005224C3">
        <w:t xml:space="preserve"> maneira que o reforço e tratamento da insuficiência respiratória nas </w:t>
      </w:r>
      <w:proofErr w:type="spellStart"/>
      <w:r w:rsidRPr="005224C3">
        <w:t>SCAs</w:t>
      </w:r>
      <w:proofErr w:type="spellEnd"/>
      <w:r w:rsidRPr="005224C3">
        <w:t xml:space="preserve"> pode minorar os sintomas da doença e melhorar a sobrevida e qualidade de vida dos pacientes. </w:t>
      </w:r>
      <w:r w:rsidR="005224C3" w:rsidRPr="005224C3">
        <w:t xml:space="preserve">Na atualidade não se observa pacientes </w:t>
      </w:r>
      <w:proofErr w:type="spellStart"/>
      <w:r w:rsidR="005224C3" w:rsidRPr="005224C3">
        <w:t>atáxicos</w:t>
      </w:r>
      <w:proofErr w:type="spellEnd"/>
      <w:r w:rsidR="005224C3" w:rsidRPr="005224C3">
        <w:t xml:space="preserve"> com insuficiência respiratória. Infelizmente, não porque não existam, mas porque não são vistos. Muitos vêm a falecer em decorrência do desconhecimento dos reais prejuízos que poderão advir em pacientes não tratados e acompanhados pela fisioterapia respiratória. Reabilitação envolve um conjunto de profissionais e diversas especialidades, médicos (neurologistas e pneumologistas), fisioterapeutas (neurológicos e respiratórios), fonoaudiólogos, nutricionistas, terapeutas ocupacionais e tantos outros. Nosso intento é para que os pacientes recebam toda gama de cuidados de que necessitam. Doenças incuráveis não são intratáveis e a reabilitação pode fazer muito por esses pacientes, desde que sejam encaminhados.</w:t>
      </w:r>
      <w:r w:rsidR="008F35A3" w:rsidRPr="005224C3">
        <w:t xml:space="preserve"> </w:t>
      </w:r>
    </w:p>
    <w:p w14:paraId="76CC483A" w14:textId="2D618281" w:rsidR="003C57DD" w:rsidRPr="005224C3" w:rsidRDefault="003C57DD" w:rsidP="00A51A8F">
      <w:r w:rsidRPr="005224C3">
        <w:t>O</w:t>
      </w:r>
      <w:r w:rsidR="004E272F" w:rsidRPr="005224C3">
        <w:t xml:space="preserve">s resultados encontrados alertam para um novo olhar que </w:t>
      </w:r>
      <w:r w:rsidRPr="005224C3">
        <w:t xml:space="preserve">possibilita aos médicos, fisioterapeutas respiratórios, fonoaudiólogos e demais </w:t>
      </w:r>
      <w:r w:rsidR="004E272F" w:rsidRPr="005224C3">
        <w:t>profissionais</w:t>
      </w:r>
      <w:r w:rsidRPr="005224C3">
        <w:t xml:space="preserve"> da saúde um maior entendimento da condição ventilatória dos pacientes com SCA, promovendo maior previsibilidade clínica no sentido de otimizar a terapêutica ofertada a esses indivíduos</w:t>
      </w:r>
      <w:r w:rsidR="004E272F" w:rsidRPr="005224C3">
        <w:t xml:space="preserve">, e promover </w:t>
      </w:r>
      <w:r w:rsidRPr="005224C3">
        <w:t xml:space="preserve">maior sobrevida e qualidade de vida aos pacientes. </w:t>
      </w:r>
    </w:p>
    <w:p w14:paraId="15FBDB00" w14:textId="77777777" w:rsidR="003C57DD" w:rsidRPr="005224C3" w:rsidRDefault="003C57DD" w:rsidP="00A51A8F">
      <w:r w:rsidRPr="005224C3">
        <w:t xml:space="preserve">No contexto terapêutico </w:t>
      </w:r>
      <w:proofErr w:type="spellStart"/>
      <w:r w:rsidRPr="005224C3">
        <w:t>reabilitacional</w:t>
      </w:r>
      <w:proofErr w:type="spellEnd"/>
      <w:r w:rsidRPr="005224C3">
        <w:t>, sugere-se acrescentar além da fisioterapia motora a fisioterapia respiratória. A adaptação de suporte ventilatório também é passível de ocorrer, como foi demonstrado nesse estudo, através de pressão contínua nas vias aéreas (CPAP) nos casos em que há apenas obstrução alta e de suporte ventilatório com dois níveis de pressão (</w:t>
      </w:r>
      <w:proofErr w:type="spellStart"/>
      <w:r w:rsidRPr="005224C3">
        <w:t>Bipap</w:t>
      </w:r>
      <w:proofErr w:type="spellEnd"/>
      <w:r w:rsidRPr="005224C3">
        <w:t xml:space="preserve"> ou </w:t>
      </w:r>
      <w:proofErr w:type="spellStart"/>
      <w:r w:rsidRPr="005224C3">
        <w:t>Binível</w:t>
      </w:r>
      <w:proofErr w:type="spellEnd"/>
      <w:r w:rsidRPr="005224C3">
        <w:t>) em situações em que se observa restrição pulmonar.</w:t>
      </w:r>
    </w:p>
    <w:p w14:paraId="40281556" w14:textId="51C045FF" w:rsidR="0028170F" w:rsidRPr="005224C3" w:rsidRDefault="0028170F" w:rsidP="00A76167">
      <w:pPr>
        <w:pStyle w:val="Ttulo1"/>
        <w:numPr>
          <w:ilvl w:val="0"/>
          <w:numId w:val="10"/>
        </w:numPr>
        <w:rPr>
          <w:rFonts w:ascii="Arial" w:hAnsi="Arial"/>
        </w:rPr>
      </w:pPr>
      <w:r w:rsidRPr="005224C3">
        <w:rPr>
          <w:rFonts w:ascii="Arial" w:hAnsi="Arial"/>
        </w:rPr>
        <w:t>Conclusão</w:t>
      </w:r>
    </w:p>
    <w:p w14:paraId="58C68A86" w14:textId="77777777" w:rsidR="00973169" w:rsidRPr="005224C3" w:rsidRDefault="00973169" w:rsidP="00A51A8F">
      <w:pPr>
        <w:rPr>
          <w:lang w:eastAsia="pt-BR"/>
        </w:rPr>
      </w:pPr>
      <w:r w:rsidRPr="005224C3">
        <w:t xml:space="preserve">Ao analisar as diferenças no perfil respiratório de pacientes com ataxia </w:t>
      </w:r>
      <w:proofErr w:type="spellStart"/>
      <w:r w:rsidRPr="005224C3">
        <w:t>espinocerebelar</w:t>
      </w:r>
      <w:proofErr w:type="spellEnd"/>
      <w:r w:rsidRPr="005224C3">
        <w:t xml:space="preserve"> tipo 2 (SCA2) em relação a adultos saudáveis</w:t>
      </w:r>
      <w:r w:rsidRPr="005224C3">
        <w:rPr>
          <w:lang w:eastAsia="pt-BR"/>
        </w:rPr>
        <w:t xml:space="preserve"> foi possível observar que </w:t>
      </w:r>
      <w:r w:rsidRPr="005224C3">
        <w:rPr>
          <w:lang w:eastAsia="pt-BR"/>
        </w:rPr>
        <w:lastRenderedPageBreak/>
        <w:t xml:space="preserve">há </w:t>
      </w:r>
      <w:r w:rsidR="00B71DF1" w:rsidRPr="005224C3">
        <w:rPr>
          <w:lang w:eastAsia="pt-BR"/>
        </w:rPr>
        <w:t>comprometimento respiratório e seu padrão ventilatório (restritivo em sua maioria) difere dos padrões de normalidade esperados</w:t>
      </w:r>
      <w:r w:rsidRPr="005224C3">
        <w:rPr>
          <w:lang w:eastAsia="pt-BR"/>
        </w:rPr>
        <w:t xml:space="preserve">, demonstrando um contexto clínico a ser observado pelos profissionais da saúde, e um novo horizonte no tratamento e reabilitação de pacientes com SCA2. </w:t>
      </w:r>
    </w:p>
    <w:p w14:paraId="59BE9358" w14:textId="77777777" w:rsidR="000E65A9" w:rsidRPr="005224C3" w:rsidRDefault="000E65A9" w:rsidP="00A51A8F">
      <w:pPr>
        <w:rPr>
          <w:rFonts w:eastAsia="Courier New"/>
          <w:color w:val="000000"/>
          <w:kern w:val="0"/>
          <w:highlight w:val="lightGray"/>
          <w:u w:color="000000"/>
          <w:bdr w:val="nil"/>
          <w:lang w:eastAsia="pt-BR"/>
          <w14:ligatures w14:val="none"/>
        </w:rPr>
      </w:pPr>
      <w:r w:rsidRPr="005224C3">
        <w:rPr>
          <w:highlight w:val="lightGray"/>
        </w:rPr>
        <w:br w:type="page"/>
      </w:r>
    </w:p>
    <w:p w14:paraId="6FF75530" w14:textId="2D1EB9CA" w:rsidR="00E1592B" w:rsidRPr="005224C3" w:rsidRDefault="00E1592B" w:rsidP="00A76167">
      <w:pPr>
        <w:pStyle w:val="Ttulo1"/>
        <w:numPr>
          <w:ilvl w:val="0"/>
          <w:numId w:val="0"/>
        </w:numPr>
        <w:rPr>
          <w:rFonts w:ascii="Arial" w:hAnsi="Arial"/>
        </w:rPr>
      </w:pPr>
      <w:r w:rsidRPr="005224C3">
        <w:rPr>
          <w:rFonts w:ascii="Arial" w:hAnsi="Arial"/>
        </w:rPr>
        <w:lastRenderedPageBreak/>
        <w:t>Bibliografia</w:t>
      </w:r>
    </w:p>
    <w:p w14:paraId="254F1560" w14:textId="77777777" w:rsidR="006C66EC" w:rsidRPr="006C66EC" w:rsidRDefault="0046772B" w:rsidP="006C66EC">
      <w:pPr>
        <w:pStyle w:val="Bibliografia"/>
      </w:pPr>
      <w:r w:rsidRPr="005224C3">
        <w:rPr>
          <w:lang w:val="en-US"/>
        </w:rPr>
        <w:fldChar w:fldCharType="begin"/>
      </w:r>
      <w:r w:rsidRPr="005224C3">
        <w:instrText xml:space="preserve"> ADDIN ZOTERO_BIBL {"uncited":[],"omitted":[],"custom":[]} CSL_BIBLIOGRAPHY </w:instrText>
      </w:r>
      <w:r w:rsidRPr="005224C3">
        <w:rPr>
          <w:lang w:val="en-US"/>
        </w:rPr>
        <w:fldChar w:fldCharType="separate"/>
      </w:r>
      <w:r w:rsidR="006C66EC" w:rsidRPr="006C66EC">
        <w:t xml:space="preserve">1. Pedroso JL, Braga-Neto P, </w:t>
      </w:r>
      <w:proofErr w:type="spellStart"/>
      <w:r w:rsidR="006C66EC" w:rsidRPr="006C66EC">
        <w:t>Escorcio</w:t>
      </w:r>
      <w:proofErr w:type="spellEnd"/>
      <w:r w:rsidR="006C66EC" w:rsidRPr="006C66EC">
        <w:t xml:space="preserve">-Bezerra ML, Abrahão A, De Albuquerque MVC, Filho FMR, et al. </w:t>
      </w:r>
      <w:r w:rsidR="006C66EC" w:rsidRPr="006C66EC">
        <w:rPr>
          <w:lang w:val="en-US"/>
        </w:rPr>
        <w:t xml:space="preserve">Non-motor and Extracerebellar Features in Spinocerebellar Ataxia Type 2. Cerebellum. </w:t>
      </w:r>
      <w:proofErr w:type="gramStart"/>
      <w:r w:rsidR="006C66EC" w:rsidRPr="006C66EC">
        <w:t>2017;16:34</w:t>
      </w:r>
      <w:proofErr w:type="gramEnd"/>
      <w:r w:rsidR="006C66EC" w:rsidRPr="006C66EC">
        <w:t xml:space="preserve">–9. </w:t>
      </w:r>
    </w:p>
    <w:p w14:paraId="65F3BC38" w14:textId="77777777" w:rsidR="006C66EC" w:rsidRPr="006C66EC" w:rsidRDefault="006C66EC" w:rsidP="006C66EC">
      <w:pPr>
        <w:pStyle w:val="Bibliografia"/>
      </w:pPr>
      <w:r w:rsidRPr="006C66EC">
        <w:t xml:space="preserve">2. Sena LS, Furtado GV, Pedroso JL, </w:t>
      </w:r>
      <w:proofErr w:type="spellStart"/>
      <w:r w:rsidRPr="006C66EC">
        <w:t>Barsottini</w:t>
      </w:r>
      <w:proofErr w:type="spellEnd"/>
      <w:r w:rsidRPr="006C66EC">
        <w:t xml:space="preserve"> O, Cornejo-Olivas M, Nóbrega PR, et al. </w:t>
      </w:r>
      <w:r w:rsidRPr="006C66EC">
        <w:rPr>
          <w:lang w:val="en-US"/>
        </w:rPr>
        <w:t xml:space="preserve">Spinocerebellar ataxia type 2 has multiple ancestral origins. Parkinsonism &amp; Related Disorders. </w:t>
      </w:r>
      <w:proofErr w:type="gramStart"/>
      <w:r w:rsidRPr="006C66EC">
        <w:t>2024;120:105985</w:t>
      </w:r>
      <w:proofErr w:type="gramEnd"/>
      <w:r w:rsidRPr="006C66EC">
        <w:t xml:space="preserve">. </w:t>
      </w:r>
    </w:p>
    <w:p w14:paraId="5288A0F6" w14:textId="77777777" w:rsidR="006C66EC" w:rsidRPr="006C66EC" w:rsidRDefault="006C66EC" w:rsidP="006C66EC">
      <w:pPr>
        <w:pStyle w:val="Bibliografia"/>
      </w:pPr>
      <w:r w:rsidRPr="006C66EC">
        <w:t>3. Vaca-Palomares I, Díaz R, Rodríguez-</w:t>
      </w:r>
      <w:proofErr w:type="spellStart"/>
      <w:r w:rsidRPr="006C66EC">
        <w:t>Labrada</w:t>
      </w:r>
      <w:proofErr w:type="spellEnd"/>
      <w:r w:rsidRPr="006C66EC">
        <w:t xml:space="preserve"> R, </w:t>
      </w:r>
      <w:proofErr w:type="spellStart"/>
      <w:r w:rsidRPr="006C66EC">
        <w:t>Medrano</w:t>
      </w:r>
      <w:proofErr w:type="spellEnd"/>
      <w:r w:rsidRPr="006C66EC">
        <w:t xml:space="preserve">-Montero J, </w:t>
      </w:r>
      <w:proofErr w:type="spellStart"/>
      <w:r w:rsidRPr="006C66EC">
        <w:t>Vázquez-Mojena</w:t>
      </w:r>
      <w:proofErr w:type="spellEnd"/>
      <w:r w:rsidRPr="006C66EC">
        <w:t xml:space="preserve"> Y, Velázquez-Pérez L, et al. </w:t>
      </w:r>
      <w:r w:rsidRPr="006C66EC">
        <w:rPr>
          <w:lang w:val="en-US"/>
        </w:rPr>
        <w:t xml:space="preserve">Spinocerebellar Ataxia Type 2 Neurodegeneration Differentially Affects Error-Based and Strategic-Based Visuomotor Learning. </w:t>
      </w:r>
      <w:proofErr w:type="spellStart"/>
      <w:r w:rsidRPr="006C66EC">
        <w:t>Cerebellum</w:t>
      </w:r>
      <w:proofErr w:type="spellEnd"/>
      <w:r w:rsidRPr="006C66EC">
        <w:t xml:space="preserve">. </w:t>
      </w:r>
      <w:proofErr w:type="gramStart"/>
      <w:r w:rsidRPr="006C66EC">
        <w:t>2013;12:848</w:t>
      </w:r>
      <w:proofErr w:type="gramEnd"/>
      <w:r w:rsidRPr="006C66EC">
        <w:t xml:space="preserve">–55. </w:t>
      </w:r>
    </w:p>
    <w:p w14:paraId="5E93D76E" w14:textId="77777777" w:rsidR="006C66EC" w:rsidRPr="006C66EC" w:rsidRDefault="006C66EC" w:rsidP="006C66EC">
      <w:pPr>
        <w:pStyle w:val="Bibliografia"/>
      </w:pPr>
      <w:r w:rsidRPr="006C66EC">
        <w:t xml:space="preserve">4. </w:t>
      </w:r>
      <w:proofErr w:type="spellStart"/>
      <w:r w:rsidRPr="006C66EC">
        <w:t>Scoles</w:t>
      </w:r>
      <w:proofErr w:type="spellEnd"/>
      <w:r w:rsidRPr="006C66EC">
        <w:t xml:space="preserve"> DR, </w:t>
      </w:r>
      <w:proofErr w:type="spellStart"/>
      <w:r w:rsidRPr="006C66EC">
        <w:t>Pulst</w:t>
      </w:r>
      <w:proofErr w:type="spellEnd"/>
      <w:r w:rsidRPr="006C66EC">
        <w:t xml:space="preserve"> SM. </w:t>
      </w:r>
      <w:proofErr w:type="spellStart"/>
      <w:r w:rsidRPr="006C66EC">
        <w:t>Spinocerebellar</w:t>
      </w:r>
      <w:proofErr w:type="spellEnd"/>
      <w:r w:rsidRPr="006C66EC">
        <w:t xml:space="preserve"> Ataxia </w:t>
      </w:r>
      <w:proofErr w:type="spellStart"/>
      <w:r w:rsidRPr="006C66EC">
        <w:t>Type</w:t>
      </w:r>
      <w:proofErr w:type="spellEnd"/>
      <w:r w:rsidRPr="006C66EC">
        <w:t xml:space="preserve"> 2. In: Nóbrega C, Pereira De Almeida L, </w:t>
      </w:r>
      <w:proofErr w:type="spellStart"/>
      <w:r w:rsidRPr="006C66EC">
        <w:t>editors</w:t>
      </w:r>
      <w:proofErr w:type="spellEnd"/>
      <w:r w:rsidRPr="006C66EC">
        <w:t xml:space="preserve">. </w:t>
      </w:r>
      <w:r w:rsidRPr="006C66EC">
        <w:rPr>
          <w:lang w:val="en-US"/>
        </w:rPr>
        <w:t xml:space="preserve">Polyglutamine Disorders [Internet]. Cham: Springer International Publishing; 2018 [cited 2024 Dec 20]. p. 175–95. </w:t>
      </w:r>
      <w:proofErr w:type="spellStart"/>
      <w:r w:rsidRPr="006C66EC">
        <w:t>Available</w:t>
      </w:r>
      <w:proofErr w:type="spellEnd"/>
      <w:r w:rsidRPr="006C66EC">
        <w:t xml:space="preserve"> </w:t>
      </w:r>
      <w:proofErr w:type="spellStart"/>
      <w:r w:rsidRPr="006C66EC">
        <w:t>from</w:t>
      </w:r>
      <w:proofErr w:type="spellEnd"/>
      <w:r w:rsidRPr="006C66EC">
        <w:t>: http://link.springer.com/10.1007/978-3-319-71779-1_8</w:t>
      </w:r>
    </w:p>
    <w:p w14:paraId="68BC7D89" w14:textId="77777777" w:rsidR="006C66EC" w:rsidRPr="006C66EC" w:rsidRDefault="006C66EC" w:rsidP="006C66EC">
      <w:pPr>
        <w:pStyle w:val="Bibliografia"/>
        <w:rPr>
          <w:lang w:val="en-US"/>
        </w:rPr>
      </w:pPr>
      <w:r w:rsidRPr="006C66EC">
        <w:t>5. Velázquez-Pérez L, Rodríguez-</w:t>
      </w:r>
      <w:proofErr w:type="spellStart"/>
      <w:r w:rsidRPr="006C66EC">
        <w:t>Labrada</w:t>
      </w:r>
      <w:proofErr w:type="spellEnd"/>
      <w:r w:rsidRPr="006C66EC">
        <w:t xml:space="preserve"> R, García-Rodríguez JC, </w:t>
      </w:r>
      <w:proofErr w:type="spellStart"/>
      <w:r w:rsidRPr="006C66EC">
        <w:t>Almaguer-Mederos</w:t>
      </w:r>
      <w:proofErr w:type="spellEnd"/>
      <w:r w:rsidRPr="006C66EC">
        <w:t xml:space="preserve"> LE, Cruz-</w:t>
      </w:r>
      <w:proofErr w:type="spellStart"/>
      <w:r w:rsidRPr="006C66EC">
        <w:t>Mariño</w:t>
      </w:r>
      <w:proofErr w:type="spellEnd"/>
      <w:r w:rsidRPr="006C66EC">
        <w:t xml:space="preserve"> T, </w:t>
      </w:r>
      <w:proofErr w:type="spellStart"/>
      <w:r w:rsidRPr="006C66EC">
        <w:t>Laffita</w:t>
      </w:r>
      <w:proofErr w:type="spellEnd"/>
      <w:r w:rsidRPr="006C66EC">
        <w:t xml:space="preserve">-Mesa JM. </w:t>
      </w:r>
      <w:r w:rsidRPr="006C66EC">
        <w:rPr>
          <w:lang w:val="en-US"/>
        </w:rPr>
        <w:t xml:space="preserve">A Comprehensive Review of Spinocerebellar Ataxia Type 2 in Cuba. Cerebellum. </w:t>
      </w:r>
      <w:proofErr w:type="gramStart"/>
      <w:r w:rsidRPr="006C66EC">
        <w:rPr>
          <w:lang w:val="en-US"/>
        </w:rPr>
        <w:t>2011;10:184</w:t>
      </w:r>
      <w:proofErr w:type="gramEnd"/>
      <w:r w:rsidRPr="006C66EC">
        <w:rPr>
          <w:lang w:val="en-US"/>
        </w:rPr>
        <w:t xml:space="preserve">–98. </w:t>
      </w:r>
    </w:p>
    <w:p w14:paraId="2228E429" w14:textId="77777777" w:rsidR="006C66EC" w:rsidRPr="006C66EC" w:rsidRDefault="006C66EC" w:rsidP="006C66EC">
      <w:pPr>
        <w:pStyle w:val="Bibliografia"/>
        <w:rPr>
          <w:lang w:val="en-US"/>
        </w:rPr>
      </w:pPr>
      <w:r w:rsidRPr="006C66EC">
        <w:rPr>
          <w:lang w:val="en-US"/>
        </w:rPr>
        <w:t xml:space="preserve">6. Xu F, Frazier DT. Role of the cerebellar deep nuclei in respiratory modulation. The Cerebellum. </w:t>
      </w:r>
      <w:proofErr w:type="gramStart"/>
      <w:r w:rsidRPr="006C66EC">
        <w:rPr>
          <w:lang w:val="en-US"/>
        </w:rPr>
        <w:t>2002;1:35</w:t>
      </w:r>
      <w:proofErr w:type="gramEnd"/>
      <w:r w:rsidRPr="006C66EC">
        <w:rPr>
          <w:lang w:val="en-US"/>
        </w:rPr>
        <w:t xml:space="preserve">–40. </w:t>
      </w:r>
    </w:p>
    <w:p w14:paraId="15C5C83F" w14:textId="77777777" w:rsidR="006C66EC" w:rsidRPr="006C66EC" w:rsidRDefault="006C66EC" w:rsidP="006C66EC">
      <w:pPr>
        <w:pStyle w:val="Bibliografia"/>
        <w:rPr>
          <w:lang w:val="en-US"/>
        </w:rPr>
      </w:pPr>
      <w:r w:rsidRPr="006C66EC">
        <w:rPr>
          <w:lang w:val="en-US"/>
        </w:rPr>
        <w:t xml:space="preserve">7. Biswas DD, El Haddad L, Sethi R, Huston ML, Lai E, </w:t>
      </w:r>
      <w:proofErr w:type="spellStart"/>
      <w:r w:rsidRPr="006C66EC">
        <w:rPr>
          <w:lang w:val="en-US"/>
        </w:rPr>
        <w:t>Abdelbarr</w:t>
      </w:r>
      <w:proofErr w:type="spellEnd"/>
      <w:r w:rsidRPr="006C66EC">
        <w:rPr>
          <w:lang w:val="en-US"/>
        </w:rPr>
        <w:t xml:space="preserve"> MM, et al. Neuro-respiratory pathology in spinocerebellar ataxia. Journal of the Neurological Sciences. </w:t>
      </w:r>
      <w:proofErr w:type="gramStart"/>
      <w:r w:rsidRPr="006C66EC">
        <w:rPr>
          <w:lang w:val="en-US"/>
        </w:rPr>
        <w:t>2022;443:120493</w:t>
      </w:r>
      <w:proofErr w:type="gramEnd"/>
      <w:r w:rsidRPr="006C66EC">
        <w:rPr>
          <w:lang w:val="en-US"/>
        </w:rPr>
        <w:t xml:space="preserve">. </w:t>
      </w:r>
    </w:p>
    <w:p w14:paraId="5F9FDA13" w14:textId="77777777" w:rsidR="006C66EC" w:rsidRPr="006C66EC" w:rsidRDefault="006C66EC" w:rsidP="006C66EC">
      <w:pPr>
        <w:pStyle w:val="Bibliografia"/>
        <w:rPr>
          <w:lang w:val="en-US"/>
        </w:rPr>
      </w:pPr>
      <w:r w:rsidRPr="006C66EC">
        <w:rPr>
          <w:lang w:val="en-US"/>
        </w:rPr>
        <w:t xml:space="preserve">8. Vale TC, Ferraz HB, </w:t>
      </w:r>
      <w:proofErr w:type="spellStart"/>
      <w:r w:rsidRPr="006C66EC">
        <w:rPr>
          <w:lang w:val="en-US"/>
        </w:rPr>
        <w:t>Barsottini</w:t>
      </w:r>
      <w:proofErr w:type="spellEnd"/>
      <w:r w:rsidRPr="006C66EC">
        <w:rPr>
          <w:lang w:val="en-US"/>
        </w:rPr>
        <w:t xml:space="preserve"> OGP, Pedroso JL. Teaching Video Neuroimage: Speech-Induced Mouth Dystonia in SCA2. Neurology. 2024;</w:t>
      </w:r>
      <w:proofErr w:type="gramStart"/>
      <w:r w:rsidRPr="006C66EC">
        <w:rPr>
          <w:lang w:val="en-US"/>
        </w:rPr>
        <w:t>103:e</w:t>
      </w:r>
      <w:proofErr w:type="gramEnd"/>
      <w:r w:rsidRPr="006C66EC">
        <w:rPr>
          <w:lang w:val="en-US"/>
        </w:rPr>
        <w:t xml:space="preserve">210099. </w:t>
      </w:r>
    </w:p>
    <w:p w14:paraId="127DE5CB" w14:textId="77777777" w:rsidR="006C66EC" w:rsidRPr="006C66EC" w:rsidRDefault="006C66EC" w:rsidP="006C66EC">
      <w:pPr>
        <w:pStyle w:val="Bibliografia"/>
      </w:pPr>
      <w:r w:rsidRPr="006C66EC">
        <w:rPr>
          <w:lang w:val="en-US"/>
        </w:rPr>
        <w:t xml:space="preserve">9. Cuschieri S. The STROBE guidelines. Saudi journal of </w:t>
      </w:r>
      <w:proofErr w:type="spellStart"/>
      <w:r w:rsidRPr="006C66EC">
        <w:rPr>
          <w:lang w:val="en-US"/>
        </w:rPr>
        <w:t>anaesthesia</w:t>
      </w:r>
      <w:proofErr w:type="spellEnd"/>
      <w:r w:rsidRPr="006C66EC">
        <w:rPr>
          <w:lang w:val="en-US"/>
        </w:rPr>
        <w:t xml:space="preserve">. </w:t>
      </w:r>
      <w:r w:rsidRPr="006C66EC">
        <w:t xml:space="preserve">2019;13:S31–4. </w:t>
      </w:r>
    </w:p>
    <w:p w14:paraId="02E55CE4" w14:textId="77777777" w:rsidR="006C66EC" w:rsidRPr="006C66EC" w:rsidRDefault="006C66EC" w:rsidP="006C66EC">
      <w:pPr>
        <w:pStyle w:val="Bibliografia"/>
      </w:pPr>
      <w:r w:rsidRPr="006C66EC">
        <w:t xml:space="preserve">10. Braga-Neto P, </w:t>
      </w:r>
      <w:proofErr w:type="spellStart"/>
      <w:r w:rsidRPr="006C66EC">
        <w:t>Godeiro</w:t>
      </w:r>
      <w:proofErr w:type="spellEnd"/>
      <w:r w:rsidRPr="006C66EC">
        <w:t xml:space="preserve">-Junior C, Dutra LA, Pedroso JL, </w:t>
      </w:r>
      <w:proofErr w:type="spellStart"/>
      <w:r w:rsidRPr="006C66EC">
        <w:t>Barsottini</w:t>
      </w:r>
      <w:proofErr w:type="spellEnd"/>
      <w:r w:rsidRPr="006C66EC">
        <w:t xml:space="preserve"> OGP. </w:t>
      </w:r>
      <w:r w:rsidRPr="006C66EC">
        <w:rPr>
          <w:lang w:val="en-US"/>
        </w:rPr>
        <w:t xml:space="preserve">Translation and validation into Brazilian version of the Scale of the Assessment and Rating of Ataxia (SARA). </w:t>
      </w:r>
      <w:proofErr w:type="spellStart"/>
      <w:r w:rsidRPr="006C66EC">
        <w:t>Arq</w:t>
      </w:r>
      <w:proofErr w:type="spellEnd"/>
      <w:r w:rsidRPr="006C66EC">
        <w:t xml:space="preserve"> Neuro-Psiquiatr. </w:t>
      </w:r>
      <w:proofErr w:type="gramStart"/>
      <w:r w:rsidRPr="006C66EC">
        <w:t>2010;68:228</w:t>
      </w:r>
      <w:proofErr w:type="gramEnd"/>
      <w:r w:rsidRPr="006C66EC">
        <w:t xml:space="preserve">–30. </w:t>
      </w:r>
    </w:p>
    <w:p w14:paraId="34293686" w14:textId="77777777" w:rsidR="006C66EC" w:rsidRPr="006C66EC" w:rsidRDefault="006C66EC" w:rsidP="006C66EC">
      <w:pPr>
        <w:pStyle w:val="Bibliografia"/>
        <w:rPr>
          <w:lang w:val="en-US"/>
        </w:rPr>
      </w:pPr>
      <w:r w:rsidRPr="006C66EC">
        <w:t xml:space="preserve">11. Maggi FA, Braga-Neto P, Chien HF, Gama MTD, Rezende Filho FM, Saraiva-Pereira ML, et al. </w:t>
      </w:r>
      <w:r w:rsidRPr="006C66EC">
        <w:rPr>
          <w:lang w:val="en-US"/>
        </w:rPr>
        <w:t xml:space="preserve">Cross-cultural adaptation and validation of the International Cooperative Ataxia Rating Scale (ICARS) to Brazilian Portuguese. </w:t>
      </w:r>
      <w:proofErr w:type="spellStart"/>
      <w:r w:rsidRPr="006C66EC">
        <w:rPr>
          <w:lang w:val="en-US"/>
        </w:rPr>
        <w:t>Arq</w:t>
      </w:r>
      <w:proofErr w:type="spellEnd"/>
      <w:r w:rsidRPr="006C66EC">
        <w:rPr>
          <w:lang w:val="en-US"/>
        </w:rPr>
        <w:t xml:space="preserve"> Neuro-Psiquiatr. 2018;76:674–84. </w:t>
      </w:r>
    </w:p>
    <w:p w14:paraId="2C1D8627" w14:textId="77777777" w:rsidR="006C66EC" w:rsidRPr="006C66EC" w:rsidRDefault="006C66EC" w:rsidP="006C66EC">
      <w:pPr>
        <w:pStyle w:val="Bibliografia"/>
        <w:rPr>
          <w:lang w:val="en-US"/>
        </w:rPr>
      </w:pPr>
      <w:r w:rsidRPr="006C66EC">
        <w:rPr>
          <w:lang w:val="en-US"/>
        </w:rPr>
        <w:t xml:space="preserve">12. Hughes PD, Polkey MI, </w:t>
      </w:r>
      <w:proofErr w:type="spellStart"/>
      <w:r w:rsidRPr="006C66EC">
        <w:rPr>
          <w:lang w:val="en-US"/>
        </w:rPr>
        <w:t>Kyroussis</w:t>
      </w:r>
      <w:proofErr w:type="spellEnd"/>
      <w:r w:rsidRPr="006C66EC">
        <w:rPr>
          <w:lang w:val="en-US"/>
        </w:rPr>
        <w:t xml:space="preserve"> D, </w:t>
      </w:r>
      <w:proofErr w:type="spellStart"/>
      <w:r w:rsidRPr="006C66EC">
        <w:rPr>
          <w:lang w:val="en-US"/>
        </w:rPr>
        <w:t>Hamnegard</w:t>
      </w:r>
      <w:proofErr w:type="spellEnd"/>
      <w:r w:rsidRPr="006C66EC">
        <w:rPr>
          <w:lang w:val="en-US"/>
        </w:rPr>
        <w:t xml:space="preserve"> CH, Moxham J, Green M. Measurement of sniff nasal and diaphragm twitch mouth pressure in patients. Thorax. </w:t>
      </w:r>
      <w:proofErr w:type="gramStart"/>
      <w:r w:rsidRPr="006C66EC">
        <w:rPr>
          <w:lang w:val="en-US"/>
        </w:rPr>
        <w:t>1998;53:96</w:t>
      </w:r>
      <w:proofErr w:type="gramEnd"/>
      <w:r w:rsidRPr="006C66EC">
        <w:rPr>
          <w:lang w:val="en-US"/>
        </w:rPr>
        <w:t xml:space="preserve">–100. </w:t>
      </w:r>
    </w:p>
    <w:p w14:paraId="03B05DFD" w14:textId="77777777" w:rsidR="006C66EC" w:rsidRPr="006C66EC" w:rsidRDefault="006C66EC" w:rsidP="006C66EC">
      <w:pPr>
        <w:pStyle w:val="Bibliografia"/>
      </w:pPr>
      <w:r w:rsidRPr="006C66EC">
        <w:rPr>
          <w:lang w:val="en-US"/>
        </w:rPr>
        <w:t xml:space="preserve">13. Schmitz-Hübsch T, </w:t>
      </w:r>
      <w:proofErr w:type="spellStart"/>
      <w:r w:rsidRPr="006C66EC">
        <w:rPr>
          <w:lang w:val="en-US"/>
        </w:rPr>
        <w:t>Tezenas</w:t>
      </w:r>
      <w:proofErr w:type="spellEnd"/>
      <w:r w:rsidRPr="006C66EC">
        <w:rPr>
          <w:lang w:val="en-US"/>
        </w:rPr>
        <w:t xml:space="preserve"> Du </w:t>
      </w:r>
      <w:proofErr w:type="spellStart"/>
      <w:r w:rsidRPr="006C66EC">
        <w:rPr>
          <w:lang w:val="en-US"/>
        </w:rPr>
        <w:t>Montcel</w:t>
      </w:r>
      <w:proofErr w:type="spellEnd"/>
      <w:r w:rsidRPr="006C66EC">
        <w:rPr>
          <w:lang w:val="en-US"/>
        </w:rPr>
        <w:t xml:space="preserve"> S, Baliko L, Boesch S, Bonato S, </w:t>
      </w:r>
      <w:proofErr w:type="spellStart"/>
      <w:r w:rsidRPr="006C66EC">
        <w:rPr>
          <w:lang w:val="en-US"/>
        </w:rPr>
        <w:t>Fancellu</w:t>
      </w:r>
      <w:proofErr w:type="spellEnd"/>
      <w:r w:rsidRPr="006C66EC">
        <w:rPr>
          <w:lang w:val="en-US"/>
        </w:rPr>
        <w:t xml:space="preserve"> R, et al. Reliability and validity of the International Cooperative Ataxia Rating Scale: A study in 156 spinocerebellar ataxia patients. </w:t>
      </w:r>
      <w:proofErr w:type="spellStart"/>
      <w:r w:rsidRPr="006C66EC">
        <w:t>Mov</w:t>
      </w:r>
      <w:proofErr w:type="spellEnd"/>
      <w:r w:rsidRPr="006C66EC">
        <w:t xml:space="preserve"> </w:t>
      </w:r>
      <w:proofErr w:type="spellStart"/>
      <w:r w:rsidRPr="006C66EC">
        <w:t>Disord</w:t>
      </w:r>
      <w:proofErr w:type="spellEnd"/>
      <w:r w:rsidRPr="006C66EC">
        <w:t xml:space="preserve">. </w:t>
      </w:r>
      <w:proofErr w:type="gramStart"/>
      <w:r w:rsidRPr="006C66EC">
        <w:t>2006;21:699</w:t>
      </w:r>
      <w:proofErr w:type="gramEnd"/>
      <w:r w:rsidRPr="006C66EC">
        <w:t xml:space="preserve">–704. </w:t>
      </w:r>
    </w:p>
    <w:p w14:paraId="201261E4" w14:textId="77777777" w:rsidR="006C66EC" w:rsidRPr="006C66EC" w:rsidRDefault="006C66EC" w:rsidP="006C66EC">
      <w:pPr>
        <w:pStyle w:val="Bibliografia"/>
      </w:pPr>
      <w:r w:rsidRPr="006C66EC">
        <w:t xml:space="preserve">14. Pereira CADC, Neder JA. Diretrizes para Testes de Função Pulmonar. J </w:t>
      </w:r>
      <w:proofErr w:type="spellStart"/>
      <w:r w:rsidRPr="006C66EC">
        <w:t>Pneumol</w:t>
      </w:r>
      <w:proofErr w:type="spellEnd"/>
      <w:r w:rsidRPr="006C66EC">
        <w:t xml:space="preserve">. 28th ed. 2002;1–238. </w:t>
      </w:r>
    </w:p>
    <w:p w14:paraId="7C423D65" w14:textId="77777777" w:rsidR="006C66EC" w:rsidRPr="006C66EC" w:rsidRDefault="006C66EC" w:rsidP="006C66EC">
      <w:pPr>
        <w:pStyle w:val="Bibliografia"/>
      </w:pPr>
      <w:r w:rsidRPr="006C66EC">
        <w:lastRenderedPageBreak/>
        <w:t xml:space="preserve">15. Pereira CADC, Sato T, Rodrigues SC. Novos valores de referência para espirometria forçada em brasileiros adultos de raça branca. J </w:t>
      </w:r>
      <w:proofErr w:type="spellStart"/>
      <w:r w:rsidRPr="006C66EC">
        <w:t>bras</w:t>
      </w:r>
      <w:proofErr w:type="spellEnd"/>
      <w:r w:rsidRPr="006C66EC">
        <w:t xml:space="preserve"> </w:t>
      </w:r>
      <w:proofErr w:type="spellStart"/>
      <w:r w:rsidRPr="006C66EC">
        <w:t>pneumol</w:t>
      </w:r>
      <w:proofErr w:type="spellEnd"/>
      <w:r w:rsidRPr="006C66EC">
        <w:t xml:space="preserve">. </w:t>
      </w:r>
      <w:proofErr w:type="gramStart"/>
      <w:r w:rsidRPr="006C66EC">
        <w:t>2007;33:397</w:t>
      </w:r>
      <w:proofErr w:type="gramEnd"/>
      <w:r w:rsidRPr="006C66EC">
        <w:t xml:space="preserve">–406. </w:t>
      </w:r>
    </w:p>
    <w:p w14:paraId="143A362B" w14:textId="77777777" w:rsidR="006C66EC" w:rsidRPr="006C66EC" w:rsidRDefault="006C66EC" w:rsidP="006C66EC">
      <w:pPr>
        <w:pStyle w:val="Bibliografia"/>
        <w:rPr>
          <w:lang w:val="en-US"/>
        </w:rPr>
      </w:pPr>
      <w:r w:rsidRPr="006C66EC">
        <w:t xml:space="preserve">16. Duarte AADO, Pereira CADC, Rodrigues SCS. Validação de novos valores previstos brasileiros para a espirometria forçada na raça branca e comparação com os valores previstos obtidos por outras equações de referência. </w:t>
      </w:r>
      <w:r w:rsidRPr="006C66EC">
        <w:rPr>
          <w:lang w:val="en-US"/>
        </w:rPr>
        <w:t xml:space="preserve">J bras </w:t>
      </w:r>
      <w:proofErr w:type="spellStart"/>
      <w:r w:rsidRPr="006C66EC">
        <w:rPr>
          <w:lang w:val="en-US"/>
        </w:rPr>
        <w:t>pneumol</w:t>
      </w:r>
      <w:proofErr w:type="spellEnd"/>
      <w:r w:rsidRPr="006C66EC">
        <w:rPr>
          <w:lang w:val="en-US"/>
        </w:rPr>
        <w:t xml:space="preserve">. 2007;33:527–35. </w:t>
      </w:r>
    </w:p>
    <w:p w14:paraId="183CC772" w14:textId="77777777" w:rsidR="006C66EC" w:rsidRPr="006C66EC" w:rsidRDefault="006C66EC" w:rsidP="006C66EC">
      <w:pPr>
        <w:pStyle w:val="Bibliografia"/>
      </w:pPr>
      <w:r w:rsidRPr="006C66EC">
        <w:rPr>
          <w:lang w:val="en-US"/>
        </w:rPr>
        <w:t xml:space="preserve">17. McCool FD, </w:t>
      </w:r>
      <w:proofErr w:type="spellStart"/>
      <w:r w:rsidRPr="006C66EC">
        <w:rPr>
          <w:lang w:val="en-US"/>
        </w:rPr>
        <w:t>Tzelepis</w:t>
      </w:r>
      <w:proofErr w:type="spellEnd"/>
      <w:r w:rsidRPr="006C66EC">
        <w:rPr>
          <w:lang w:val="en-US"/>
        </w:rPr>
        <w:t xml:space="preserve"> GE. Dysfunction of the Diaphragm. </w:t>
      </w:r>
      <w:r w:rsidRPr="006C66EC">
        <w:t xml:space="preserve">N </w:t>
      </w:r>
      <w:proofErr w:type="spellStart"/>
      <w:r w:rsidRPr="006C66EC">
        <w:t>Engl</w:t>
      </w:r>
      <w:proofErr w:type="spellEnd"/>
      <w:r w:rsidRPr="006C66EC">
        <w:t xml:space="preserve"> J Med. </w:t>
      </w:r>
      <w:proofErr w:type="gramStart"/>
      <w:r w:rsidRPr="006C66EC">
        <w:t>2012;366:932</w:t>
      </w:r>
      <w:proofErr w:type="gramEnd"/>
      <w:r w:rsidRPr="006C66EC">
        <w:t xml:space="preserve">–42. </w:t>
      </w:r>
    </w:p>
    <w:p w14:paraId="6EBC2040" w14:textId="77777777" w:rsidR="006C66EC" w:rsidRPr="006C66EC" w:rsidRDefault="006C66EC" w:rsidP="006C66EC">
      <w:pPr>
        <w:pStyle w:val="Bibliografia"/>
      </w:pPr>
      <w:r w:rsidRPr="006C66EC">
        <w:t xml:space="preserve">18. Rocha CBJ, Araújo S. Avaliação das pressões respiratórias máximas em pacientes renais crônicos nos momentos </w:t>
      </w:r>
      <w:proofErr w:type="spellStart"/>
      <w:r w:rsidRPr="006C66EC">
        <w:t>pré</w:t>
      </w:r>
      <w:proofErr w:type="spellEnd"/>
      <w:r w:rsidRPr="006C66EC">
        <w:t xml:space="preserve"> e pós-hemodiálise. J </w:t>
      </w:r>
      <w:proofErr w:type="spellStart"/>
      <w:r w:rsidRPr="006C66EC">
        <w:t>Bras</w:t>
      </w:r>
      <w:proofErr w:type="spellEnd"/>
      <w:r w:rsidRPr="006C66EC">
        <w:t xml:space="preserve"> </w:t>
      </w:r>
      <w:proofErr w:type="spellStart"/>
      <w:r w:rsidRPr="006C66EC">
        <w:t>Nefrol</w:t>
      </w:r>
      <w:proofErr w:type="spellEnd"/>
      <w:r w:rsidRPr="006C66EC">
        <w:t xml:space="preserve">. </w:t>
      </w:r>
      <w:proofErr w:type="gramStart"/>
      <w:r w:rsidRPr="006C66EC">
        <w:t>2010;32:107</w:t>
      </w:r>
      <w:proofErr w:type="gramEnd"/>
      <w:r w:rsidRPr="006C66EC">
        <w:t xml:space="preserve">–13. </w:t>
      </w:r>
    </w:p>
    <w:p w14:paraId="422E2E29" w14:textId="77777777" w:rsidR="006C66EC" w:rsidRPr="006C66EC" w:rsidRDefault="006C66EC" w:rsidP="006C66EC">
      <w:pPr>
        <w:pStyle w:val="Bibliografia"/>
        <w:rPr>
          <w:lang w:val="en-US"/>
        </w:rPr>
      </w:pPr>
      <w:r w:rsidRPr="006C66EC">
        <w:t xml:space="preserve">19. Neder JA, </w:t>
      </w:r>
      <w:proofErr w:type="spellStart"/>
      <w:r w:rsidRPr="006C66EC">
        <w:t>Andreoni</w:t>
      </w:r>
      <w:proofErr w:type="spellEnd"/>
      <w:r w:rsidRPr="006C66EC">
        <w:t xml:space="preserve"> S, </w:t>
      </w:r>
      <w:proofErr w:type="spellStart"/>
      <w:r w:rsidRPr="006C66EC">
        <w:t>Lerario</w:t>
      </w:r>
      <w:proofErr w:type="spellEnd"/>
      <w:r w:rsidRPr="006C66EC">
        <w:t xml:space="preserve"> MC, Nery LE. </w:t>
      </w:r>
      <w:r w:rsidRPr="006C66EC">
        <w:rPr>
          <w:lang w:val="en-US"/>
        </w:rPr>
        <w:t xml:space="preserve">Reference values for lung function tests: II. Maximal respiratory pressures and voluntary ventilation. Braz J Med Biol Res. </w:t>
      </w:r>
      <w:proofErr w:type="gramStart"/>
      <w:r w:rsidRPr="006C66EC">
        <w:rPr>
          <w:lang w:val="en-US"/>
        </w:rPr>
        <w:t>1999;32:719</w:t>
      </w:r>
      <w:proofErr w:type="gramEnd"/>
      <w:r w:rsidRPr="006C66EC">
        <w:rPr>
          <w:lang w:val="en-US"/>
        </w:rPr>
        <w:t xml:space="preserve">–27. </w:t>
      </w:r>
    </w:p>
    <w:p w14:paraId="00ADBEEE" w14:textId="77777777" w:rsidR="006C66EC" w:rsidRPr="006C66EC" w:rsidRDefault="006C66EC" w:rsidP="006C66EC">
      <w:pPr>
        <w:pStyle w:val="Bibliografia"/>
        <w:rPr>
          <w:lang w:val="en-US"/>
        </w:rPr>
      </w:pPr>
      <w:r w:rsidRPr="006C66EC">
        <w:t xml:space="preserve">20. Souza RB de. Pressões respiratórias estáticas máximas. </w:t>
      </w:r>
      <w:r w:rsidRPr="006C66EC">
        <w:rPr>
          <w:lang w:val="en-US"/>
        </w:rPr>
        <w:t xml:space="preserve">J </w:t>
      </w:r>
      <w:proofErr w:type="spellStart"/>
      <w:r w:rsidRPr="006C66EC">
        <w:rPr>
          <w:lang w:val="en-US"/>
        </w:rPr>
        <w:t>Pneumol</w:t>
      </w:r>
      <w:proofErr w:type="spellEnd"/>
      <w:r w:rsidRPr="006C66EC">
        <w:rPr>
          <w:lang w:val="en-US"/>
        </w:rPr>
        <w:t xml:space="preserve">. 28th ed. </w:t>
      </w:r>
      <w:proofErr w:type="gramStart"/>
      <w:r w:rsidRPr="006C66EC">
        <w:rPr>
          <w:lang w:val="en-US"/>
        </w:rPr>
        <w:t>2022;</w:t>
      </w:r>
      <w:proofErr w:type="gramEnd"/>
      <w:r w:rsidRPr="006C66EC">
        <w:rPr>
          <w:lang w:val="en-US"/>
        </w:rPr>
        <w:t xml:space="preserve"> </w:t>
      </w:r>
    </w:p>
    <w:p w14:paraId="24825062" w14:textId="77777777" w:rsidR="006C66EC" w:rsidRPr="006C66EC" w:rsidRDefault="006C66EC" w:rsidP="006C66EC">
      <w:pPr>
        <w:pStyle w:val="Bibliografia"/>
        <w:rPr>
          <w:lang w:val="en-US"/>
        </w:rPr>
      </w:pPr>
      <w:r w:rsidRPr="006C66EC">
        <w:rPr>
          <w:lang w:val="en-US"/>
        </w:rPr>
        <w:t xml:space="preserve">21. </w:t>
      </w:r>
      <w:proofErr w:type="spellStart"/>
      <w:r w:rsidRPr="006C66EC">
        <w:rPr>
          <w:lang w:val="en-US"/>
        </w:rPr>
        <w:t>Laveneziana</w:t>
      </w:r>
      <w:proofErr w:type="spellEnd"/>
      <w:r w:rsidRPr="006C66EC">
        <w:rPr>
          <w:lang w:val="en-US"/>
        </w:rPr>
        <w:t xml:space="preserve"> P, Albuquerque A, </w:t>
      </w:r>
      <w:proofErr w:type="spellStart"/>
      <w:r w:rsidRPr="006C66EC">
        <w:rPr>
          <w:lang w:val="en-US"/>
        </w:rPr>
        <w:t>Aliverti</w:t>
      </w:r>
      <w:proofErr w:type="spellEnd"/>
      <w:r w:rsidRPr="006C66EC">
        <w:rPr>
          <w:lang w:val="en-US"/>
        </w:rPr>
        <w:t xml:space="preserve"> A, Babb T, Barreiro E, Dres M, et al. ERS statement on respiratory muscle testing at rest and during exercise. European Respiratory Journal. 2019;53. </w:t>
      </w:r>
    </w:p>
    <w:p w14:paraId="3652819E" w14:textId="77777777" w:rsidR="006C66EC" w:rsidRPr="006C66EC" w:rsidRDefault="006C66EC" w:rsidP="006C66EC">
      <w:pPr>
        <w:pStyle w:val="Bibliografia"/>
        <w:rPr>
          <w:lang w:val="en-US"/>
        </w:rPr>
      </w:pPr>
      <w:r w:rsidRPr="006C66EC">
        <w:rPr>
          <w:lang w:val="en-US"/>
        </w:rPr>
        <w:t xml:space="preserve">22. </w:t>
      </w:r>
      <w:proofErr w:type="spellStart"/>
      <w:r w:rsidRPr="006C66EC">
        <w:rPr>
          <w:lang w:val="en-US"/>
        </w:rPr>
        <w:t>Héritier</w:t>
      </w:r>
      <w:proofErr w:type="spellEnd"/>
      <w:r w:rsidRPr="006C66EC">
        <w:rPr>
          <w:lang w:val="en-US"/>
        </w:rPr>
        <w:t xml:space="preserve"> F, Rahm F, Pasche P, Fitting JW. Sniff nasal inspiratory pressure. A noninvasive assessment of inspiratory muscle strength. Am J Respir Crit Care Med. </w:t>
      </w:r>
      <w:proofErr w:type="gramStart"/>
      <w:r w:rsidRPr="006C66EC">
        <w:rPr>
          <w:lang w:val="en-US"/>
        </w:rPr>
        <w:t>1994;150:1678</w:t>
      </w:r>
      <w:proofErr w:type="gramEnd"/>
      <w:r w:rsidRPr="006C66EC">
        <w:rPr>
          <w:lang w:val="en-US"/>
        </w:rPr>
        <w:t xml:space="preserve">–83. </w:t>
      </w:r>
    </w:p>
    <w:p w14:paraId="16434A5A" w14:textId="77777777" w:rsidR="006C66EC" w:rsidRPr="006C66EC" w:rsidRDefault="006C66EC" w:rsidP="006C66EC">
      <w:pPr>
        <w:pStyle w:val="Bibliografia"/>
      </w:pPr>
      <w:r w:rsidRPr="006C66EC">
        <w:rPr>
          <w:lang w:val="en-US"/>
        </w:rPr>
        <w:t xml:space="preserve">23. Koulouris N, Vianna LG, Mulvey DA, Green M, Moxham J. Maximal Relaxation Rates of Esophageal, Nose, and Mouth Pressures during a Sniff Reflect Inspiratory Muscle Fatigue. </w:t>
      </w:r>
      <w:r w:rsidRPr="006C66EC">
        <w:t xml:space="preserve">Am </w:t>
      </w:r>
      <w:proofErr w:type="spellStart"/>
      <w:r w:rsidRPr="006C66EC">
        <w:t>Rev</w:t>
      </w:r>
      <w:proofErr w:type="spellEnd"/>
      <w:r w:rsidRPr="006C66EC">
        <w:t xml:space="preserve"> </w:t>
      </w:r>
      <w:proofErr w:type="spellStart"/>
      <w:r w:rsidRPr="006C66EC">
        <w:t>Respir</w:t>
      </w:r>
      <w:proofErr w:type="spellEnd"/>
      <w:r w:rsidRPr="006C66EC">
        <w:t xml:space="preserve"> </w:t>
      </w:r>
      <w:proofErr w:type="spellStart"/>
      <w:r w:rsidRPr="006C66EC">
        <w:t>Dis</w:t>
      </w:r>
      <w:proofErr w:type="spellEnd"/>
      <w:r w:rsidRPr="006C66EC">
        <w:t xml:space="preserve">. </w:t>
      </w:r>
      <w:proofErr w:type="gramStart"/>
      <w:r w:rsidRPr="006C66EC">
        <w:t>1989;139:1213</w:t>
      </w:r>
      <w:proofErr w:type="gramEnd"/>
      <w:r w:rsidRPr="006C66EC">
        <w:t xml:space="preserve">–7. </w:t>
      </w:r>
    </w:p>
    <w:p w14:paraId="2E88267A" w14:textId="77777777" w:rsidR="006C66EC" w:rsidRPr="006C66EC" w:rsidRDefault="006C66EC" w:rsidP="006C66EC">
      <w:pPr>
        <w:pStyle w:val="Bibliografia"/>
      </w:pPr>
      <w:r w:rsidRPr="006C66EC">
        <w:t xml:space="preserve">24. Mello NM de, Zonta MB, </w:t>
      </w:r>
      <w:proofErr w:type="spellStart"/>
      <w:r w:rsidRPr="006C66EC">
        <w:t>Teive</w:t>
      </w:r>
      <w:proofErr w:type="spellEnd"/>
      <w:r w:rsidRPr="006C66EC">
        <w:t xml:space="preserve"> HAG, Meira AT, LOPES FDN, Silva JT da SN da, et al. </w:t>
      </w:r>
      <w:r w:rsidRPr="006C66EC">
        <w:rPr>
          <w:lang w:val="en-US"/>
        </w:rPr>
        <w:t xml:space="preserve">Assessment of ventilatory function in patients with spinocerebellar ataxia type 2. </w:t>
      </w:r>
      <w:r w:rsidRPr="006C66EC">
        <w:t xml:space="preserve">Arquivos de </w:t>
      </w:r>
      <w:proofErr w:type="spellStart"/>
      <w:r w:rsidRPr="006C66EC">
        <w:t>Neuro-Psiquiatria</w:t>
      </w:r>
      <w:proofErr w:type="spellEnd"/>
      <w:r w:rsidRPr="006C66EC">
        <w:t xml:space="preserve">. </w:t>
      </w:r>
      <w:proofErr w:type="gramStart"/>
      <w:r w:rsidRPr="006C66EC">
        <w:t>2020;78:96</w:t>
      </w:r>
      <w:proofErr w:type="gramEnd"/>
      <w:r w:rsidRPr="006C66EC">
        <w:t xml:space="preserve">–102. </w:t>
      </w:r>
    </w:p>
    <w:p w14:paraId="3838F09C" w14:textId="77777777" w:rsidR="006C66EC" w:rsidRPr="006C66EC" w:rsidRDefault="006C66EC" w:rsidP="006C66EC">
      <w:pPr>
        <w:pStyle w:val="Bibliografia"/>
        <w:rPr>
          <w:lang w:val="en-US"/>
        </w:rPr>
      </w:pPr>
      <w:r w:rsidRPr="006C66EC">
        <w:t xml:space="preserve">25. </w:t>
      </w:r>
      <w:proofErr w:type="spellStart"/>
      <w:r w:rsidRPr="006C66EC">
        <w:t>Sriranjini</w:t>
      </w:r>
      <w:proofErr w:type="spellEnd"/>
      <w:r w:rsidRPr="006C66EC">
        <w:t xml:space="preserve"> SJ, </w:t>
      </w:r>
      <w:proofErr w:type="spellStart"/>
      <w:r w:rsidRPr="006C66EC">
        <w:t>Pal</w:t>
      </w:r>
      <w:proofErr w:type="spellEnd"/>
      <w:r w:rsidRPr="006C66EC">
        <w:t xml:space="preserve"> PK, Krishna N, </w:t>
      </w:r>
      <w:proofErr w:type="spellStart"/>
      <w:r w:rsidRPr="006C66EC">
        <w:t>Sathyaprabha</w:t>
      </w:r>
      <w:proofErr w:type="spellEnd"/>
      <w:r w:rsidRPr="006C66EC">
        <w:t xml:space="preserve"> TN. </w:t>
      </w:r>
      <w:r w:rsidRPr="006C66EC">
        <w:rPr>
          <w:lang w:val="en-US"/>
        </w:rPr>
        <w:t xml:space="preserve">Subclinical pulmonary dysfunction in spinocerebellar ataxias 1, 2 and 3. Acta </w:t>
      </w:r>
      <w:proofErr w:type="spellStart"/>
      <w:r w:rsidRPr="006C66EC">
        <w:rPr>
          <w:lang w:val="en-US"/>
        </w:rPr>
        <w:t>Neurologica</w:t>
      </w:r>
      <w:proofErr w:type="spellEnd"/>
      <w:r w:rsidRPr="006C66EC">
        <w:rPr>
          <w:lang w:val="en-US"/>
        </w:rPr>
        <w:t xml:space="preserve"> Scandinavica [Internet]. 2009 [cited 2024 Dec 20]; Available from: https://onlinelibrary.wiley.com/doi/10.1111/j.1600-0404.2009.01306.x</w:t>
      </w:r>
    </w:p>
    <w:p w14:paraId="7B7365CA" w14:textId="77777777" w:rsidR="006C66EC" w:rsidRPr="006C66EC" w:rsidRDefault="006C66EC" w:rsidP="006C66EC">
      <w:pPr>
        <w:pStyle w:val="Bibliografia"/>
        <w:rPr>
          <w:lang w:val="en-US"/>
        </w:rPr>
      </w:pPr>
      <w:r w:rsidRPr="006C66EC">
        <w:t>26. Pedroso JL, França MC, Braga</w:t>
      </w:r>
      <w:r w:rsidRPr="006C66EC">
        <w:rPr>
          <w:rFonts w:ascii="Cambria Math" w:hAnsi="Cambria Math" w:cs="Cambria Math"/>
        </w:rPr>
        <w:t>‐</w:t>
      </w:r>
      <w:r w:rsidRPr="006C66EC">
        <w:t>Neto P, D’Abreu A, Saraiva</w:t>
      </w:r>
      <w:r w:rsidRPr="006C66EC">
        <w:rPr>
          <w:rFonts w:ascii="Cambria Math" w:hAnsi="Cambria Math" w:cs="Cambria Math"/>
        </w:rPr>
        <w:t>‐</w:t>
      </w:r>
      <w:r w:rsidRPr="006C66EC">
        <w:t xml:space="preserve">Pereira ML, </w:t>
      </w:r>
      <w:proofErr w:type="spellStart"/>
      <w:r w:rsidRPr="006C66EC">
        <w:t>Saute</w:t>
      </w:r>
      <w:proofErr w:type="spellEnd"/>
      <w:r w:rsidRPr="006C66EC">
        <w:t xml:space="preserve"> JA, et al. </w:t>
      </w:r>
      <w:r w:rsidRPr="006C66EC">
        <w:rPr>
          <w:lang w:val="en-US"/>
        </w:rPr>
        <w:t>Nonmotor and extracerebellar features in Machado</w:t>
      </w:r>
      <w:r w:rsidRPr="006C66EC">
        <w:rPr>
          <w:rFonts w:ascii="Cambria Math" w:hAnsi="Cambria Math" w:cs="Cambria Math"/>
          <w:lang w:val="en-US"/>
        </w:rPr>
        <w:t>‐</w:t>
      </w:r>
      <w:r w:rsidRPr="006C66EC">
        <w:rPr>
          <w:lang w:val="en-US"/>
        </w:rPr>
        <w:t xml:space="preserve">Joseph disease: A review. Movement Disorders. 2013;28:1200–8. </w:t>
      </w:r>
    </w:p>
    <w:p w14:paraId="1514DD6A" w14:textId="77777777" w:rsidR="006C66EC" w:rsidRPr="006C66EC" w:rsidRDefault="006C66EC" w:rsidP="006C66EC">
      <w:pPr>
        <w:pStyle w:val="Bibliografia"/>
        <w:rPr>
          <w:lang w:val="en-US"/>
        </w:rPr>
      </w:pPr>
      <w:r w:rsidRPr="006C66EC">
        <w:rPr>
          <w:lang w:val="en-US"/>
        </w:rPr>
        <w:t xml:space="preserve">27. Zanatta A, Camargo CHF, </w:t>
      </w:r>
      <w:proofErr w:type="spellStart"/>
      <w:r w:rsidRPr="006C66EC">
        <w:rPr>
          <w:lang w:val="en-US"/>
        </w:rPr>
        <w:t>Germiniani</w:t>
      </w:r>
      <w:proofErr w:type="spellEnd"/>
      <w:r w:rsidRPr="006C66EC">
        <w:rPr>
          <w:lang w:val="en-US"/>
        </w:rPr>
        <w:t xml:space="preserve"> FMB, Raskin S, de Souza Crippa AC, </w:t>
      </w:r>
      <w:proofErr w:type="spellStart"/>
      <w:r w:rsidRPr="006C66EC">
        <w:rPr>
          <w:lang w:val="en-US"/>
        </w:rPr>
        <w:t>Teive</w:t>
      </w:r>
      <w:proofErr w:type="spellEnd"/>
      <w:r w:rsidRPr="006C66EC">
        <w:rPr>
          <w:lang w:val="en-US"/>
        </w:rPr>
        <w:t xml:space="preserve"> HAG. Abnormal findings in polysomnographic recordings of patients with spinocerebellar ataxia type 2 (SCA2). The Cerebellum. </w:t>
      </w:r>
      <w:proofErr w:type="gramStart"/>
      <w:r w:rsidRPr="006C66EC">
        <w:rPr>
          <w:lang w:val="en-US"/>
        </w:rPr>
        <w:t>2019;18:196</w:t>
      </w:r>
      <w:proofErr w:type="gramEnd"/>
      <w:r w:rsidRPr="006C66EC">
        <w:rPr>
          <w:lang w:val="en-US"/>
        </w:rPr>
        <w:t xml:space="preserve">–202. </w:t>
      </w:r>
    </w:p>
    <w:p w14:paraId="5C7ED5B1" w14:textId="77777777" w:rsidR="006C66EC" w:rsidRPr="006C66EC" w:rsidRDefault="006C66EC" w:rsidP="006C66EC">
      <w:pPr>
        <w:pStyle w:val="Bibliografia"/>
        <w:rPr>
          <w:lang w:val="en-US"/>
        </w:rPr>
      </w:pPr>
      <w:r w:rsidRPr="006C66EC">
        <w:rPr>
          <w:lang w:val="en-US"/>
        </w:rPr>
        <w:t xml:space="preserve">28. </w:t>
      </w:r>
      <w:proofErr w:type="spellStart"/>
      <w:r w:rsidRPr="006C66EC">
        <w:rPr>
          <w:lang w:val="en-US"/>
        </w:rPr>
        <w:t>Tuin</w:t>
      </w:r>
      <w:proofErr w:type="spellEnd"/>
      <w:r w:rsidRPr="006C66EC">
        <w:rPr>
          <w:lang w:val="en-US"/>
        </w:rPr>
        <w:t xml:space="preserve"> I, Voss U, Kang J-S, Kessler K, </w:t>
      </w:r>
      <w:proofErr w:type="spellStart"/>
      <w:r w:rsidRPr="006C66EC">
        <w:rPr>
          <w:lang w:val="en-US"/>
        </w:rPr>
        <w:t>Rüb</w:t>
      </w:r>
      <w:proofErr w:type="spellEnd"/>
      <w:r w:rsidRPr="006C66EC">
        <w:rPr>
          <w:lang w:val="en-US"/>
        </w:rPr>
        <w:t xml:space="preserve"> U, Nolte D, et al. Stages of sleep pathology in spinocerebellar ataxia type 2 (SCA2). Neurology. </w:t>
      </w:r>
      <w:proofErr w:type="gramStart"/>
      <w:r w:rsidRPr="006C66EC">
        <w:rPr>
          <w:lang w:val="en-US"/>
        </w:rPr>
        <w:t>2006;67:1966</w:t>
      </w:r>
      <w:proofErr w:type="gramEnd"/>
      <w:r w:rsidRPr="006C66EC">
        <w:rPr>
          <w:lang w:val="en-US"/>
        </w:rPr>
        <w:t xml:space="preserve">–72. </w:t>
      </w:r>
    </w:p>
    <w:p w14:paraId="08D8CB42" w14:textId="77777777" w:rsidR="006C66EC" w:rsidRPr="006C66EC" w:rsidRDefault="006C66EC" w:rsidP="006C66EC">
      <w:pPr>
        <w:pStyle w:val="Bibliografia"/>
        <w:rPr>
          <w:lang w:val="en-US"/>
        </w:rPr>
      </w:pPr>
      <w:r w:rsidRPr="006C66EC">
        <w:rPr>
          <w:lang w:val="en-US"/>
        </w:rPr>
        <w:lastRenderedPageBreak/>
        <w:t xml:space="preserve">29. Zielen S, Duecker RP, Woelke S, Donath H, Bakhtiar S, Buecker A, et al. Simple Measurement of IgA Predicts Immunity and Mortality in Ataxia-Telangiectasia. J Clin Immunol. </w:t>
      </w:r>
      <w:proofErr w:type="gramStart"/>
      <w:r w:rsidRPr="006C66EC">
        <w:rPr>
          <w:lang w:val="en-US"/>
        </w:rPr>
        <w:t>2021;41:1878</w:t>
      </w:r>
      <w:proofErr w:type="gramEnd"/>
      <w:r w:rsidRPr="006C66EC">
        <w:rPr>
          <w:lang w:val="en-US"/>
        </w:rPr>
        <w:t xml:space="preserve">–92. </w:t>
      </w:r>
    </w:p>
    <w:p w14:paraId="7FFA624A" w14:textId="77777777" w:rsidR="006C66EC" w:rsidRPr="006C66EC" w:rsidRDefault="006C66EC" w:rsidP="006C66EC">
      <w:pPr>
        <w:pStyle w:val="Bibliografia"/>
        <w:rPr>
          <w:lang w:val="en-US"/>
        </w:rPr>
      </w:pPr>
      <w:r w:rsidRPr="006C66EC">
        <w:rPr>
          <w:lang w:val="en-US"/>
        </w:rPr>
        <w:t xml:space="preserve">30. </w:t>
      </w:r>
      <w:proofErr w:type="spellStart"/>
      <w:r w:rsidRPr="006C66EC">
        <w:rPr>
          <w:lang w:val="en-US"/>
        </w:rPr>
        <w:t>Vilozni</w:t>
      </w:r>
      <w:proofErr w:type="spellEnd"/>
      <w:r w:rsidRPr="006C66EC">
        <w:rPr>
          <w:lang w:val="en-US"/>
        </w:rPr>
        <w:t xml:space="preserve"> D, Lavie M, Sarouk I, Levi Y, </w:t>
      </w:r>
      <w:proofErr w:type="spellStart"/>
      <w:r w:rsidRPr="006C66EC">
        <w:rPr>
          <w:lang w:val="en-US"/>
        </w:rPr>
        <w:t>Alcaneses</w:t>
      </w:r>
      <w:proofErr w:type="spellEnd"/>
      <w:r w:rsidRPr="006C66EC">
        <w:rPr>
          <w:lang w:val="en-US"/>
        </w:rPr>
        <w:t xml:space="preserve"> Ofek M-R, Efrati O. Cough ability measurements and recurrent respiratory symptoms in individuals with Ataxia Telangiectasia. Journal of Asthma. </w:t>
      </w:r>
      <w:proofErr w:type="gramStart"/>
      <w:r w:rsidRPr="006C66EC">
        <w:rPr>
          <w:lang w:val="en-US"/>
        </w:rPr>
        <w:t>2016;53:37</w:t>
      </w:r>
      <w:proofErr w:type="gramEnd"/>
      <w:r w:rsidRPr="006C66EC">
        <w:rPr>
          <w:lang w:val="en-US"/>
        </w:rPr>
        <w:t xml:space="preserve">–42. </w:t>
      </w:r>
    </w:p>
    <w:p w14:paraId="43999D61" w14:textId="77777777" w:rsidR="006C66EC" w:rsidRPr="006C66EC" w:rsidRDefault="006C66EC" w:rsidP="006C66EC">
      <w:pPr>
        <w:pStyle w:val="Bibliografia"/>
        <w:rPr>
          <w:lang w:val="en-US"/>
        </w:rPr>
      </w:pPr>
      <w:r w:rsidRPr="006C66EC">
        <w:rPr>
          <w:lang w:val="en-US"/>
        </w:rPr>
        <w:t xml:space="preserve">31. </w:t>
      </w:r>
      <w:proofErr w:type="spellStart"/>
      <w:r w:rsidRPr="006C66EC">
        <w:rPr>
          <w:lang w:val="en-US"/>
        </w:rPr>
        <w:t>Summ</w:t>
      </w:r>
      <w:proofErr w:type="spellEnd"/>
      <w:r w:rsidRPr="006C66EC">
        <w:rPr>
          <w:lang w:val="en-US"/>
        </w:rPr>
        <w:t xml:space="preserve"> O, Hassanpour N, Mathys C, Gross M. Disordered breathing in severe cerebral illness–Towards a conceptual framework. Respiratory Physiology &amp; Neurobiology. </w:t>
      </w:r>
      <w:proofErr w:type="gramStart"/>
      <w:r w:rsidRPr="006C66EC">
        <w:rPr>
          <w:lang w:val="en-US"/>
        </w:rPr>
        <w:t>2022;300:103869</w:t>
      </w:r>
      <w:proofErr w:type="gramEnd"/>
      <w:r w:rsidRPr="006C66EC">
        <w:rPr>
          <w:lang w:val="en-US"/>
        </w:rPr>
        <w:t xml:space="preserve">. </w:t>
      </w:r>
    </w:p>
    <w:p w14:paraId="1B1E295F" w14:textId="24510BE8" w:rsidR="00126418" w:rsidRPr="00A73454" w:rsidRDefault="0046772B" w:rsidP="00126418">
      <w:pPr>
        <w:shd w:val="clear" w:color="auto" w:fill="FFFFFF"/>
        <w:ind w:firstLine="0"/>
        <w:jc w:val="left"/>
        <w:rPr>
          <w:rFonts w:ascii="Segoe UI" w:eastAsia="Times New Roman" w:hAnsi="Segoe UI" w:cs="Segoe UI"/>
          <w:color w:val="5B616B"/>
          <w:kern w:val="0"/>
          <w:sz w:val="24"/>
          <w:szCs w:val="24"/>
          <w:lang w:val="en-US" w:eastAsia="pt-BR"/>
          <w14:ligatures w14:val="none"/>
        </w:rPr>
      </w:pPr>
      <w:r w:rsidRPr="005224C3">
        <w:rPr>
          <w:lang w:val="en-US"/>
        </w:rPr>
        <w:fldChar w:fldCharType="end"/>
      </w:r>
    </w:p>
    <w:sectPr w:rsidR="00126418" w:rsidRPr="00A734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AAB"/>
    <w:multiLevelType w:val="multilevel"/>
    <w:tmpl w:val="AAA4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2CD9"/>
    <w:multiLevelType w:val="hybridMultilevel"/>
    <w:tmpl w:val="4134E916"/>
    <w:lvl w:ilvl="0" w:tplc="3C1C74F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E81E2B"/>
    <w:multiLevelType w:val="hybridMultilevel"/>
    <w:tmpl w:val="0E74B514"/>
    <w:lvl w:ilvl="0" w:tplc="3B4403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123C0"/>
    <w:multiLevelType w:val="multilevel"/>
    <w:tmpl w:val="8D30010E"/>
    <w:lvl w:ilvl="0">
      <w:start w:val="6"/>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FF52648"/>
    <w:multiLevelType w:val="multilevel"/>
    <w:tmpl w:val="BD62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52A4F"/>
    <w:multiLevelType w:val="multilevel"/>
    <w:tmpl w:val="A21A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C4DC3"/>
    <w:multiLevelType w:val="multilevel"/>
    <w:tmpl w:val="E98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E0807"/>
    <w:multiLevelType w:val="multilevel"/>
    <w:tmpl w:val="2F2E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B01B3"/>
    <w:multiLevelType w:val="multilevel"/>
    <w:tmpl w:val="B36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9474B"/>
    <w:multiLevelType w:val="multilevel"/>
    <w:tmpl w:val="A270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E6255"/>
    <w:multiLevelType w:val="multilevel"/>
    <w:tmpl w:val="D3B0C092"/>
    <w:lvl w:ilvl="0">
      <w:start w:val="1"/>
      <w:numFmt w:val="decimal"/>
      <w:lvlText w:val="%1."/>
      <w:lvlJc w:val="left"/>
      <w:pPr>
        <w:ind w:left="1069"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FD2EC5"/>
    <w:multiLevelType w:val="hybridMultilevel"/>
    <w:tmpl w:val="640EF3D6"/>
    <w:lvl w:ilvl="0" w:tplc="130E516A">
      <w:start w:val="1"/>
      <w:numFmt w:val="decimal"/>
      <w:lvlText w:val="%1-"/>
      <w:lvlJc w:val="left"/>
      <w:pPr>
        <w:ind w:left="786"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6BC5FB7"/>
    <w:multiLevelType w:val="multilevel"/>
    <w:tmpl w:val="732E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A60A4"/>
    <w:multiLevelType w:val="multilevel"/>
    <w:tmpl w:val="99C2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43A32"/>
    <w:multiLevelType w:val="multilevel"/>
    <w:tmpl w:val="BB4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21C13"/>
    <w:multiLevelType w:val="multilevel"/>
    <w:tmpl w:val="98D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B761B"/>
    <w:multiLevelType w:val="hybridMultilevel"/>
    <w:tmpl w:val="A81499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30163"/>
    <w:multiLevelType w:val="multilevel"/>
    <w:tmpl w:val="B902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646379"/>
    <w:multiLevelType w:val="multilevel"/>
    <w:tmpl w:val="4E301EE2"/>
    <w:lvl w:ilvl="0">
      <w:start w:val="1"/>
      <w:numFmt w:val="decimal"/>
      <w:lvlText w:val="%1."/>
      <w:lvlJc w:val="left"/>
      <w:pPr>
        <w:ind w:left="360" w:hanging="360"/>
      </w:pPr>
      <w:rPr>
        <w:rFonts w:hint="default"/>
      </w:rPr>
    </w:lvl>
    <w:lvl w:ilvl="1">
      <w:start w:val="1"/>
      <w:numFmt w:val="decimal"/>
      <w:pStyle w:val="Ttul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FB578B"/>
    <w:multiLevelType w:val="multilevel"/>
    <w:tmpl w:val="7B40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B2361"/>
    <w:multiLevelType w:val="multilevel"/>
    <w:tmpl w:val="E38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C49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8215880">
    <w:abstractNumId w:val="11"/>
  </w:num>
  <w:num w:numId="2" w16cid:durableId="183596627">
    <w:abstractNumId w:val="12"/>
  </w:num>
  <w:num w:numId="3" w16cid:durableId="1902671885">
    <w:abstractNumId w:val="5"/>
  </w:num>
  <w:num w:numId="4" w16cid:durableId="100299186">
    <w:abstractNumId w:val="15"/>
  </w:num>
  <w:num w:numId="5" w16cid:durableId="823398410">
    <w:abstractNumId w:val="20"/>
  </w:num>
  <w:num w:numId="6" w16cid:durableId="2003507724">
    <w:abstractNumId w:val="8"/>
  </w:num>
  <w:num w:numId="7" w16cid:durableId="2058317496">
    <w:abstractNumId w:val="4"/>
  </w:num>
  <w:num w:numId="8" w16cid:durableId="660347968">
    <w:abstractNumId w:val="0"/>
  </w:num>
  <w:num w:numId="9" w16cid:durableId="1693605765">
    <w:abstractNumId w:val="13"/>
  </w:num>
  <w:num w:numId="10" w16cid:durableId="780954941">
    <w:abstractNumId w:val="18"/>
  </w:num>
  <w:num w:numId="11" w16cid:durableId="475530562">
    <w:abstractNumId w:val="16"/>
  </w:num>
  <w:num w:numId="12" w16cid:durableId="1511404613">
    <w:abstractNumId w:val="21"/>
  </w:num>
  <w:num w:numId="13" w16cid:durableId="1565682646">
    <w:abstractNumId w:val="10"/>
  </w:num>
  <w:num w:numId="14" w16cid:durableId="467892792">
    <w:abstractNumId w:val="3"/>
  </w:num>
  <w:num w:numId="15" w16cid:durableId="1149710569">
    <w:abstractNumId w:val="2"/>
  </w:num>
  <w:num w:numId="16" w16cid:durableId="1650018229">
    <w:abstractNumId w:val="9"/>
  </w:num>
  <w:num w:numId="17" w16cid:durableId="828130305">
    <w:abstractNumId w:val="7"/>
  </w:num>
  <w:num w:numId="18" w16cid:durableId="1374619026">
    <w:abstractNumId w:val="1"/>
  </w:num>
  <w:num w:numId="19" w16cid:durableId="512688769">
    <w:abstractNumId w:val="14"/>
  </w:num>
  <w:num w:numId="20" w16cid:durableId="2046325970">
    <w:abstractNumId w:val="19"/>
  </w:num>
  <w:num w:numId="21" w16cid:durableId="1796872017">
    <w:abstractNumId w:val="6"/>
  </w:num>
  <w:num w:numId="22" w16cid:durableId="887257519">
    <w:abstractNumId w:val="17"/>
  </w:num>
  <w:num w:numId="23" w16cid:durableId="1551771230">
    <w:abstractNumId w:val="18"/>
    <w:lvlOverride w:ilvl="0">
      <w:startOverride w:val="3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BB"/>
    <w:rsid w:val="00001766"/>
    <w:rsid w:val="00002CCF"/>
    <w:rsid w:val="0000710C"/>
    <w:rsid w:val="00033203"/>
    <w:rsid w:val="00046154"/>
    <w:rsid w:val="000568C8"/>
    <w:rsid w:val="00062B0D"/>
    <w:rsid w:val="00075012"/>
    <w:rsid w:val="00077D1A"/>
    <w:rsid w:val="000836FC"/>
    <w:rsid w:val="0009306F"/>
    <w:rsid w:val="00096E3B"/>
    <w:rsid w:val="000A2B84"/>
    <w:rsid w:val="000A5C25"/>
    <w:rsid w:val="000B178E"/>
    <w:rsid w:val="000C29FA"/>
    <w:rsid w:val="000C45D2"/>
    <w:rsid w:val="000D5672"/>
    <w:rsid w:val="000E14A8"/>
    <w:rsid w:val="000E4E67"/>
    <w:rsid w:val="000E65A9"/>
    <w:rsid w:val="000E7F15"/>
    <w:rsid w:val="000F0110"/>
    <w:rsid w:val="000F09C9"/>
    <w:rsid w:val="00110F08"/>
    <w:rsid w:val="00113003"/>
    <w:rsid w:val="001221DA"/>
    <w:rsid w:val="001223D9"/>
    <w:rsid w:val="00122A9D"/>
    <w:rsid w:val="00123B0C"/>
    <w:rsid w:val="0012527B"/>
    <w:rsid w:val="00126418"/>
    <w:rsid w:val="00131CE4"/>
    <w:rsid w:val="00134634"/>
    <w:rsid w:val="00145356"/>
    <w:rsid w:val="00151B8A"/>
    <w:rsid w:val="00153F5D"/>
    <w:rsid w:val="00160589"/>
    <w:rsid w:val="00166473"/>
    <w:rsid w:val="00170F77"/>
    <w:rsid w:val="00172351"/>
    <w:rsid w:val="00182317"/>
    <w:rsid w:val="00182F02"/>
    <w:rsid w:val="00187407"/>
    <w:rsid w:val="001A1CDF"/>
    <w:rsid w:val="001A3D1F"/>
    <w:rsid w:val="001D1A8B"/>
    <w:rsid w:val="001F1489"/>
    <w:rsid w:val="001F4F2E"/>
    <w:rsid w:val="002026BE"/>
    <w:rsid w:val="00216DCF"/>
    <w:rsid w:val="00217E34"/>
    <w:rsid w:val="002268C7"/>
    <w:rsid w:val="00231B88"/>
    <w:rsid w:val="00236F19"/>
    <w:rsid w:val="002459EC"/>
    <w:rsid w:val="00251805"/>
    <w:rsid w:val="002726DC"/>
    <w:rsid w:val="0028170F"/>
    <w:rsid w:val="00282695"/>
    <w:rsid w:val="002873B5"/>
    <w:rsid w:val="00293489"/>
    <w:rsid w:val="00297417"/>
    <w:rsid w:val="002A283A"/>
    <w:rsid w:val="002A414F"/>
    <w:rsid w:val="002A50FC"/>
    <w:rsid w:val="002B5A57"/>
    <w:rsid w:val="002B6C88"/>
    <w:rsid w:val="002C3DD1"/>
    <w:rsid w:val="002D3E2A"/>
    <w:rsid w:val="002F2F99"/>
    <w:rsid w:val="002F4170"/>
    <w:rsid w:val="002F5628"/>
    <w:rsid w:val="00300015"/>
    <w:rsid w:val="00307150"/>
    <w:rsid w:val="003100BF"/>
    <w:rsid w:val="003105C9"/>
    <w:rsid w:val="00311983"/>
    <w:rsid w:val="00312911"/>
    <w:rsid w:val="00321B42"/>
    <w:rsid w:val="00324225"/>
    <w:rsid w:val="00325112"/>
    <w:rsid w:val="0032618F"/>
    <w:rsid w:val="00337F9C"/>
    <w:rsid w:val="003525A1"/>
    <w:rsid w:val="00360524"/>
    <w:rsid w:val="00382D57"/>
    <w:rsid w:val="00386091"/>
    <w:rsid w:val="00396E10"/>
    <w:rsid w:val="003A4F42"/>
    <w:rsid w:val="003A73CD"/>
    <w:rsid w:val="003B14A8"/>
    <w:rsid w:val="003B782A"/>
    <w:rsid w:val="003C57DD"/>
    <w:rsid w:val="003C7DCD"/>
    <w:rsid w:val="003E2E34"/>
    <w:rsid w:val="003E64D6"/>
    <w:rsid w:val="003F3795"/>
    <w:rsid w:val="003F6DEE"/>
    <w:rsid w:val="0040632C"/>
    <w:rsid w:val="004127BC"/>
    <w:rsid w:val="00421853"/>
    <w:rsid w:val="00434B71"/>
    <w:rsid w:val="004443BE"/>
    <w:rsid w:val="00450037"/>
    <w:rsid w:val="00466A1D"/>
    <w:rsid w:val="0046772B"/>
    <w:rsid w:val="004754EB"/>
    <w:rsid w:val="00476ABB"/>
    <w:rsid w:val="00487DF2"/>
    <w:rsid w:val="00494866"/>
    <w:rsid w:val="004A3640"/>
    <w:rsid w:val="004B2B42"/>
    <w:rsid w:val="004C2764"/>
    <w:rsid w:val="004C653C"/>
    <w:rsid w:val="004D27B8"/>
    <w:rsid w:val="004D342B"/>
    <w:rsid w:val="004E16B3"/>
    <w:rsid w:val="004E272F"/>
    <w:rsid w:val="004E4115"/>
    <w:rsid w:val="004E635C"/>
    <w:rsid w:val="0050324F"/>
    <w:rsid w:val="005108D5"/>
    <w:rsid w:val="00512607"/>
    <w:rsid w:val="005140B6"/>
    <w:rsid w:val="005224C3"/>
    <w:rsid w:val="005242A3"/>
    <w:rsid w:val="00526DC4"/>
    <w:rsid w:val="00531BB0"/>
    <w:rsid w:val="00532E14"/>
    <w:rsid w:val="0053561D"/>
    <w:rsid w:val="00536097"/>
    <w:rsid w:val="0054216E"/>
    <w:rsid w:val="005443DD"/>
    <w:rsid w:val="005450BA"/>
    <w:rsid w:val="00545784"/>
    <w:rsid w:val="005569ED"/>
    <w:rsid w:val="00591780"/>
    <w:rsid w:val="00593341"/>
    <w:rsid w:val="005A715B"/>
    <w:rsid w:val="005A75CC"/>
    <w:rsid w:val="005B2AA8"/>
    <w:rsid w:val="005C492F"/>
    <w:rsid w:val="005D06A6"/>
    <w:rsid w:val="005D0F44"/>
    <w:rsid w:val="005D473E"/>
    <w:rsid w:val="005D5294"/>
    <w:rsid w:val="005E49FD"/>
    <w:rsid w:val="005F1AAF"/>
    <w:rsid w:val="00602869"/>
    <w:rsid w:val="00610169"/>
    <w:rsid w:val="00612975"/>
    <w:rsid w:val="00614578"/>
    <w:rsid w:val="00622EF0"/>
    <w:rsid w:val="00627380"/>
    <w:rsid w:val="00627FBE"/>
    <w:rsid w:val="006311DC"/>
    <w:rsid w:val="00637F08"/>
    <w:rsid w:val="00640A4D"/>
    <w:rsid w:val="0064317C"/>
    <w:rsid w:val="006466C0"/>
    <w:rsid w:val="00654036"/>
    <w:rsid w:val="006616F9"/>
    <w:rsid w:val="006634B0"/>
    <w:rsid w:val="006642A2"/>
    <w:rsid w:val="00664D3E"/>
    <w:rsid w:val="006747BF"/>
    <w:rsid w:val="00686B3C"/>
    <w:rsid w:val="006900B2"/>
    <w:rsid w:val="00691402"/>
    <w:rsid w:val="006B1606"/>
    <w:rsid w:val="006C66EC"/>
    <w:rsid w:val="006F336D"/>
    <w:rsid w:val="006F5E15"/>
    <w:rsid w:val="00700AB4"/>
    <w:rsid w:val="00705183"/>
    <w:rsid w:val="007052EE"/>
    <w:rsid w:val="00710591"/>
    <w:rsid w:val="00715640"/>
    <w:rsid w:val="00715645"/>
    <w:rsid w:val="0072320E"/>
    <w:rsid w:val="00741572"/>
    <w:rsid w:val="00743344"/>
    <w:rsid w:val="00743D62"/>
    <w:rsid w:val="0075089E"/>
    <w:rsid w:val="007574D2"/>
    <w:rsid w:val="007578D2"/>
    <w:rsid w:val="00770440"/>
    <w:rsid w:val="00772904"/>
    <w:rsid w:val="00774600"/>
    <w:rsid w:val="00784286"/>
    <w:rsid w:val="00785C7F"/>
    <w:rsid w:val="00786FED"/>
    <w:rsid w:val="007A1374"/>
    <w:rsid w:val="007A1A45"/>
    <w:rsid w:val="007A6FF2"/>
    <w:rsid w:val="007B2C9F"/>
    <w:rsid w:val="007E27C2"/>
    <w:rsid w:val="007E362A"/>
    <w:rsid w:val="007F29CF"/>
    <w:rsid w:val="007F7DBF"/>
    <w:rsid w:val="0080133E"/>
    <w:rsid w:val="00812DBD"/>
    <w:rsid w:val="008249F7"/>
    <w:rsid w:val="008266AD"/>
    <w:rsid w:val="00845755"/>
    <w:rsid w:val="008516F0"/>
    <w:rsid w:val="008614AB"/>
    <w:rsid w:val="008618D2"/>
    <w:rsid w:val="00863222"/>
    <w:rsid w:val="00864017"/>
    <w:rsid w:val="008728F4"/>
    <w:rsid w:val="008751AA"/>
    <w:rsid w:val="00875B72"/>
    <w:rsid w:val="00883331"/>
    <w:rsid w:val="00890A47"/>
    <w:rsid w:val="00891FAE"/>
    <w:rsid w:val="008D1261"/>
    <w:rsid w:val="008D2729"/>
    <w:rsid w:val="008E3033"/>
    <w:rsid w:val="008E3950"/>
    <w:rsid w:val="008F35A3"/>
    <w:rsid w:val="009016C0"/>
    <w:rsid w:val="00907BFA"/>
    <w:rsid w:val="009108DF"/>
    <w:rsid w:val="00926C13"/>
    <w:rsid w:val="00935DE3"/>
    <w:rsid w:val="0094175B"/>
    <w:rsid w:val="00943868"/>
    <w:rsid w:val="00946538"/>
    <w:rsid w:val="00950441"/>
    <w:rsid w:val="00961E8B"/>
    <w:rsid w:val="00962B36"/>
    <w:rsid w:val="009671A7"/>
    <w:rsid w:val="00973169"/>
    <w:rsid w:val="00994122"/>
    <w:rsid w:val="009969E8"/>
    <w:rsid w:val="009B2A20"/>
    <w:rsid w:val="009B632C"/>
    <w:rsid w:val="009E1435"/>
    <w:rsid w:val="009E1623"/>
    <w:rsid w:val="009E2FEC"/>
    <w:rsid w:val="009E6D3E"/>
    <w:rsid w:val="009F2BC9"/>
    <w:rsid w:val="00A01336"/>
    <w:rsid w:val="00A03598"/>
    <w:rsid w:val="00A0601D"/>
    <w:rsid w:val="00A216BC"/>
    <w:rsid w:val="00A310D0"/>
    <w:rsid w:val="00A51A8F"/>
    <w:rsid w:val="00A601CB"/>
    <w:rsid w:val="00A67E06"/>
    <w:rsid w:val="00A73454"/>
    <w:rsid w:val="00A76167"/>
    <w:rsid w:val="00A87A15"/>
    <w:rsid w:val="00A943EB"/>
    <w:rsid w:val="00AA0B97"/>
    <w:rsid w:val="00AA287D"/>
    <w:rsid w:val="00AA71BC"/>
    <w:rsid w:val="00AB0CF3"/>
    <w:rsid w:val="00AB3490"/>
    <w:rsid w:val="00AB389B"/>
    <w:rsid w:val="00AC2EF2"/>
    <w:rsid w:val="00AD55C3"/>
    <w:rsid w:val="00AD7E89"/>
    <w:rsid w:val="00AE569F"/>
    <w:rsid w:val="00AF584C"/>
    <w:rsid w:val="00B0687E"/>
    <w:rsid w:val="00B307AB"/>
    <w:rsid w:val="00B309E5"/>
    <w:rsid w:val="00B31B76"/>
    <w:rsid w:val="00B32267"/>
    <w:rsid w:val="00B42D7E"/>
    <w:rsid w:val="00B47417"/>
    <w:rsid w:val="00B47AC9"/>
    <w:rsid w:val="00B636B8"/>
    <w:rsid w:val="00B71DF1"/>
    <w:rsid w:val="00B81DB5"/>
    <w:rsid w:val="00B82F3F"/>
    <w:rsid w:val="00B83ADC"/>
    <w:rsid w:val="00B902BA"/>
    <w:rsid w:val="00B90983"/>
    <w:rsid w:val="00BA3481"/>
    <w:rsid w:val="00BA3F88"/>
    <w:rsid w:val="00BC2235"/>
    <w:rsid w:val="00BC399C"/>
    <w:rsid w:val="00BC636D"/>
    <w:rsid w:val="00BD431D"/>
    <w:rsid w:val="00BD6C42"/>
    <w:rsid w:val="00BE0B21"/>
    <w:rsid w:val="00BE3181"/>
    <w:rsid w:val="00BE37AA"/>
    <w:rsid w:val="00BE7378"/>
    <w:rsid w:val="00BF2922"/>
    <w:rsid w:val="00BF6144"/>
    <w:rsid w:val="00C01A1C"/>
    <w:rsid w:val="00C040F2"/>
    <w:rsid w:val="00C11553"/>
    <w:rsid w:val="00C17B0A"/>
    <w:rsid w:val="00C21CE6"/>
    <w:rsid w:val="00C254C1"/>
    <w:rsid w:val="00C41C42"/>
    <w:rsid w:val="00C659E1"/>
    <w:rsid w:val="00C80726"/>
    <w:rsid w:val="00C81938"/>
    <w:rsid w:val="00C85B5F"/>
    <w:rsid w:val="00C93430"/>
    <w:rsid w:val="00C96010"/>
    <w:rsid w:val="00CA5266"/>
    <w:rsid w:val="00CB00FA"/>
    <w:rsid w:val="00CC66A9"/>
    <w:rsid w:val="00CD27D9"/>
    <w:rsid w:val="00CD5A2E"/>
    <w:rsid w:val="00CE53C1"/>
    <w:rsid w:val="00CE624B"/>
    <w:rsid w:val="00D020C2"/>
    <w:rsid w:val="00D12458"/>
    <w:rsid w:val="00D12F9C"/>
    <w:rsid w:val="00D14280"/>
    <w:rsid w:val="00D2047A"/>
    <w:rsid w:val="00D40BA8"/>
    <w:rsid w:val="00D605C9"/>
    <w:rsid w:val="00D64696"/>
    <w:rsid w:val="00D70CDE"/>
    <w:rsid w:val="00D72194"/>
    <w:rsid w:val="00D77705"/>
    <w:rsid w:val="00D8773D"/>
    <w:rsid w:val="00D91338"/>
    <w:rsid w:val="00D95306"/>
    <w:rsid w:val="00D96441"/>
    <w:rsid w:val="00DA7DA7"/>
    <w:rsid w:val="00DB28EC"/>
    <w:rsid w:val="00DB4C06"/>
    <w:rsid w:val="00DB7A07"/>
    <w:rsid w:val="00DC09AF"/>
    <w:rsid w:val="00DC3D7B"/>
    <w:rsid w:val="00DD27D4"/>
    <w:rsid w:val="00DF1BB4"/>
    <w:rsid w:val="00DF7C0D"/>
    <w:rsid w:val="00E04CFC"/>
    <w:rsid w:val="00E058AF"/>
    <w:rsid w:val="00E06983"/>
    <w:rsid w:val="00E073B1"/>
    <w:rsid w:val="00E14B53"/>
    <w:rsid w:val="00E1592B"/>
    <w:rsid w:val="00E24F6B"/>
    <w:rsid w:val="00E27121"/>
    <w:rsid w:val="00E64443"/>
    <w:rsid w:val="00E706B0"/>
    <w:rsid w:val="00E7337D"/>
    <w:rsid w:val="00E864FF"/>
    <w:rsid w:val="00EA2FF8"/>
    <w:rsid w:val="00EA71F0"/>
    <w:rsid w:val="00EB2D75"/>
    <w:rsid w:val="00ED26D7"/>
    <w:rsid w:val="00EE21D5"/>
    <w:rsid w:val="00EE4FFF"/>
    <w:rsid w:val="00EE7AB9"/>
    <w:rsid w:val="00F1338D"/>
    <w:rsid w:val="00F20D76"/>
    <w:rsid w:val="00F25A24"/>
    <w:rsid w:val="00F35779"/>
    <w:rsid w:val="00F611D0"/>
    <w:rsid w:val="00F837E2"/>
    <w:rsid w:val="00F92ECB"/>
    <w:rsid w:val="00F96C1B"/>
    <w:rsid w:val="00FA2BAD"/>
    <w:rsid w:val="00FB2CF1"/>
    <w:rsid w:val="00FC4B4F"/>
    <w:rsid w:val="00FD2355"/>
    <w:rsid w:val="00FD3BCB"/>
    <w:rsid w:val="00FD45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592EF"/>
  <w15:chartTrackingRefBased/>
  <w15:docId w15:val="{8EA0DC66-6828-410D-8547-AB282EFF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8F"/>
    <w:pPr>
      <w:ind w:firstLine="360"/>
      <w:jc w:val="both"/>
    </w:pPr>
    <w:rPr>
      <w:rFonts w:ascii="Arial" w:hAnsi="Arial" w:cs="Arial"/>
    </w:rPr>
  </w:style>
  <w:style w:type="paragraph" w:styleId="Ttulo1">
    <w:name w:val="heading 1"/>
    <w:basedOn w:val="Corpo"/>
    <w:next w:val="Normal"/>
    <w:link w:val="Ttulo1Char"/>
    <w:uiPriority w:val="9"/>
    <w:qFormat/>
    <w:rsid w:val="00EB2D75"/>
    <w:pPr>
      <w:numPr>
        <w:ilvl w:val="1"/>
        <w:numId w:val="10"/>
      </w:numPr>
      <w:spacing w:line="360" w:lineRule="auto"/>
      <w:jc w:val="both"/>
      <w:outlineLvl w:val="0"/>
    </w:pPr>
    <w:rPr>
      <w:rFonts w:asciiTheme="minorHAnsi" w:hAnsiTheme="minorHAnsi" w:cs="Arial"/>
      <w:b/>
      <w:bCs/>
      <w:sz w:val="22"/>
      <w:szCs w:val="22"/>
    </w:rPr>
  </w:style>
  <w:style w:type="paragraph" w:styleId="Ttulo2">
    <w:name w:val="heading 2"/>
    <w:basedOn w:val="Corpo"/>
    <w:next w:val="Normal"/>
    <w:link w:val="Ttulo2Char"/>
    <w:uiPriority w:val="9"/>
    <w:unhideWhenUsed/>
    <w:qFormat/>
    <w:rsid w:val="007F29CF"/>
    <w:pPr>
      <w:spacing w:after="240" w:line="384" w:lineRule="auto"/>
      <w:ind w:firstLine="1134"/>
      <w:jc w:val="both"/>
      <w:outlineLvl w:val="1"/>
    </w:pPr>
    <w:rPr>
      <w:rFonts w:ascii="Arial" w:hAnsi="Arial" w:cs="Arial"/>
    </w:rPr>
  </w:style>
  <w:style w:type="paragraph" w:styleId="Ttulo3">
    <w:name w:val="heading 3"/>
    <w:basedOn w:val="Normal"/>
    <w:next w:val="Normal"/>
    <w:link w:val="Ttulo3Char"/>
    <w:uiPriority w:val="9"/>
    <w:semiHidden/>
    <w:unhideWhenUsed/>
    <w:qFormat/>
    <w:rsid w:val="00476A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76A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76A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76A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76A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76A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76AB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2D75"/>
    <w:rPr>
      <w:rFonts w:eastAsia="Courier New" w:cs="Arial"/>
      <w:b/>
      <w:bCs/>
      <w:color w:val="000000"/>
      <w:kern w:val="0"/>
      <w:u w:color="000000"/>
      <w:bdr w:val="nil"/>
      <w:lang w:eastAsia="pt-BR"/>
      <w14:ligatures w14:val="none"/>
    </w:rPr>
  </w:style>
  <w:style w:type="character" w:customStyle="1" w:styleId="Ttulo2Char">
    <w:name w:val="Título 2 Char"/>
    <w:basedOn w:val="Fontepargpadro"/>
    <w:link w:val="Ttulo2"/>
    <w:uiPriority w:val="9"/>
    <w:rsid w:val="007F29CF"/>
    <w:rPr>
      <w:rFonts w:ascii="Arial" w:eastAsia="Courier New" w:hAnsi="Arial" w:cs="Arial"/>
      <w:color w:val="000000"/>
      <w:kern w:val="0"/>
      <w:sz w:val="24"/>
      <w:szCs w:val="24"/>
      <w:u w:color="000000"/>
      <w:bdr w:val="nil"/>
      <w:lang w:eastAsia="pt-BR"/>
      <w14:ligatures w14:val="none"/>
    </w:rPr>
  </w:style>
  <w:style w:type="character" w:customStyle="1" w:styleId="Ttulo3Char">
    <w:name w:val="Título 3 Char"/>
    <w:basedOn w:val="Fontepargpadro"/>
    <w:link w:val="Ttulo3"/>
    <w:uiPriority w:val="9"/>
    <w:semiHidden/>
    <w:rsid w:val="00476AB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76AB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76AB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76AB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76AB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76AB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76ABB"/>
    <w:rPr>
      <w:rFonts w:eastAsiaTheme="majorEastAsia" w:cstheme="majorBidi"/>
      <w:color w:val="272727" w:themeColor="text1" w:themeTint="D8"/>
    </w:rPr>
  </w:style>
  <w:style w:type="paragraph" w:styleId="Ttulo">
    <w:name w:val="Title"/>
    <w:basedOn w:val="Normal"/>
    <w:next w:val="Normal"/>
    <w:link w:val="TtuloChar"/>
    <w:uiPriority w:val="10"/>
    <w:qFormat/>
    <w:rsid w:val="00476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76A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76ABB"/>
    <w:pPr>
      <w:numPr>
        <w:ilvl w:val="1"/>
      </w:numPr>
      <w:ind w:firstLine="3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76AB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76ABB"/>
    <w:pPr>
      <w:spacing w:before="160"/>
      <w:jc w:val="center"/>
    </w:pPr>
    <w:rPr>
      <w:i/>
      <w:iCs/>
      <w:color w:val="404040" w:themeColor="text1" w:themeTint="BF"/>
    </w:rPr>
  </w:style>
  <w:style w:type="character" w:customStyle="1" w:styleId="CitaoChar">
    <w:name w:val="Citação Char"/>
    <w:basedOn w:val="Fontepargpadro"/>
    <w:link w:val="Citao"/>
    <w:uiPriority w:val="29"/>
    <w:rsid w:val="00476ABB"/>
    <w:rPr>
      <w:i/>
      <w:iCs/>
      <w:color w:val="404040" w:themeColor="text1" w:themeTint="BF"/>
    </w:rPr>
  </w:style>
  <w:style w:type="paragraph" w:styleId="PargrafodaLista">
    <w:name w:val="List Paragraph"/>
    <w:basedOn w:val="Normal"/>
    <w:uiPriority w:val="34"/>
    <w:qFormat/>
    <w:rsid w:val="00476ABB"/>
    <w:pPr>
      <w:ind w:left="720"/>
      <w:contextualSpacing/>
    </w:pPr>
  </w:style>
  <w:style w:type="character" w:styleId="nfaseIntensa">
    <w:name w:val="Intense Emphasis"/>
    <w:basedOn w:val="Fontepargpadro"/>
    <w:uiPriority w:val="21"/>
    <w:qFormat/>
    <w:rsid w:val="00476ABB"/>
    <w:rPr>
      <w:i/>
      <w:iCs/>
      <w:color w:val="0F4761" w:themeColor="accent1" w:themeShade="BF"/>
    </w:rPr>
  </w:style>
  <w:style w:type="paragraph" w:styleId="CitaoIntensa">
    <w:name w:val="Intense Quote"/>
    <w:basedOn w:val="Normal"/>
    <w:next w:val="Normal"/>
    <w:link w:val="CitaoIntensaChar"/>
    <w:uiPriority w:val="30"/>
    <w:qFormat/>
    <w:rsid w:val="00476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76ABB"/>
    <w:rPr>
      <w:i/>
      <w:iCs/>
      <w:color w:val="0F4761" w:themeColor="accent1" w:themeShade="BF"/>
    </w:rPr>
  </w:style>
  <w:style w:type="character" w:styleId="RefernciaIntensa">
    <w:name w:val="Intense Reference"/>
    <w:basedOn w:val="Fontepargpadro"/>
    <w:uiPriority w:val="32"/>
    <w:qFormat/>
    <w:rsid w:val="00476ABB"/>
    <w:rPr>
      <w:b/>
      <w:bCs/>
      <w:smallCaps/>
      <w:color w:val="0F4761" w:themeColor="accent1" w:themeShade="BF"/>
      <w:spacing w:val="5"/>
    </w:rPr>
  </w:style>
  <w:style w:type="paragraph" w:customStyle="1" w:styleId="Corpo">
    <w:name w:val="Corpo"/>
    <w:rsid w:val="00476ABB"/>
    <w:pPr>
      <w:pBdr>
        <w:top w:val="nil"/>
        <w:left w:val="nil"/>
        <w:bottom w:val="nil"/>
        <w:right w:val="nil"/>
        <w:between w:val="nil"/>
        <w:bar w:val="nil"/>
      </w:pBdr>
      <w:spacing w:after="0" w:line="240" w:lineRule="auto"/>
    </w:pPr>
    <w:rPr>
      <w:rFonts w:ascii="Courier New" w:eastAsia="Courier New" w:hAnsi="Courier New" w:cs="Courier New"/>
      <w:color w:val="000000"/>
      <w:kern w:val="0"/>
      <w:sz w:val="24"/>
      <w:szCs w:val="24"/>
      <w:u w:color="000000"/>
      <w:bdr w:val="nil"/>
      <w:lang w:eastAsia="pt-BR"/>
      <w14:ligatures w14:val="none"/>
    </w:rPr>
  </w:style>
  <w:style w:type="character" w:styleId="Forte">
    <w:name w:val="Strong"/>
    <w:basedOn w:val="Fontepargpadro"/>
    <w:uiPriority w:val="22"/>
    <w:qFormat/>
    <w:rsid w:val="0009306F"/>
    <w:rPr>
      <w:b/>
      <w:bCs/>
    </w:rPr>
  </w:style>
  <w:style w:type="character" w:styleId="nfase">
    <w:name w:val="Emphasis"/>
    <w:basedOn w:val="Fontepargpadro"/>
    <w:uiPriority w:val="20"/>
    <w:qFormat/>
    <w:rsid w:val="0009306F"/>
    <w:rPr>
      <w:i/>
      <w:iCs/>
    </w:rPr>
  </w:style>
  <w:style w:type="character" w:styleId="HiperlinkVisitado">
    <w:name w:val="FollowedHyperlink"/>
    <w:basedOn w:val="Fontepargpadro"/>
    <w:uiPriority w:val="99"/>
    <w:semiHidden/>
    <w:unhideWhenUsed/>
    <w:rsid w:val="00BD431D"/>
    <w:rPr>
      <w:color w:val="96607D" w:themeColor="followedHyperlink"/>
      <w:u w:val="single"/>
    </w:rPr>
  </w:style>
  <w:style w:type="paragraph" w:styleId="NormalWeb">
    <w:name w:val="Normal (Web)"/>
    <w:basedOn w:val="Normal"/>
    <w:uiPriority w:val="99"/>
    <w:unhideWhenUsed/>
    <w:rsid w:val="0011300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itaoHTML">
    <w:name w:val="HTML Cite"/>
    <w:basedOn w:val="Fontepargpadro"/>
    <w:uiPriority w:val="99"/>
    <w:semiHidden/>
    <w:unhideWhenUsed/>
    <w:rsid w:val="00002CCF"/>
    <w:rPr>
      <w:i/>
      <w:iCs/>
    </w:rPr>
  </w:style>
  <w:style w:type="character" w:styleId="Hyperlink">
    <w:name w:val="Hyperlink"/>
    <w:basedOn w:val="Fontepargpadro"/>
    <w:uiPriority w:val="99"/>
    <w:unhideWhenUsed/>
    <w:rsid w:val="00002CCF"/>
    <w:rPr>
      <w:color w:val="0000FF"/>
      <w:u w:val="single"/>
    </w:rPr>
  </w:style>
  <w:style w:type="paragraph" w:customStyle="1" w:styleId="Default">
    <w:name w:val="Default"/>
    <w:rsid w:val="00002CCF"/>
    <w:pPr>
      <w:autoSpaceDE w:val="0"/>
      <w:autoSpaceDN w:val="0"/>
      <w:adjustRightInd w:val="0"/>
      <w:spacing w:after="0" w:line="240" w:lineRule="auto"/>
    </w:pPr>
    <w:rPr>
      <w:rFonts w:ascii="Arial" w:hAnsi="Arial" w:cs="Arial"/>
      <w:color w:val="000000"/>
      <w:kern w:val="0"/>
      <w:sz w:val="24"/>
      <w:szCs w:val="24"/>
    </w:rPr>
  </w:style>
  <w:style w:type="table" w:customStyle="1" w:styleId="formatada">
    <w:name w:val="formatada"/>
    <w:basedOn w:val="Tabelanormal"/>
    <w:uiPriority w:val="99"/>
    <w:rsid w:val="005443DD"/>
    <w:pPr>
      <w:spacing w:after="0" w:line="240" w:lineRule="auto"/>
      <w:jc w:val="center"/>
    </w:pPr>
    <w:rPr>
      <w:rFonts w:ascii="Times New Roman" w:hAnsi="Times New Roman"/>
      <w:kern w:val="0"/>
      <w:sz w:val="24"/>
      <w14:ligatures w14:val="none"/>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table" w:styleId="Tabelacomgrade">
    <w:name w:val="Table Grid"/>
    <w:basedOn w:val="Tabelanormal"/>
    <w:uiPriority w:val="59"/>
    <w:rsid w:val="005443DD"/>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rio">
    <w:name w:val="annotation reference"/>
    <w:basedOn w:val="Fontepargpadro"/>
    <w:uiPriority w:val="99"/>
    <w:semiHidden/>
    <w:unhideWhenUsed/>
    <w:rsid w:val="005443DD"/>
    <w:rPr>
      <w:sz w:val="16"/>
      <w:szCs w:val="16"/>
    </w:rPr>
  </w:style>
  <w:style w:type="paragraph" w:styleId="Textodecomentrio">
    <w:name w:val="annotation text"/>
    <w:basedOn w:val="Normal"/>
    <w:link w:val="TextodecomentrioChar"/>
    <w:uiPriority w:val="99"/>
    <w:unhideWhenUsed/>
    <w:rsid w:val="005443DD"/>
    <w:pPr>
      <w:spacing w:after="200" w:line="240" w:lineRule="auto"/>
    </w:pPr>
    <w:rPr>
      <w:kern w:val="0"/>
      <w:sz w:val="20"/>
      <w:szCs w:val="20"/>
      <w:lang w:val="en-US"/>
      <w14:ligatures w14:val="none"/>
    </w:rPr>
  </w:style>
  <w:style w:type="character" w:customStyle="1" w:styleId="TextodecomentrioChar">
    <w:name w:val="Texto de comentário Char"/>
    <w:basedOn w:val="Fontepargpadro"/>
    <w:link w:val="Textodecomentrio"/>
    <w:uiPriority w:val="99"/>
    <w:rsid w:val="005443DD"/>
    <w:rPr>
      <w:kern w:val="0"/>
      <w:sz w:val="20"/>
      <w:szCs w:val="20"/>
      <w:lang w:val="en-US"/>
      <w14:ligatures w14:val="none"/>
    </w:rPr>
  </w:style>
  <w:style w:type="paragraph" w:styleId="Corpodetexto">
    <w:name w:val="Body Text"/>
    <w:link w:val="CorpodetextoChar"/>
    <w:uiPriority w:val="99"/>
    <w:rsid w:val="008E3033"/>
    <w:pPr>
      <w:pBdr>
        <w:top w:val="nil"/>
        <w:left w:val="nil"/>
        <w:bottom w:val="nil"/>
        <w:right w:val="nil"/>
        <w:between w:val="nil"/>
        <w:bar w:val="nil"/>
      </w:pBdr>
      <w:spacing w:after="0" w:line="240" w:lineRule="auto"/>
    </w:pPr>
    <w:rPr>
      <w:rFonts w:ascii="Arial" w:eastAsia="Arial Unicode MS" w:hAnsi="Arial Unicode MS" w:cs="Arial Unicode MS"/>
      <w:color w:val="000000"/>
      <w:kern w:val="0"/>
      <w:sz w:val="24"/>
      <w:szCs w:val="24"/>
      <w:u w:color="000000"/>
      <w:bdr w:val="nil"/>
      <w:lang w:val="en-US" w:eastAsia="pt-BR"/>
      <w14:ligatures w14:val="none"/>
    </w:rPr>
  </w:style>
  <w:style w:type="character" w:customStyle="1" w:styleId="CorpodetextoChar">
    <w:name w:val="Corpo de texto Char"/>
    <w:basedOn w:val="Fontepargpadro"/>
    <w:link w:val="Corpodetexto"/>
    <w:uiPriority w:val="99"/>
    <w:rsid w:val="008E3033"/>
    <w:rPr>
      <w:rFonts w:ascii="Arial" w:eastAsia="Arial Unicode MS" w:hAnsi="Arial Unicode MS" w:cs="Arial Unicode MS"/>
      <w:color w:val="000000"/>
      <w:kern w:val="0"/>
      <w:sz w:val="24"/>
      <w:szCs w:val="24"/>
      <w:u w:color="000000"/>
      <w:bdr w:val="nil"/>
      <w:lang w:val="en-US" w:eastAsia="pt-BR"/>
      <w14:ligatures w14:val="none"/>
    </w:rPr>
  </w:style>
  <w:style w:type="character" w:customStyle="1" w:styleId="cit">
    <w:name w:val="cit"/>
    <w:basedOn w:val="Fontepargpadro"/>
    <w:rsid w:val="005A715B"/>
  </w:style>
  <w:style w:type="character" w:customStyle="1" w:styleId="authors-list-item">
    <w:name w:val="authors-list-item"/>
    <w:basedOn w:val="Fontepargpadro"/>
    <w:rsid w:val="005A715B"/>
  </w:style>
  <w:style w:type="character" w:customStyle="1" w:styleId="author-sup-separator">
    <w:name w:val="author-sup-separator"/>
    <w:basedOn w:val="Fontepargpadro"/>
    <w:rsid w:val="005A715B"/>
  </w:style>
  <w:style w:type="character" w:customStyle="1" w:styleId="comma">
    <w:name w:val="comma"/>
    <w:basedOn w:val="Fontepargpadro"/>
    <w:rsid w:val="005A715B"/>
  </w:style>
  <w:style w:type="paragraph" w:styleId="Reviso">
    <w:name w:val="Revision"/>
    <w:hidden/>
    <w:uiPriority w:val="99"/>
    <w:semiHidden/>
    <w:rsid w:val="007F29CF"/>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890A47"/>
    <w:pPr>
      <w:spacing w:after="160"/>
    </w:pPr>
    <w:rPr>
      <w:b/>
      <w:bCs/>
      <w:kern w:val="2"/>
      <w:lang w:val="pt-BR"/>
      <w14:ligatures w14:val="standardContextual"/>
    </w:rPr>
  </w:style>
  <w:style w:type="character" w:customStyle="1" w:styleId="AssuntodocomentrioChar">
    <w:name w:val="Assunto do comentário Char"/>
    <w:basedOn w:val="TextodecomentrioChar"/>
    <w:link w:val="Assuntodocomentrio"/>
    <w:uiPriority w:val="99"/>
    <w:semiHidden/>
    <w:rsid w:val="00890A47"/>
    <w:rPr>
      <w:b/>
      <w:bCs/>
      <w:kern w:val="0"/>
      <w:sz w:val="20"/>
      <w:szCs w:val="20"/>
      <w:lang w:val="en-US"/>
      <w14:ligatures w14:val="none"/>
    </w:rPr>
  </w:style>
  <w:style w:type="paragraph" w:styleId="Bibliografia">
    <w:name w:val="Bibliography"/>
    <w:basedOn w:val="Normal"/>
    <w:next w:val="Normal"/>
    <w:uiPriority w:val="37"/>
    <w:unhideWhenUsed/>
    <w:rsid w:val="002873B5"/>
    <w:pPr>
      <w:spacing w:after="240" w:line="240" w:lineRule="auto"/>
    </w:pPr>
  </w:style>
  <w:style w:type="paragraph" w:styleId="SemEspaamento">
    <w:name w:val="No Spacing"/>
    <w:uiPriority w:val="1"/>
    <w:qFormat/>
    <w:rsid w:val="006466C0"/>
    <w:pPr>
      <w:spacing w:after="0" w:line="240" w:lineRule="auto"/>
      <w:jc w:val="both"/>
    </w:pPr>
    <w:rPr>
      <w:rFonts w:ascii="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22698">
      <w:bodyDiv w:val="1"/>
      <w:marLeft w:val="0"/>
      <w:marRight w:val="0"/>
      <w:marTop w:val="0"/>
      <w:marBottom w:val="0"/>
      <w:divBdr>
        <w:top w:val="none" w:sz="0" w:space="0" w:color="auto"/>
        <w:left w:val="none" w:sz="0" w:space="0" w:color="auto"/>
        <w:bottom w:val="none" w:sz="0" w:space="0" w:color="auto"/>
        <w:right w:val="none" w:sz="0" w:space="0" w:color="auto"/>
      </w:divBdr>
      <w:divsChild>
        <w:div w:id="977035615">
          <w:marLeft w:val="0"/>
          <w:marRight w:val="0"/>
          <w:marTop w:val="0"/>
          <w:marBottom w:val="0"/>
          <w:divBdr>
            <w:top w:val="none" w:sz="0" w:space="0" w:color="auto"/>
            <w:left w:val="none" w:sz="0" w:space="0" w:color="auto"/>
            <w:bottom w:val="none" w:sz="0" w:space="0" w:color="auto"/>
            <w:right w:val="none" w:sz="0" w:space="0" w:color="auto"/>
          </w:divBdr>
          <w:divsChild>
            <w:div w:id="1574580232">
              <w:marLeft w:val="0"/>
              <w:marRight w:val="0"/>
              <w:marTop w:val="0"/>
              <w:marBottom w:val="0"/>
              <w:divBdr>
                <w:top w:val="none" w:sz="0" w:space="0" w:color="auto"/>
                <w:left w:val="none" w:sz="0" w:space="0" w:color="auto"/>
                <w:bottom w:val="none" w:sz="0" w:space="0" w:color="auto"/>
                <w:right w:val="none" w:sz="0" w:space="0" w:color="auto"/>
              </w:divBdr>
              <w:divsChild>
                <w:div w:id="1620377749">
                  <w:marLeft w:val="0"/>
                  <w:marRight w:val="0"/>
                  <w:marTop w:val="0"/>
                  <w:marBottom w:val="0"/>
                  <w:divBdr>
                    <w:top w:val="none" w:sz="0" w:space="0" w:color="auto"/>
                    <w:left w:val="none" w:sz="0" w:space="0" w:color="auto"/>
                    <w:bottom w:val="none" w:sz="0" w:space="0" w:color="auto"/>
                    <w:right w:val="none" w:sz="0" w:space="0" w:color="auto"/>
                  </w:divBdr>
                  <w:divsChild>
                    <w:div w:id="20901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11715">
          <w:marLeft w:val="0"/>
          <w:marRight w:val="0"/>
          <w:marTop w:val="0"/>
          <w:marBottom w:val="0"/>
          <w:divBdr>
            <w:top w:val="none" w:sz="0" w:space="0" w:color="auto"/>
            <w:left w:val="none" w:sz="0" w:space="0" w:color="auto"/>
            <w:bottom w:val="none" w:sz="0" w:space="0" w:color="auto"/>
            <w:right w:val="none" w:sz="0" w:space="0" w:color="auto"/>
          </w:divBdr>
          <w:divsChild>
            <w:div w:id="1733767850">
              <w:marLeft w:val="0"/>
              <w:marRight w:val="0"/>
              <w:marTop w:val="0"/>
              <w:marBottom w:val="0"/>
              <w:divBdr>
                <w:top w:val="none" w:sz="0" w:space="0" w:color="auto"/>
                <w:left w:val="none" w:sz="0" w:space="0" w:color="auto"/>
                <w:bottom w:val="none" w:sz="0" w:space="0" w:color="auto"/>
                <w:right w:val="none" w:sz="0" w:space="0" w:color="auto"/>
              </w:divBdr>
              <w:divsChild>
                <w:div w:id="2860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6531">
      <w:bodyDiv w:val="1"/>
      <w:marLeft w:val="0"/>
      <w:marRight w:val="0"/>
      <w:marTop w:val="0"/>
      <w:marBottom w:val="0"/>
      <w:divBdr>
        <w:top w:val="none" w:sz="0" w:space="0" w:color="auto"/>
        <w:left w:val="none" w:sz="0" w:space="0" w:color="auto"/>
        <w:bottom w:val="none" w:sz="0" w:space="0" w:color="auto"/>
        <w:right w:val="none" w:sz="0" w:space="0" w:color="auto"/>
      </w:divBdr>
    </w:div>
    <w:div w:id="197817885">
      <w:bodyDiv w:val="1"/>
      <w:marLeft w:val="0"/>
      <w:marRight w:val="0"/>
      <w:marTop w:val="0"/>
      <w:marBottom w:val="0"/>
      <w:divBdr>
        <w:top w:val="none" w:sz="0" w:space="0" w:color="auto"/>
        <w:left w:val="none" w:sz="0" w:space="0" w:color="auto"/>
        <w:bottom w:val="none" w:sz="0" w:space="0" w:color="auto"/>
        <w:right w:val="none" w:sz="0" w:space="0" w:color="auto"/>
      </w:divBdr>
      <w:divsChild>
        <w:div w:id="1588609302">
          <w:marLeft w:val="0"/>
          <w:marRight w:val="0"/>
          <w:marTop w:val="0"/>
          <w:marBottom w:val="0"/>
          <w:divBdr>
            <w:top w:val="none" w:sz="0" w:space="0" w:color="auto"/>
            <w:left w:val="none" w:sz="0" w:space="0" w:color="auto"/>
            <w:bottom w:val="none" w:sz="0" w:space="0" w:color="auto"/>
            <w:right w:val="none" w:sz="0" w:space="0" w:color="auto"/>
          </w:divBdr>
          <w:divsChild>
            <w:div w:id="2092115750">
              <w:marLeft w:val="0"/>
              <w:marRight w:val="0"/>
              <w:marTop w:val="0"/>
              <w:marBottom w:val="0"/>
              <w:divBdr>
                <w:top w:val="none" w:sz="0" w:space="0" w:color="auto"/>
                <w:left w:val="none" w:sz="0" w:space="0" w:color="auto"/>
                <w:bottom w:val="none" w:sz="0" w:space="0" w:color="auto"/>
                <w:right w:val="none" w:sz="0" w:space="0" w:color="auto"/>
              </w:divBdr>
              <w:divsChild>
                <w:div w:id="1371146174">
                  <w:marLeft w:val="0"/>
                  <w:marRight w:val="0"/>
                  <w:marTop w:val="0"/>
                  <w:marBottom w:val="0"/>
                  <w:divBdr>
                    <w:top w:val="none" w:sz="0" w:space="0" w:color="auto"/>
                    <w:left w:val="none" w:sz="0" w:space="0" w:color="auto"/>
                    <w:bottom w:val="none" w:sz="0" w:space="0" w:color="auto"/>
                    <w:right w:val="none" w:sz="0" w:space="0" w:color="auto"/>
                  </w:divBdr>
                  <w:divsChild>
                    <w:div w:id="8613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31042">
          <w:marLeft w:val="0"/>
          <w:marRight w:val="0"/>
          <w:marTop w:val="0"/>
          <w:marBottom w:val="0"/>
          <w:divBdr>
            <w:top w:val="none" w:sz="0" w:space="0" w:color="auto"/>
            <w:left w:val="none" w:sz="0" w:space="0" w:color="auto"/>
            <w:bottom w:val="none" w:sz="0" w:space="0" w:color="auto"/>
            <w:right w:val="none" w:sz="0" w:space="0" w:color="auto"/>
          </w:divBdr>
          <w:divsChild>
            <w:div w:id="241768225">
              <w:marLeft w:val="0"/>
              <w:marRight w:val="0"/>
              <w:marTop w:val="0"/>
              <w:marBottom w:val="0"/>
              <w:divBdr>
                <w:top w:val="none" w:sz="0" w:space="0" w:color="auto"/>
                <w:left w:val="none" w:sz="0" w:space="0" w:color="auto"/>
                <w:bottom w:val="none" w:sz="0" w:space="0" w:color="auto"/>
                <w:right w:val="none" w:sz="0" w:space="0" w:color="auto"/>
              </w:divBdr>
              <w:divsChild>
                <w:div w:id="2329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2088">
          <w:marLeft w:val="0"/>
          <w:marRight w:val="0"/>
          <w:marTop w:val="0"/>
          <w:marBottom w:val="0"/>
          <w:divBdr>
            <w:top w:val="none" w:sz="0" w:space="0" w:color="auto"/>
            <w:left w:val="none" w:sz="0" w:space="0" w:color="auto"/>
            <w:bottom w:val="none" w:sz="0" w:space="0" w:color="auto"/>
            <w:right w:val="none" w:sz="0" w:space="0" w:color="auto"/>
          </w:divBdr>
        </w:div>
      </w:divsChild>
    </w:div>
    <w:div w:id="561907266">
      <w:bodyDiv w:val="1"/>
      <w:marLeft w:val="0"/>
      <w:marRight w:val="0"/>
      <w:marTop w:val="0"/>
      <w:marBottom w:val="0"/>
      <w:divBdr>
        <w:top w:val="none" w:sz="0" w:space="0" w:color="auto"/>
        <w:left w:val="none" w:sz="0" w:space="0" w:color="auto"/>
        <w:bottom w:val="none" w:sz="0" w:space="0" w:color="auto"/>
        <w:right w:val="none" w:sz="0" w:space="0" w:color="auto"/>
      </w:divBdr>
    </w:div>
    <w:div w:id="594631464">
      <w:bodyDiv w:val="1"/>
      <w:marLeft w:val="0"/>
      <w:marRight w:val="0"/>
      <w:marTop w:val="0"/>
      <w:marBottom w:val="0"/>
      <w:divBdr>
        <w:top w:val="none" w:sz="0" w:space="0" w:color="auto"/>
        <w:left w:val="none" w:sz="0" w:space="0" w:color="auto"/>
        <w:bottom w:val="none" w:sz="0" w:space="0" w:color="auto"/>
        <w:right w:val="none" w:sz="0" w:space="0" w:color="auto"/>
      </w:divBdr>
      <w:divsChild>
        <w:div w:id="321662340">
          <w:marLeft w:val="0"/>
          <w:marRight w:val="0"/>
          <w:marTop w:val="0"/>
          <w:marBottom w:val="0"/>
          <w:divBdr>
            <w:top w:val="none" w:sz="0" w:space="0" w:color="auto"/>
            <w:left w:val="none" w:sz="0" w:space="0" w:color="auto"/>
            <w:bottom w:val="none" w:sz="0" w:space="0" w:color="auto"/>
            <w:right w:val="none" w:sz="0" w:space="0" w:color="auto"/>
          </w:divBdr>
          <w:divsChild>
            <w:div w:id="762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2322">
      <w:bodyDiv w:val="1"/>
      <w:marLeft w:val="0"/>
      <w:marRight w:val="0"/>
      <w:marTop w:val="0"/>
      <w:marBottom w:val="0"/>
      <w:divBdr>
        <w:top w:val="none" w:sz="0" w:space="0" w:color="auto"/>
        <w:left w:val="none" w:sz="0" w:space="0" w:color="auto"/>
        <w:bottom w:val="none" w:sz="0" w:space="0" w:color="auto"/>
        <w:right w:val="none" w:sz="0" w:space="0" w:color="auto"/>
      </w:divBdr>
    </w:div>
    <w:div w:id="642734062">
      <w:bodyDiv w:val="1"/>
      <w:marLeft w:val="0"/>
      <w:marRight w:val="0"/>
      <w:marTop w:val="0"/>
      <w:marBottom w:val="0"/>
      <w:divBdr>
        <w:top w:val="none" w:sz="0" w:space="0" w:color="auto"/>
        <w:left w:val="none" w:sz="0" w:space="0" w:color="auto"/>
        <w:bottom w:val="none" w:sz="0" w:space="0" w:color="auto"/>
        <w:right w:val="none" w:sz="0" w:space="0" w:color="auto"/>
      </w:divBdr>
      <w:divsChild>
        <w:div w:id="1838422002">
          <w:marLeft w:val="0"/>
          <w:marRight w:val="0"/>
          <w:marTop w:val="0"/>
          <w:marBottom w:val="120"/>
          <w:divBdr>
            <w:top w:val="none" w:sz="0" w:space="0" w:color="auto"/>
            <w:left w:val="none" w:sz="0" w:space="0" w:color="auto"/>
            <w:bottom w:val="none" w:sz="0" w:space="0" w:color="auto"/>
            <w:right w:val="none" w:sz="0" w:space="0" w:color="auto"/>
          </w:divBdr>
          <w:divsChild>
            <w:div w:id="924193526">
              <w:marLeft w:val="0"/>
              <w:marRight w:val="0"/>
              <w:marTop w:val="0"/>
              <w:marBottom w:val="0"/>
              <w:divBdr>
                <w:top w:val="none" w:sz="0" w:space="0" w:color="auto"/>
                <w:left w:val="none" w:sz="0" w:space="0" w:color="auto"/>
                <w:bottom w:val="none" w:sz="0" w:space="0" w:color="auto"/>
                <w:right w:val="none" w:sz="0" w:space="0" w:color="auto"/>
              </w:divBdr>
              <w:divsChild>
                <w:div w:id="275410333">
                  <w:marLeft w:val="0"/>
                  <w:marRight w:val="0"/>
                  <w:marTop w:val="0"/>
                  <w:marBottom w:val="0"/>
                  <w:divBdr>
                    <w:top w:val="none" w:sz="0" w:space="0" w:color="auto"/>
                    <w:left w:val="none" w:sz="0" w:space="0" w:color="auto"/>
                    <w:bottom w:val="none" w:sz="0" w:space="0" w:color="auto"/>
                    <w:right w:val="none" w:sz="0" w:space="0" w:color="auto"/>
                  </w:divBdr>
                  <w:divsChild>
                    <w:div w:id="7531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59161">
      <w:bodyDiv w:val="1"/>
      <w:marLeft w:val="0"/>
      <w:marRight w:val="0"/>
      <w:marTop w:val="0"/>
      <w:marBottom w:val="0"/>
      <w:divBdr>
        <w:top w:val="none" w:sz="0" w:space="0" w:color="auto"/>
        <w:left w:val="none" w:sz="0" w:space="0" w:color="auto"/>
        <w:bottom w:val="none" w:sz="0" w:space="0" w:color="auto"/>
        <w:right w:val="none" w:sz="0" w:space="0" w:color="auto"/>
      </w:divBdr>
    </w:div>
    <w:div w:id="784154728">
      <w:bodyDiv w:val="1"/>
      <w:marLeft w:val="0"/>
      <w:marRight w:val="0"/>
      <w:marTop w:val="0"/>
      <w:marBottom w:val="0"/>
      <w:divBdr>
        <w:top w:val="none" w:sz="0" w:space="0" w:color="auto"/>
        <w:left w:val="none" w:sz="0" w:space="0" w:color="auto"/>
        <w:bottom w:val="none" w:sz="0" w:space="0" w:color="auto"/>
        <w:right w:val="none" w:sz="0" w:space="0" w:color="auto"/>
      </w:divBdr>
      <w:divsChild>
        <w:div w:id="1948854433">
          <w:marLeft w:val="0"/>
          <w:marRight w:val="0"/>
          <w:marTop w:val="0"/>
          <w:marBottom w:val="0"/>
          <w:divBdr>
            <w:top w:val="none" w:sz="0" w:space="0" w:color="auto"/>
            <w:left w:val="none" w:sz="0" w:space="0" w:color="auto"/>
            <w:bottom w:val="none" w:sz="0" w:space="0" w:color="auto"/>
            <w:right w:val="none" w:sz="0" w:space="0" w:color="auto"/>
          </w:divBdr>
          <w:divsChild>
            <w:div w:id="437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2433">
      <w:bodyDiv w:val="1"/>
      <w:marLeft w:val="0"/>
      <w:marRight w:val="0"/>
      <w:marTop w:val="0"/>
      <w:marBottom w:val="0"/>
      <w:divBdr>
        <w:top w:val="none" w:sz="0" w:space="0" w:color="auto"/>
        <w:left w:val="none" w:sz="0" w:space="0" w:color="auto"/>
        <w:bottom w:val="none" w:sz="0" w:space="0" w:color="auto"/>
        <w:right w:val="none" w:sz="0" w:space="0" w:color="auto"/>
      </w:divBdr>
      <w:divsChild>
        <w:div w:id="13771369">
          <w:marLeft w:val="0"/>
          <w:marRight w:val="0"/>
          <w:marTop w:val="0"/>
          <w:marBottom w:val="0"/>
          <w:divBdr>
            <w:top w:val="none" w:sz="0" w:space="0" w:color="auto"/>
            <w:left w:val="none" w:sz="0" w:space="0" w:color="auto"/>
            <w:bottom w:val="none" w:sz="0" w:space="0" w:color="auto"/>
            <w:right w:val="none" w:sz="0" w:space="0" w:color="auto"/>
          </w:divBdr>
          <w:divsChild>
            <w:div w:id="149298825">
              <w:marLeft w:val="0"/>
              <w:marRight w:val="0"/>
              <w:marTop w:val="0"/>
              <w:marBottom w:val="0"/>
              <w:divBdr>
                <w:top w:val="none" w:sz="0" w:space="0" w:color="auto"/>
                <w:left w:val="none" w:sz="0" w:space="0" w:color="auto"/>
                <w:bottom w:val="none" w:sz="0" w:space="0" w:color="auto"/>
                <w:right w:val="none" w:sz="0" w:space="0" w:color="auto"/>
              </w:divBdr>
              <w:divsChild>
                <w:div w:id="19930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0154">
      <w:bodyDiv w:val="1"/>
      <w:marLeft w:val="0"/>
      <w:marRight w:val="0"/>
      <w:marTop w:val="0"/>
      <w:marBottom w:val="0"/>
      <w:divBdr>
        <w:top w:val="none" w:sz="0" w:space="0" w:color="auto"/>
        <w:left w:val="none" w:sz="0" w:space="0" w:color="auto"/>
        <w:bottom w:val="none" w:sz="0" w:space="0" w:color="auto"/>
        <w:right w:val="none" w:sz="0" w:space="0" w:color="auto"/>
      </w:divBdr>
    </w:div>
    <w:div w:id="907110690">
      <w:bodyDiv w:val="1"/>
      <w:marLeft w:val="0"/>
      <w:marRight w:val="0"/>
      <w:marTop w:val="0"/>
      <w:marBottom w:val="0"/>
      <w:divBdr>
        <w:top w:val="none" w:sz="0" w:space="0" w:color="auto"/>
        <w:left w:val="none" w:sz="0" w:space="0" w:color="auto"/>
        <w:bottom w:val="none" w:sz="0" w:space="0" w:color="auto"/>
        <w:right w:val="none" w:sz="0" w:space="0" w:color="auto"/>
      </w:divBdr>
    </w:div>
    <w:div w:id="1064723398">
      <w:bodyDiv w:val="1"/>
      <w:marLeft w:val="0"/>
      <w:marRight w:val="0"/>
      <w:marTop w:val="0"/>
      <w:marBottom w:val="0"/>
      <w:divBdr>
        <w:top w:val="none" w:sz="0" w:space="0" w:color="auto"/>
        <w:left w:val="none" w:sz="0" w:space="0" w:color="auto"/>
        <w:bottom w:val="none" w:sz="0" w:space="0" w:color="auto"/>
        <w:right w:val="none" w:sz="0" w:space="0" w:color="auto"/>
      </w:divBdr>
      <w:divsChild>
        <w:div w:id="1123308942">
          <w:marLeft w:val="0"/>
          <w:marRight w:val="0"/>
          <w:marTop w:val="0"/>
          <w:marBottom w:val="0"/>
          <w:divBdr>
            <w:top w:val="none" w:sz="0" w:space="0" w:color="auto"/>
            <w:left w:val="none" w:sz="0" w:space="0" w:color="auto"/>
            <w:bottom w:val="none" w:sz="0" w:space="0" w:color="auto"/>
            <w:right w:val="none" w:sz="0" w:space="0" w:color="auto"/>
          </w:divBdr>
          <w:divsChild>
            <w:div w:id="13678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584">
      <w:bodyDiv w:val="1"/>
      <w:marLeft w:val="0"/>
      <w:marRight w:val="0"/>
      <w:marTop w:val="0"/>
      <w:marBottom w:val="0"/>
      <w:divBdr>
        <w:top w:val="none" w:sz="0" w:space="0" w:color="auto"/>
        <w:left w:val="none" w:sz="0" w:space="0" w:color="auto"/>
        <w:bottom w:val="none" w:sz="0" w:space="0" w:color="auto"/>
        <w:right w:val="none" w:sz="0" w:space="0" w:color="auto"/>
      </w:divBdr>
    </w:div>
    <w:div w:id="1066875632">
      <w:bodyDiv w:val="1"/>
      <w:marLeft w:val="0"/>
      <w:marRight w:val="0"/>
      <w:marTop w:val="0"/>
      <w:marBottom w:val="0"/>
      <w:divBdr>
        <w:top w:val="none" w:sz="0" w:space="0" w:color="auto"/>
        <w:left w:val="none" w:sz="0" w:space="0" w:color="auto"/>
        <w:bottom w:val="none" w:sz="0" w:space="0" w:color="auto"/>
        <w:right w:val="none" w:sz="0" w:space="0" w:color="auto"/>
      </w:divBdr>
    </w:div>
    <w:div w:id="1119564581">
      <w:bodyDiv w:val="1"/>
      <w:marLeft w:val="0"/>
      <w:marRight w:val="0"/>
      <w:marTop w:val="0"/>
      <w:marBottom w:val="0"/>
      <w:divBdr>
        <w:top w:val="none" w:sz="0" w:space="0" w:color="auto"/>
        <w:left w:val="none" w:sz="0" w:space="0" w:color="auto"/>
        <w:bottom w:val="none" w:sz="0" w:space="0" w:color="auto"/>
        <w:right w:val="none" w:sz="0" w:space="0" w:color="auto"/>
      </w:divBdr>
      <w:divsChild>
        <w:div w:id="645933961">
          <w:marLeft w:val="0"/>
          <w:marRight w:val="0"/>
          <w:marTop w:val="0"/>
          <w:marBottom w:val="0"/>
          <w:divBdr>
            <w:top w:val="none" w:sz="0" w:space="0" w:color="auto"/>
            <w:left w:val="none" w:sz="0" w:space="0" w:color="auto"/>
            <w:bottom w:val="none" w:sz="0" w:space="0" w:color="auto"/>
            <w:right w:val="none" w:sz="0" w:space="0" w:color="auto"/>
          </w:divBdr>
          <w:divsChild>
            <w:div w:id="1002854787">
              <w:marLeft w:val="0"/>
              <w:marRight w:val="0"/>
              <w:marTop w:val="0"/>
              <w:marBottom w:val="0"/>
              <w:divBdr>
                <w:top w:val="none" w:sz="0" w:space="0" w:color="auto"/>
                <w:left w:val="none" w:sz="0" w:space="0" w:color="auto"/>
                <w:bottom w:val="none" w:sz="0" w:space="0" w:color="auto"/>
                <w:right w:val="none" w:sz="0" w:space="0" w:color="auto"/>
              </w:divBdr>
              <w:divsChild>
                <w:div w:id="6825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8804">
      <w:bodyDiv w:val="1"/>
      <w:marLeft w:val="0"/>
      <w:marRight w:val="0"/>
      <w:marTop w:val="0"/>
      <w:marBottom w:val="0"/>
      <w:divBdr>
        <w:top w:val="none" w:sz="0" w:space="0" w:color="auto"/>
        <w:left w:val="none" w:sz="0" w:space="0" w:color="auto"/>
        <w:bottom w:val="none" w:sz="0" w:space="0" w:color="auto"/>
        <w:right w:val="none" w:sz="0" w:space="0" w:color="auto"/>
      </w:divBdr>
    </w:div>
    <w:div w:id="1312828279">
      <w:bodyDiv w:val="1"/>
      <w:marLeft w:val="0"/>
      <w:marRight w:val="0"/>
      <w:marTop w:val="0"/>
      <w:marBottom w:val="0"/>
      <w:divBdr>
        <w:top w:val="none" w:sz="0" w:space="0" w:color="auto"/>
        <w:left w:val="none" w:sz="0" w:space="0" w:color="auto"/>
        <w:bottom w:val="none" w:sz="0" w:space="0" w:color="auto"/>
        <w:right w:val="none" w:sz="0" w:space="0" w:color="auto"/>
      </w:divBdr>
      <w:divsChild>
        <w:div w:id="834806531">
          <w:marLeft w:val="0"/>
          <w:marRight w:val="0"/>
          <w:marTop w:val="0"/>
          <w:marBottom w:val="0"/>
          <w:divBdr>
            <w:top w:val="none" w:sz="0" w:space="0" w:color="auto"/>
            <w:left w:val="none" w:sz="0" w:space="0" w:color="auto"/>
            <w:bottom w:val="none" w:sz="0" w:space="0" w:color="auto"/>
            <w:right w:val="none" w:sz="0" w:space="0" w:color="auto"/>
          </w:divBdr>
          <w:divsChild>
            <w:div w:id="1470980758">
              <w:marLeft w:val="0"/>
              <w:marRight w:val="0"/>
              <w:marTop w:val="0"/>
              <w:marBottom w:val="0"/>
              <w:divBdr>
                <w:top w:val="none" w:sz="0" w:space="0" w:color="auto"/>
                <w:left w:val="none" w:sz="0" w:space="0" w:color="auto"/>
                <w:bottom w:val="none" w:sz="0" w:space="0" w:color="auto"/>
                <w:right w:val="none" w:sz="0" w:space="0" w:color="auto"/>
              </w:divBdr>
              <w:divsChild>
                <w:div w:id="1615135122">
                  <w:marLeft w:val="0"/>
                  <w:marRight w:val="0"/>
                  <w:marTop w:val="0"/>
                  <w:marBottom w:val="0"/>
                  <w:divBdr>
                    <w:top w:val="none" w:sz="0" w:space="0" w:color="auto"/>
                    <w:left w:val="none" w:sz="0" w:space="0" w:color="auto"/>
                    <w:bottom w:val="none" w:sz="0" w:space="0" w:color="auto"/>
                    <w:right w:val="none" w:sz="0" w:space="0" w:color="auto"/>
                  </w:divBdr>
                  <w:divsChild>
                    <w:div w:id="11721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92399">
          <w:marLeft w:val="0"/>
          <w:marRight w:val="0"/>
          <w:marTop w:val="0"/>
          <w:marBottom w:val="0"/>
          <w:divBdr>
            <w:top w:val="none" w:sz="0" w:space="0" w:color="auto"/>
            <w:left w:val="none" w:sz="0" w:space="0" w:color="auto"/>
            <w:bottom w:val="none" w:sz="0" w:space="0" w:color="auto"/>
            <w:right w:val="none" w:sz="0" w:space="0" w:color="auto"/>
          </w:divBdr>
          <w:divsChild>
            <w:div w:id="1162703122">
              <w:marLeft w:val="0"/>
              <w:marRight w:val="0"/>
              <w:marTop w:val="0"/>
              <w:marBottom w:val="0"/>
              <w:divBdr>
                <w:top w:val="none" w:sz="0" w:space="0" w:color="auto"/>
                <w:left w:val="none" w:sz="0" w:space="0" w:color="auto"/>
                <w:bottom w:val="none" w:sz="0" w:space="0" w:color="auto"/>
                <w:right w:val="none" w:sz="0" w:space="0" w:color="auto"/>
              </w:divBdr>
              <w:divsChild>
                <w:div w:id="1942908777">
                  <w:marLeft w:val="0"/>
                  <w:marRight w:val="0"/>
                  <w:marTop w:val="0"/>
                  <w:marBottom w:val="0"/>
                  <w:divBdr>
                    <w:top w:val="none" w:sz="0" w:space="0" w:color="auto"/>
                    <w:left w:val="none" w:sz="0" w:space="0" w:color="auto"/>
                    <w:bottom w:val="none" w:sz="0" w:space="0" w:color="auto"/>
                    <w:right w:val="none" w:sz="0" w:space="0" w:color="auto"/>
                  </w:divBdr>
                  <w:divsChild>
                    <w:div w:id="6947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40884">
      <w:bodyDiv w:val="1"/>
      <w:marLeft w:val="0"/>
      <w:marRight w:val="0"/>
      <w:marTop w:val="0"/>
      <w:marBottom w:val="0"/>
      <w:divBdr>
        <w:top w:val="none" w:sz="0" w:space="0" w:color="auto"/>
        <w:left w:val="none" w:sz="0" w:space="0" w:color="auto"/>
        <w:bottom w:val="none" w:sz="0" w:space="0" w:color="auto"/>
        <w:right w:val="none" w:sz="0" w:space="0" w:color="auto"/>
      </w:divBdr>
      <w:divsChild>
        <w:div w:id="1542480535">
          <w:marLeft w:val="0"/>
          <w:marRight w:val="0"/>
          <w:marTop w:val="0"/>
          <w:marBottom w:val="0"/>
          <w:divBdr>
            <w:top w:val="none" w:sz="0" w:space="0" w:color="auto"/>
            <w:left w:val="none" w:sz="0" w:space="0" w:color="auto"/>
            <w:bottom w:val="none" w:sz="0" w:space="0" w:color="auto"/>
            <w:right w:val="none" w:sz="0" w:space="0" w:color="auto"/>
          </w:divBdr>
        </w:div>
      </w:divsChild>
    </w:div>
    <w:div w:id="1331716812">
      <w:bodyDiv w:val="1"/>
      <w:marLeft w:val="0"/>
      <w:marRight w:val="0"/>
      <w:marTop w:val="0"/>
      <w:marBottom w:val="0"/>
      <w:divBdr>
        <w:top w:val="none" w:sz="0" w:space="0" w:color="auto"/>
        <w:left w:val="none" w:sz="0" w:space="0" w:color="auto"/>
        <w:bottom w:val="none" w:sz="0" w:space="0" w:color="auto"/>
        <w:right w:val="none" w:sz="0" w:space="0" w:color="auto"/>
      </w:divBdr>
    </w:div>
    <w:div w:id="1340423312">
      <w:bodyDiv w:val="1"/>
      <w:marLeft w:val="0"/>
      <w:marRight w:val="0"/>
      <w:marTop w:val="0"/>
      <w:marBottom w:val="0"/>
      <w:divBdr>
        <w:top w:val="none" w:sz="0" w:space="0" w:color="auto"/>
        <w:left w:val="none" w:sz="0" w:space="0" w:color="auto"/>
        <w:bottom w:val="none" w:sz="0" w:space="0" w:color="auto"/>
        <w:right w:val="none" w:sz="0" w:space="0" w:color="auto"/>
      </w:divBdr>
      <w:divsChild>
        <w:div w:id="1993365512">
          <w:marLeft w:val="0"/>
          <w:marRight w:val="0"/>
          <w:marTop w:val="0"/>
          <w:marBottom w:val="0"/>
          <w:divBdr>
            <w:top w:val="none" w:sz="0" w:space="0" w:color="auto"/>
            <w:left w:val="none" w:sz="0" w:space="0" w:color="auto"/>
            <w:bottom w:val="none" w:sz="0" w:space="0" w:color="auto"/>
            <w:right w:val="none" w:sz="0" w:space="0" w:color="auto"/>
          </w:divBdr>
          <w:divsChild>
            <w:div w:id="18666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2142">
      <w:bodyDiv w:val="1"/>
      <w:marLeft w:val="0"/>
      <w:marRight w:val="0"/>
      <w:marTop w:val="0"/>
      <w:marBottom w:val="0"/>
      <w:divBdr>
        <w:top w:val="none" w:sz="0" w:space="0" w:color="auto"/>
        <w:left w:val="none" w:sz="0" w:space="0" w:color="auto"/>
        <w:bottom w:val="none" w:sz="0" w:space="0" w:color="auto"/>
        <w:right w:val="none" w:sz="0" w:space="0" w:color="auto"/>
      </w:divBdr>
      <w:divsChild>
        <w:div w:id="8601437">
          <w:marLeft w:val="0"/>
          <w:marRight w:val="0"/>
          <w:marTop w:val="0"/>
          <w:marBottom w:val="0"/>
          <w:divBdr>
            <w:top w:val="none" w:sz="0" w:space="0" w:color="auto"/>
            <w:left w:val="none" w:sz="0" w:space="0" w:color="auto"/>
            <w:bottom w:val="none" w:sz="0" w:space="0" w:color="auto"/>
            <w:right w:val="none" w:sz="0" w:space="0" w:color="auto"/>
          </w:divBdr>
          <w:divsChild>
            <w:div w:id="14715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638">
      <w:bodyDiv w:val="1"/>
      <w:marLeft w:val="0"/>
      <w:marRight w:val="0"/>
      <w:marTop w:val="0"/>
      <w:marBottom w:val="0"/>
      <w:divBdr>
        <w:top w:val="none" w:sz="0" w:space="0" w:color="auto"/>
        <w:left w:val="none" w:sz="0" w:space="0" w:color="auto"/>
        <w:bottom w:val="none" w:sz="0" w:space="0" w:color="auto"/>
        <w:right w:val="none" w:sz="0" w:space="0" w:color="auto"/>
      </w:divBdr>
      <w:divsChild>
        <w:div w:id="383334936">
          <w:marLeft w:val="0"/>
          <w:marRight w:val="0"/>
          <w:marTop w:val="0"/>
          <w:marBottom w:val="0"/>
          <w:divBdr>
            <w:top w:val="none" w:sz="0" w:space="0" w:color="auto"/>
            <w:left w:val="none" w:sz="0" w:space="0" w:color="auto"/>
            <w:bottom w:val="none" w:sz="0" w:space="0" w:color="auto"/>
            <w:right w:val="none" w:sz="0" w:space="0" w:color="auto"/>
          </w:divBdr>
          <w:divsChild>
            <w:div w:id="1583300499">
              <w:marLeft w:val="0"/>
              <w:marRight w:val="0"/>
              <w:marTop w:val="0"/>
              <w:marBottom w:val="0"/>
              <w:divBdr>
                <w:top w:val="none" w:sz="0" w:space="0" w:color="auto"/>
                <w:left w:val="none" w:sz="0" w:space="0" w:color="auto"/>
                <w:bottom w:val="none" w:sz="0" w:space="0" w:color="auto"/>
                <w:right w:val="none" w:sz="0" w:space="0" w:color="auto"/>
              </w:divBdr>
              <w:divsChild>
                <w:div w:id="870067189">
                  <w:marLeft w:val="0"/>
                  <w:marRight w:val="0"/>
                  <w:marTop w:val="0"/>
                  <w:marBottom w:val="0"/>
                  <w:divBdr>
                    <w:top w:val="none" w:sz="0" w:space="0" w:color="auto"/>
                    <w:left w:val="none" w:sz="0" w:space="0" w:color="auto"/>
                    <w:bottom w:val="none" w:sz="0" w:space="0" w:color="auto"/>
                    <w:right w:val="none" w:sz="0" w:space="0" w:color="auto"/>
                  </w:divBdr>
                  <w:divsChild>
                    <w:div w:id="2520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39245">
          <w:marLeft w:val="0"/>
          <w:marRight w:val="0"/>
          <w:marTop w:val="0"/>
          <w:marBottom w:val="0"/>
          <w:divBdr>
            <w:top w:val="none" w:sz="0" w:space="0" w:color="auto"/>
            <w:left w:val="none" w:sz="0" w:space="0" w:color="auto"/>
            <w:bottom w:val="none" w:sz="0" w:space="0" w:color="auto"/>
            <w:right w:val="none" w:sz="0" w:space="0" w:color="auto"/>
          </w:divBdr>
          <w:divsChild>
            <w:div w:id="1525822589">
              <w:marLeft w:val="0"/>
              <w:marRight w:val="0"/>
              <w:marTop w:val="0"/>
              <w:marBottom w:val="0"/>
              <w:divBdr>
                <w:top w:val="none" w:sz="0" w:space="0" w:color="auto"/>
                <w:left w:val="none" w:sz="0" w:space="0" w:color="auto"/>
                <w:bottom w:val="none" w:sz="0" w:space="0" w:color="auto"/>
                <w:right w:val="none" w:sz="0" w:space="0" w:color="auto"/>
              </w:divBdr>
              <w:divsChild>
                <w:div w:id="9204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1807">
      <w:bodyDiv w:val="1"/>
      <w:marLeft w:val="0"/>
      <w:marRight w:val="0"/>
      <w:marTop w:val="0"/>
      <w:marBottom w:val="0"/>
      <w:divBdr>
        <w:top w:val="none" w:sz="0" w:space="0" w:color="auto"/>
        <w:left w:val="none" w:sz="0" w:space="0" w:color="auto"/>
        <w:bottom w:val="none" w:sz="0" w:space="0" w:color="auto"/>
        <w:right w:val="none" w:sz="0" w:space="0" w:color="auto"/>
      </w:divBdr>
      <w:divsChild>
        <w:div w:id="1366175226">
          <w:marLeft w:val="0"/>
          <w:marRight w:val="0"/>
          <w:marTop w:val="0"/>
          <w:marBottom w:val="120"/>
          <w:divBdr>
            <w:top w:val="none" w:sz="0" w:space="0" w:color="auto"/>
            <w:left w:val="none" w:sz="0" w:space="0" w:color="auto"/>
            <w:bottom w:val="none" w:sz="0" w:space="0" w:color="auto"/>
            <w:right w:val="none" w:sz="0" w:space="0" w:color="auto"/>
          </w:divBdr>
          <w:divsChild>
            <w:div w:id="276638932">
              <w:marLeft w:val="0"/>
              <w:marRight w:val="0"/>
              <w:marTop w:val="0"/>
              <w:marBottom w:val="0"/>
              <w:divBdr>
                <w:top w:val="none" w:sz="0" w:space="0" w:color="auto"/>
                <w:left w:val="none" w:sz="0" w:space="0" w:color="auto"/>
                <w:bottom w:val="none" w:sz="0" w:space="0" w:color="auto"/>
                <w:right w:val="none" w:sz="0" w:space="0" w:color="auto"/>
              </w:divBdr>
              <w:divsChild>
                <w:div w:id="1951738840">
                  <w:marLeft w:val="0"/>
                  <w:marRight w:val="0"/>
                  <w:marTop w:val="0"/>
                  <w:marBottom w:val="0"/>
                  <w:divBdr>
                    <w:top w:val="none" w:sz="0" w:space="0" w:color="auto"/>
                    <w:left w:val="none" w:sz="0" w:space="0" w:color="auto"/>
                    <w:bottom w:val="none" w:sz="0" w:space="0" w:color="auto"/>
                    <w:right w:val="none" w:sz="0" w:space="0" w:color="auto"/>
                  </w:divBdr>
                  <w:divsChild>
                    <w:div w:id="15999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22559">
      <w:bodyDiv w:val="1"/>
      <w:marLeft w:val="0"/>
      <w:marRight w:val="0"/>
      <w:marTop w:val="0"/>
      <w:marBottom w:val="0"/>
      <w:divBdr>
        <w:top w:val="none" w:sz="0" w:space="0" w:color="auto"/>
        <w:left w:val="none" w:sz="0" w:space="0" w:color="auto"/>
        <w:bottom w:val="none" w:sz="0" w:space="0" w:color="auto"/>
        <w:right w:val="none" w:sz="0" w:space="0" w:color="auto"/>
      </w:divBdr>
    </w:div>
    <w:div w:id="1973441288">
      <w:bodyDiv w:val="1"/>
      <w:marLeft w:val="0"/>
      <w:marRight w:val="0"/>
      <w:marTop w:val="0"/>
      <w:marBottom w:val="0"/>
      <w:divBdr>
        <w:top w:val="none" w:sz="0" w:space="0" w:color="auto"/>
        <w:left w:val="none" w:sz="0" w:space="0" w:color="auto"/>
        <w:bottom w:val="none" w:sz="0" w:space="0" w:color="auto"/>
        <w:right w:val="none" w:sz="0" w:space="0" w:color="auto"/>
      </w:divBdr>
      <w:divsChild>
        <w:div w:id="130171685">
          <w:marLeft w:val="0"/>
          <w:marRight w:val="0"/>
          <w:marTop w:val="0"/>
          <w:marBottom w:val="0"/>
          <w:divBdr>
            <w:top w:val="none" w:sz="0" w:space="0" w:color="auto"/>
            <w:left w:val="none" w:sz="0" w:space="0" w:color="auto"/>
            <w:bottom w:val="none" w:sz="0" w:space="0" w:color="auto"/>
            <w:right w:val="none" w:sz="0" w:space="0" w:color="auto"/>
          </w:divBdr>
          <w:divsChild>
            <w:div w:id="159975141">
              <w:marLeft w:val="0"/>
              <w:marRight w:val="0"/>
              <w:marTop w:val="0"/>
              <w:marBottom w:val="0"/>
              <w:divBdr>
                <w:top w:val="none" w:sz="0" w:space="0" w:color="auto"/>
                <w:left w:val="none" w:sz="0" w:space="0" w:color="auto"/>
                <w:bottom w:val="none" w:sz="0" w:space="0" w:color="auto"/>
                <w:right w:val="none" w:sz="0" w:space="0" w:color="auto"/>
              </w:divBdr>
              <w:divsChild>
                <w:div w:id="8614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3100">
      <w:bodyDiv w:val="1"/>
      <w:marLeft w:val="0"/>
      <w:marRight w:val="0"/>
      <w:marTop w:val="0"/>
      <w:marBottom w:val="0"/>
      <w:divBdr>
        <w:top w:val="none" w:sz="0" w:space="0" w:color="auto"/>
        <w:left w:val="none" w:sz="0" w:space="0" w:color="auto"/>
        <w:bottom w:val="none" w:sz="0" w:space="0" w:color="auto"/>
        <w:right w:val="none" w:sz="0" w:space="0" w:color="auto"/>
      </w:divBdr>
      <w:divsChild>
        <w:div w:id="38825289">
          <w:marLeft w:val="0"/>
          <w:marRight w:val="0"/>
          <w:marTop w:val="0"/>
          <w:marBottom w:val="0"/>
          <w:divBdr>
            <w:top w:val="none" w:sz="0" w:space="0" w:color="auto"/>
            <w:left w:val="none" w:sz="0" w:space="0" w:color="auto"/>
            <w:bottom w:val="none" w:sz="0" w:space="0" w:color="auto"/>
            <w:right w:val="none" w:sz="0" w:space="0" w:color="auto"/>
          </w:divBdr>
          <w:divsChild>
            <w:div w:id="1168521707">
              <w:marLeft w:val="0"/>
              <w:marRight w:val="0"/>
              <w:marTop w:val="0"/>
              <w:marBottom w:val="0"/>
              <w:divBdr>
                <w:top w:val="none" w:sz="0" w:space="0" w:color="auto"/>
                <w:left w:val="none" w:sz="0" w:space="0" w:color="auto"/>
                <w:bottom w:val="none" w:sz="0" w:space="0" w:color="auto"/>
                <w:right w:val="none" w:sz="0" w:space="0" w:color="auto"/>
              </w:divBdr>
              <w:divsChild>
                <w:div w:id="128861831">
                  <w:marLeft w:val="0"/>
                  <w:marRight w:val="0"/>
                  <w:marTop w:val="0"/>
                  <w:marBottom w:val="0"/>
                  <w:divBdr>
                    <w:top w:val="none" w:sz="0" w:space="0" w:color="auto"/>
                    <w:left w:val="none" w:sz="0" w:space="0" w:color="auto"/>
                    <w:bottom w:val="none" w:sz="0" w:space="0" w:color="auto"/>
                    <w:right w:val="none" w:sz="0" w:space="0" w:color="auto"/>
                  </w:divBdr>
                  <w:divsChild>
                    <w:div w:id="1271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6742">
          <w:marLeft w:val="0"/>
          <w:marRight w:val="0"/>
          <w:marTop w:val="0"/>
          <w:marBottom w:val="0"/>
          <w:divBdr>
            <w:top w:val="none" w:sz="0" w:space="0" w:color="auto"/>
            <w:left w:val="none" w:sz="0" w:space="0" w:color="auto"/>
            <w:bottom w:val="none" w:sz="0" w:space="0" w:color="auto"/>
            <w:right w:val="none" w:sz="0" w:space="0" w:color="auto"/>
          </w:divBdr>
          <w:divsChild>
            <w:div w:id="1231695586">
              <w:marLeft w:val="0"/>
              <w:marRight w:val="0"/>
              <w:marTop w:val="0"/>
              <w:marBottom w:val="0"/>
              <w:divBdr>
                <w:top w:val="none" w:sz="0" w:space="0" w:color="auto"/>
                <w:left w:val="none" w:sz="0" w:space="0" w:color="auto"/>
                <w:bottom w:val="none" w:sz="0" w:space="0" w:color="auto"/>
                <w:right w:val="none" w:sz="0" w:space="0" w:color="auto"/>
              </w:divBdr>
              <w:divsChild>
                <w:div w:id="6085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7867">
          <w:marLeft w:val="0"/>
          <w:marRight w:val="0"/>
          <w:marTop w:val="0"/>
          <w:marBottom w:val="0"/>
          <w:divBdr>
            <w:top w:val="none" w:sz="0" w:space="0" w:color="auto"/>
            <w:left w:val="none" w:sz="0" w:space="0" w:color="auto"/>
            <w:bottom w:val="none" w:sz="0" w:space="0" w:color="auto"/>
            <w:right w:val="none" w:sz="0" w:space="0" w:color="auto"/>
          </w:divBdr>
        </w:div>
      </w:divsChild>
    </w:div>
    <w:div w:id="2010400511">
      <w:bodyDiv w:val="1"/>
      <w:marLeft w:val="0"/>
      <w:marRight w:val="0"/>
      <w:marTop w:val="0"/>
      <w:marBottom w:val="0"/>
      <w:divBdr>
        <w:top w:val="none" w:sz="0" w:space="0" w:color="auto"/>
        <w:left w:val="none" w:sz="0" w:space="0" w:color="auto"/>
        <w:bottom w:val="none" w:sz="0" w:space="0" w:color="auto"/>
        <w:right w:val="none" w:sz="0" w:space="0" w:color="auto"/>
      </w:divBdr>
    </w:div>
    <w:div w:id="2100170923">
      <w:bodyDiv w:val="1"/>
      <w:marLeft w:val="0"/>
      <w:marRight w:val="0"/>
      <w:marTop w:val="0"/>
      <w:marBottom w:val="0"/>
      <w:divBdr>
        <w:top w:val="none" w:sz="0" w:space="0" w:color="auto"/>
        <w:left w:val="none" w:sz="0" w:space="0" w:color="auto"/>
        <w:bottom w:val="none" w:sz="0" w:space="0" w:color="auto"/>
        <w:right w:val="none" w:sz="0" w:space="0" w:color="auto"/>
      </w:divBdr>
    </w:div>
    <w:div w:id="210954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biochemistry-genetics-and-molecular-biology/atxn2" TargetMode="External"/><Relationship Id="rId11" Type="http://schemas.openxmlformats.org/officeDocument/2006/relationships/fontTable" Target="fontTable.xml"/><Relationship Id="rId5" Type="http://schemas.openxmlformats.org/officeDocument/2006/relationships/hyperlink" Target="mailto:jlpedroso.neuro@gmail.com" TargetMode="External"/><Relationship Id="rId10" Type="http://schemas.openxmlformats.org/officeDocument/2006/relationships/hyperlink" Target="https://pmc.ncbi.nlm.nih.gov/articles/PMC9808489/" TargetMode="External"/><Relationship Id="rId4" Type="http://schemas.openxmlformats.org/officeDocument/2006/relationships/webSettings" Target="webSettings.xml"/><Relationship Id="rId9" Type="http://schemas.openxmlformats.org/officeDocument/2006/relationships/hyperlink" Target="https://pmc.ncbi.nlm.nih.gov/articles/PMC980848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17</Pages>
  <Words>18457</Words>
  <Characters>105208</Characters>
  <Application>Microsoft Office Word</Application>
  <DocSecurity>0</DocSecurity>
  <Lines>876</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Celiana Figueiredo</dc:creator>
  <cp:keywords/>
  <dc:description/>
  <cp:lastModifiedBy>Winter Figueiredo</cp:lastModifiedBy>
  <cp:revision>16</cp:revision>
  <dcterms:created xsi:type="dcterms:W3CDTF">2024-12-21T02:54:00Z</dcterms:created>
  <dcterms:modified xsi:type="dcterms:W3CDTF">2024-12-21T17:27:00Z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id="PNAAUdyB"/&gt;&lt;style id="http://www.zotero.org/styles/the-cerebellum" hasBibliography="1" bibliographyStyleHasBeenSet="1"/&gt;&lt;prefs&gt;&lt;pref name="fieldType" value="Field"/&gt;&lt;/prefs&gt;&lt;/data&gt;</vt:lpwstr>
  </property>
</Properties>
</file>