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60D" w14:textId="148F06DF" w:rsidR="00266973" w:rsidRPr="002F16D3" w:rsidRDefault="00266973" w:rsidP="00FC5A58">
      <w:pPr>
        <w:pStyle w:val="BasicParagraph"/>
        <w:jc w:val="center"/>
        <w:rPr>
          <w:rFonts w:ascii="Arial" w:hAnsi="Arial" w:cs="Arial"/>
          <w:szCs w:val="24"/>
          <w:lang w:val="pt-BR"/>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00FC5A58" w:rsidRPr="002F16D3">
        <w:rPr>
          <w:rFonts w:ascii="Arial" w:hAnsi="Arial" w:cs="Arial"/>
          <w:szCs w:val="24"/>
          <w:lang w:val="pt-BR"/>
        </w:rPr>
        <w:t>UNIVERSIDADE DO PORTO</w:t>
      </w:r>
    </w:p>
    <w:p w14:paraId="24A15346" w14:textId="77777777" w:rsidR="00FC5A58" w:rsidRPr="002F16D3" w:rsidRDefault="00FC5A58" w:rsidP="00FC5A58">
      <w:pPr>
        <w:pStyle w:val="BasicParagraph"/>
        <w:jc w:val="center"/>
        <w:rPr>
          <w:rFonts w:ascii="Arial" w:hAnsi="Arial" w:cs="Arial"/>
          <w:szCs w:val="24"/>
          <w:lang w:val="pt-BR"/>
        </w:rPr>
      </w:pPr>
    </w:p>
    <w:p w14:paraId="07E33689" w14:textId="52AB0C95" w:rsidR="00FC5A58" w:rsidRDefault="00FC5A58" w:rsidP="00FC5A58">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00591A28" w14:textId="37555EBF" w:rsidR="00FC5A58" w:rsidRPr="00FC5A58" w:rsidRDefault="00FC5A58" w:rsidP="00FC5A58">
      <w:pPr>
        <w:pStyle w:val="BasicParagraph"/>
        <w:jc w:val="center"/>
        <w:rPr>
          <w:rFonts w:ascii="Arial" w:hAnsi="Arial" w:cs="Arial"/>
          <w:szCs w:val="24"/>
          <w:lang w:val="pt-BR"/>
        </w:rPr>
      </w:pPr>
      <w:r>
        <w:rPr>
          <w:rFonts w:ascii="Arial" w:hAnsi="Arial" w:cs="Arial"/>
          <w:szCs w:val="24"/>
          <w:lang w:val="pt-BR"/>
        </w:rPr>
        <w:t>(FMUP)</w:t>
      </w:r>
    </w:p>
    <w:p w14:paraId="4408CFA9" w14:textId="77777777" w:rsidR="00DB3EE7" w:rsidRDefault="00DB3EE7" w:rsidP="00FC5A58">
      <w:pPr>
        <w:pStyle w:val="Default"/>
        <w:jc w:val="center"/>
      </w:pPr>
    </w:p>
    <w:p w14:paraId="27BD4122" w14:textId="63E453F5" w:rsidR="00266973" w:rsidRPr="00E82D49" w:rsidRDefault="00FC5A58" w:rsidP="00FC5A58">
      <w:pPr>
        <w:ind w:left="0" w:firstLine="0"/>
        <w:jc w:val="center"/>
        <w:rPr>
          <w:sz w:val="24"/>
          <w:szCs w:val="24"/>
        </w:rPr>
      </w:pPr>
      <w:r>
        <w:rPr>
          <w:b/>
          <w:bCs/>
          <w:sz w:val="24"/>
          <w:szCs w:val="24"/>
        </w:rPr>
        <w:t>EQUIVALÊNCIA AO GRAU DE MESTRE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F2F73CB"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0B81CB7D">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2F16D3" w:rsidRDefault="00266973" w:rsidP="00C81291">
      <w:pPr>
        <w:pStyle w:val="BasicParagraph"/>
        <w:rPr>
          <w:rFonts w:ascii="Arial" w:hAnsi="Arial" w:cs="Arial"/>
          <w:color w:val="000000" w:themeColor="text1"/>
          <w:lang w:val="pt-BR"/>
        </w:rPr>
      </w:pPr>
    </w:p>
    <w:p w14:paraId="6FD35D89" w14:textId="77777777" w:rsidR="00266973" w:rsidRPr="006F41FB" w:rsidRDefault="00266973" w:rsidP="00C81291">
      <w:pPr>
        <w:pStyle w:val="BasicParagraph"/>
        <w:rPr>
          <w:color w:val="FF0000"/>
          <w:szCs w:val="24"/>
          <w:lang w:val="pt-BR"/>
        </w:rPr>
      </w:pPr>
    </w:p>
    <w:p w14:paraId="69E83C0A"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0D5437FC" w14:textId="2251C758" w:rsidR="00024449" w:rsidRPr="00024449" w:rsidRDefault="00024449" w:rsidP="001777DE">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r w:rsidR="001777DE">
        <w:rPr>
          <w:rFonts w:eastAsia="Times New Roman"/>
          <w:color w:val="000000"/>
          <w:kern w:val="0"/>
          <w:sz w:val="24"/>
          <w:szCs w:val="24"/>
          <w14:ligatures w14:val="none"/>
        </w:rPr>
        <w:t>.</w:t>
      </w:r>
    </w:p>
    <w:p w14:paraId="18F5A0EA" w14:textId="1ECE6D6C"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 xml:space="preserve">: </w:t>
      </w:r>
      <w:r w:rsidRPr="002F16D3">
        <w:rPr>
          <w:rFonts w:ascii="Arial" w:hAnsi="Arial" w:cs="Arial"/>
          <w:color w:val="000000" w:themeColor="text1"/>
        </w:rPr>
        <w:t>André Moreira Tavares</w:t>
      </w:r>
    </w:p>
    <w:p w14:paraId="222ADD11" w14:textId="77777777"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andretavares@icloud.com</w:t>
      </w:r>
    </w:p>
    <w:p w14:paraId="72F464AF"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1AB84DE7" w14:textId="77777777" w:rsidR="00266973" w:rsidRPr="006F41FB" w:rsidRDefault="00266973" w:rsidP="00C81291">
      <w:pPr>
        <w:pStyle w:val="BasicParagraph"/>
        <w:rPr>
          <w:color w:val="FF0000"/>
          <w:szCs w:val="24"/>
          <w:lang w:val="pt-BR"/>
        </w:rPr>
      </w:pPr>
    </w:p>
    <w:p w14:paraId="3774798C" w14:textId="5213C4DC" w:rsidR="00DB3EE7" w:rsidRPr="002F16D3" w:rsidRDefault="00DB3EE7" w:rsidP="002F16D3">
      <w:pPr>
        <w:pStyle w:val="NormalWeb"/>
        <w:shd w:val="clear" w:color="auto" w:fill="FFFFFF"/>
        <w:spacing w:line="360" w:lineRule="auto"/>
        <w:jc w:val="both"/>
        <w:rPr>
          <w:rFonts w:ascii="Arial" w:hAnsi="Arial" w:cs="Arial"/>
        </w:rPr>
        <w:sectPr w:rsidR="00DB3EE7" w:rsidRPr="002F16D3"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0B963058"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w:t>
      </w:r>
      <w:r w:rsidR="002F16D3">
        <w:rPr>
          <w:rFonts w:ascii="Helvetica" w:hAnsi="Helvetica"/>
          <w:color w:val="000000"/>
          <w:shd w:val="clear" w:color="auto" w:fill="FFFFFF"/>
        </w:rPr>
        <w:t xml:space="preserve"> Deus</w:t>
      </w:r>
      <w:r w:rsidRPr="000040E5">
        <w:rPr>
          <w:rFonts w:ascii="Helvetica" w:hAnsi="Helvetica"/>
          <w:color w:val="000000"/>
          <w:shd w:val="clear" w:color="auto" w:fill="FFFFFF"/>
        </w:rPr>
        <w:t xml:space="preserve"> </w:t>
      </w:r>
      <w:r w:rsidR="004F2861">
        <w:rPr>
          <w:rFonts w:ascii="Helvetica" w:hAnsi="Helvetica"/>
          <w:color w:val="000000"/>
          <w:shd w:val="clear" w:color="auto" w:fill="FFFFFF"/>
        </w:rPr>
        <w:t>que me inspira e acompanha em cada conquista e tropeço ao longo da minha vida</w:t>
      </w:r>
      <w:r w:rsidRPr="000040E5">
        <w:rPr>
          <w:rFonts w:ascii="Helvetica" w:hAnsi="Helvetica"/>
          <w:color w:val="000000"/>
          <w:shd w:val="clear" w:color="auto" w:fill="FFFFFF"/>
        </w:rPr>
        <w:t xml:space="preserve">.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xml:space="preserve">, que me </w:t>
      </w:r>
      <w:r w:rsidR="00996AD5">
        <w:rPr>
          <w:rFonts w:ascii="Helvetica" w:hAnsi="Helvetica"/>
          <w:color w:val="000000"/>
          <w:shd w:val="clear" w:color="auto" w:fill="FFFFFF"/>
        </w:rPr>
        <w:t>possibilito</w:t>
      </w:r>
      <w:r w:rsidR="00AC2C3C">
        <w:rPr>
          <w:rFonts w:ascii="Helvetica" w:hAnsi="Helvetica"/>
          <w:color w:val="000000"/>
          <w:shd w:val="clear" w:color="auto" w:fill="FFFFFF"/>
        </w:rPr>
        <w:t>u adquirir</w:t>
      </w:r>
      <w:r w:rsidRPr="000040E5">
        <w:rPr>
          <w:rFonts w:ascii="Helvetica" w:hAnsi="Helvetica"/>
          <w:color w:val="000000"/>
          <w:shd w:val="clear" w:color="auto" w:fill="FFFFFF"/>
        </w:rPr>
        <w:t xml:space="preserve"> o conhecimento para concluir este trabalho. Agradeço ao professor </w:t>
      </w:r>
      <w:r w:rsidR="002F16D3">
        <w:rPr>
          <w:rFonts w:ascii="Helvetica" w:hAnsi="Helvetica"/>
          <w:color w:val="000000"/>
          <w:shd w:val="clear" w:color="auto" w:fill="FFFFFF"/>
        </w:rPr>
        <w:t xml:space="preserve">Dr. </w:t>
      </w:r>
      <w:r w:rsidR="002F16D3" w:rsidRPr="00F07B6E">
        <w:rPr>
          <w:rFonts w:ascii="Helvetica" w:hAnsi="Helvetica"/>
          <w:color w:val="auto"/>
        </w:rPr>
        <w:t xml:space="preserve">Francisco Carlos </w:t>
      </w:r>
      <w:proofErr w:type="spellStart"/>
      <w:r w:rsidR="002F16D3" w:rsidRPr="00F07B6E">
        <w:rPr>
          <w:rFonts w:ascii="Helvetica" w:hAnsi="Helvetica"/>
          <w:color w:val="auto"/>
        </w:rPr>
        <w:t>Obata</w:t>
      </w:r>
      <w:proofErr w:type="spellEnd"/>
      <w:r w:rsidR="002F16D3" w:rsidRPr="00F07B6E">
        <w:rPr>
          <w:rFonts w:ascii="Helvetica" w:hAnsi="Helvetica"/>
          <w:color w:val="auto"/>
        </w:rPr>
        <w:t xml:space="preserve"> </w:t>
      </w:r>
      <w:proofErr w:type="spellStart"/>
      <w:r w:rsidR="002F16D3" w:rsidRPr="00F07B6E">
        <w:rPr>
          <w:rFonts w:ascii="Helvetica" w:hAnsi="Helvetica"/>
          <w:color w:val="auto"/>
        </w:rPr>
        <w:t>Cordon</w:t>
      </w:r>
      <w:proofErr w:type="spellEnd"/>
      <w:r w:rsidR="002F16D3" w:rsidRPr="000040E5">
        <w:rPr>
          <w:rFonts w:ascii="Helvetica" w:hAnsi="Helvetica"/>
          <w:color w:val="000000"/>
          <w:shd w:val="clear" w:color="auto" w:fill="FFFFFF"/>
        </w:rPr>
        <w:t xml:space="preserve"> </w:t>
      </w:r>
      <w:r w:rsidRPr="000040E5">
        <w:rPr>
          <w:rFonts w:ascii="Helvetica" w:hAnsi="Helvetica"/>
          <w:color w:val="000000"/>
          <w:shd w:val="clear" w:color="auto" w:fill="FFFFFF"/>
        </w:rPr>
        <w:t>p</w:t>
      </w:r>
      <w:r w:rsidR="00086266">
        <w:rPr>
          <w:rFonts w:ascii="Helvetica" w:hAnsi="Helvetica"/>
          <w:color w:val="000000"/>
          <w:shd w:val="clear" w:color="auto" w:fill="FFFFFF"/>
        </w:rPr>
        <w:t xml:space="preserve">elo </w:t>
      </w:r>
      <w:r w:rsidRPr="000040E5">
        <w:rPr>
          <w:rFonts w:ascii="Helvetica" w:hAnsi="Helvetica"/>
          <w:color w:val="000000"/>
          <w:shd w:val="clear" w:color="auto" w:fill="FFFFFF"/>
        </w:rPr>
        <w:t>auxílio</w:t>
      </w:r>
      <w:r w:rsidR="00FD3B35">
        <w:rPr>
          <w:rFonts w:ascii="Helvetica" w:hAnsi="Helvetica"/>
          <w:color w:val="000000"/>
          <w:shd w:val="clear" w:color="auto" w:fill="FFFFFF"/>
        </w:rPr>
        <w:t xml:space="preserve"> necessário</w:t>
      </w:r>
      <w:r w:rsidR="00CD2486">
        <w:rPr>
          <w:rFonts w:ascii="Helvetica" w:hAnsi="Helvetica"/>
          <w:color w:val="000000"/>
          <w:shd w:val="clear" w:color="auto" w:fill="FFFFFF"/>
        </w:rPr>
        <w:t xml:space="preserve">, aos </w:t>
      </w:r>
      <w:r w:rsidRPr="000040E5">
        <w:rPr>
          <w:rFonts w:ascii="Helvetica" w:hAnsi="Helvetica"/>
          <w:color w:val="000000"/>
          <w:shd w:val="clear" w:color="auto" w:fill="FFFFFF"/>
        </w:rPr>
        <w:t>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240CE411"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 xml:space="preserve">A Neuralgia do Trigêmeo (NT) é caracterizada por dores similares a choques elétricos, breves, unilaterais e recorrentes, de início e término abruptos, limitadas à distribuição de uma ou mais divisões do nervo trigêmeo e desencadeadas por estímulos </w:t>
      </w:r>
      <w:proofErr w:type="gramStart"/>
      <w:r w:rsidR="00760A57">
        <w:rPr>
          <w:rStyle w:val="normaltextrun"/>
          <w:rFonts w:ascii="Helvetica" w:hAnsi="Helvetica" w:cs="Segoe UI"/>
        </w:rPr>
        <w:t>inócuos</w:t>
      </w:r>
      <w:proofErr w:type="gramEnd"/>
      <w:r w:rsidR="00760A57">
        <w:rPr>
          <w:rStyle w:val="normaltextrun"/>
          <w:rFonts w:ascii="Helvetica" w:hAnsi="Helvetica" w:cs="Segoe UI"/>
        </w:rPr>
        <w:t xml:space="preserve"> como a 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w:t>
      </w:r>
      <w:r w:rsidR="00FB6F0C">
        <w:rPr>
          <w:rStyle w:val="normaltextrun"/>
          <w:rFonts w:ascii="Helvetica" w:hAnsi="Helvetica" w:cs="Segoe UI"/>
        </w:rPr>
        <w:t>s</w:t>
      </w:r>
      <w:r w:rsidR="00760A57">
        <w:rPr>
          <w:rStyle w:val="normaltextrun"/>
          <w:rFonts w:ascii="Helvetica" w:hAnsi="Helvetica" w:cs="Segoe UI"/>
        </w:rPr>
        <w:t xml:space="preserve"> </w:t>
      </w:r>
      <w:r w:rsidR="00FB6F0C">
        <w:rPr>
          <w:rStyle w:val="normaltextrun"/>
          <w:rFonts w:ascii="Helvetica" w:hAnsi="Helvetica" w:cs="Segoe UI"/>
        </w:rPr>
        <w:t>m</w:t>
      </w:r>
      <w:r w:rsidR="00760A57">
        <w:rPr>
          <w:rStyle w:val="normaltextrun"/>
          <w:rFonts w:ascii="Helvetica" w:hAnsi="Helvetica" w:cs="Segoe UI"/>
        </w:rPr>
        <w:t>édico</w:t>
      </w:r>
      <w:r w:rsidR="00FB6F0C">
        <w:rPr>
          <w:rStyle w:val="normaltextrun"/>
          <w:rFonts w:ascii="Helvetica" w:hAnsi="Helvetica" w:cs="Segoe UI"/>
        </w:rPr>
        <w:t>s</w:t>
      </w:r>
      <w:r w:rsidR="00760A57">
        <w:rPr>
          <w:rStyle w:val="normaltextrun"/>
          <w:rFonts w:ascii="Helvetica" w:hAnsi="Helvetica" w:cs="Segoe UI"/>
        </w:rPr>
        <w:t xml:space="preserve">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5ACA828D" w14:textId="77777777" w:rsidR="001777DE" w:rsidRDefault="001777DE" w:rsidP="00435724">
      <w:pPr>
        <w:pStyle w:val="paragraph"/>
        <w:spacing w:line="360" w:lineRule="auto"/>
        <w:ind w:left="0" w:firstLine="0"/>
        <w:rPr>
          <w:rStyle w:val="eop"/>
          <w:rFonts w:ascii="Helvetica" w:hAnsi="Helvetica" w:cs="Segoe UI"/>
        </w:rPr>
      </w:pP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3717CD" w:rsidRDefault="00760A57" w:rsidP="00435724">
      <w:pPr>
        <w:ind w:left="0" w:firstLine="0"/>
        <w:rPr>
          <w:rStyle w:val="eop"/>
          <w:rFonts w:ascii="Helvetica" w:hAnsi="Helvetica" w:cs="Segoe UI"/>
          <w:b/>
          <w:bCs/>
          <w:lang w:val="en-US"/>
        </w:rPr>
      </w:pPr>
      <w:r w:rsidRPr="00FB6F0C">
        <w:rPr>
          <w:rStyle w:val="eop"/>
          <w:rFonts w:ascii="Helvetica" w:hAnsi="Helvetica" w:cs="Segoe UI"/>
        </w:rPr>
        <w:br w:type="page"/>
      </w:r>
      <w:r w:rsidRPr="003717CD">
        <w:rPr>
          <w:rStyle w:val="eop"/>
          <w:rFonts w:ascii="Helvetica" w:hAnsi="Helvetica" w:cs="Segoe UI"/>
          <w:b/>
          <w:bCs/>
          <w:lang w:val="en-US"/>
        </w:rPr>
        <w:lastRenderedPageBreak/>
        <w:t>ABSTRACT</w:t>
      </w:r>
    </w:p>
    <w:p w14:paraId="1CAC02D7" w14:textId="77777777" w:rsidR="00435724" w:rsidRPr="003717CD" w:rsidRDefault="00435724" w:rsidP="00435724">
      <w:pPr>
        <w:ind w:left="0" w:firstLine="0"/>
        <w:rPr>
          <w:rStyle w:val="eop"/>
          <w:rFonts w:ascii="Helvetica" w:hAnsi="Helvetica" w:cs="Segoe UI"/>
          <w:b/>
          <w:bCs/>
          <w:lang w:val="en-US"/>
        </w:rPr>
      </w:pPr>
    </w:p>
    <w:p w14:paraId="6F25F743" w14:textId="171CFD3F" w:rsidR="00435724" w:rsidRPr="00435724" w:rsidRDefault="00435724" w:rsidP="00B57104">
      <w:pPr>
        <w:ind w:left="0" w:firstLine="0"/>
        <w:rPr>
          <w:rStyle w:val="eop"/>
          <w:rFonts w:ascii="Helvetica" w:hAnsi="Helvetica" w:cs="Segoe UI"/>
          <w:b/>
          <w:bCs/>
          <w:lang w:val="en-US"/>
        </w:rPr>
      </w:pPr>
      <w:r w:rsidRPr="00FB6F0C">
        <w:rPr>
          <w:rStyle w:val="eop"/>
          <w:rFonts w:ascii="Helvetica" w:hAnsi="Helvetica" w:cs="Segoe UI"/>
          <w:b/>
          <w:bCs/>
          <w:color w:val="auto"/>
          <w:lang w:val="en-US"/>
        </w:rPr>
        <w:t xml:space="preserve">Introduction: </w:t>
      </w:r>
      <w:r w:rsidRPr="00FB6F0C">
        <w:rPr>
          <w:rStyle w:val="normaltextrun"/>
          <w:rFonts w:ascii="Helvetica" w:hAnsi="Helvetica" w:cs="Segoe UI"/>
          <w:color w:val="auto"/>
          <w:lang w:val="en-US"/>
        </w:rPr>
        <w:t xml:space="preserve">Trigeminal Neuralgia (TN) is characterized by pain </w:t>
      </w:r>
      <w:r w:rsidR="00B94DB1" w:rsidRPr="00FB6F0C">
        <w:rPr>
          <w:rStyle w:val="normaltextrun"/>
          <w:rFonts w:ascii="Helvetica" w:hAnsi="Helvetica" w:cs="Segoe UI"/>
          <w:color w:val="auto"/>
          <w:lang w:val="en-US"/>
        </w:rPr>
        <w:t>like</w:t>
      </w:r>
      <w:r w:rsidRPr="00FB6F0C">
        <w:rPr>
          <w:rStyle w:val="normaltextrun"/>
          <w:rFonts w:ascii="Helvetica" w:hAnsi="Helvetica" w:cs="Segoe UI"/>
          <w:color w:val="auto"/>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FB6F0C">
        <w:rPr>
          <w:rStyle w:val="normaltextrun"/>
          <w:rFonts w:ascii="Helvetica" w:hAnsi="Helvetica" w:cs="Segoe UI"/>
          <w:color w:val="auto"/>
          <w:lang w:val="en-US"/>
        </w:rPr>
        <w:t>scratching,</w:t>
      </w:r>
      <w:r w:rsidRPr="00FB6F0C">
        <w:rPr>
          <w:rStyle w:val="normaltextrun"/>
          <w:rFonts w:ascii="Helvetica" w:hAnsi="Helvetica" w:cs="Segoe UI"/>
          <w:color w:val="auto"/>
          <w:lang w:val="en-US"/>
        </w:rPr>
        <w:t xml:space="preserve"> and washing the face, brushing </w:t>
      </w:r>
      <w:r w:rsidR="00FB6F0C" w:rsidRPr="00FB6F0C">
        <w:rPr>
          <w:rStyle w:val="normaltextrun"/>
          <w:rFonts w:ascii="Helvetica" w:hAnsi="Helvetica" w:cs="Segoe UI"/>
          <w:color w:val="auto"/>
          <w:lang w:val="en-US"/>
        </w:rPr>
        <w:t>teeth,</w:t>
      </w:r>
      <w:r w:rsidRPr="00FB6F0C">
        <w:rPr>
          <w:rStyle w:val="normaltextrun"/>
          <w:rFonts w:ascii="Helvetica" w:hAnsi="Helvetica" w:cs="Segoe UI"/>
          <w:color w:val="auto"/>
          <w:lang w:val="en-US"/>
        </w:rPr>
        <w:t xml:space="preserve"> and talking. </w:t>
      </w:r>
      <w:r w:rsidRPr="00FB6F0C">
        <w:rPr>
          <w:rStyle w:val="eop"/>
          <w:rFonts w:ascii="Helvetica" w:hAnsi="Helvetica" w:cs="Segoe UI"/>
          <w:b/>
          <w:bCs/>
          <w:color w:val="auto"/>
          <w:lang w:val="en-US"/>
        </w:rPr>
        <w:t xml:space="preserve">Objective: </w:t>
      </w:r>
      <w:r w:rsidRPr="00FB6F0C">
        <w:rPr>
          <w:rStyle w:val="eop"/>
          <w:rFonts w:ascii="Helvetica" w:hAnsi="Helvetica" w:cs="Segoe UI"/>
          <w:color w:val="auto"/>
          <w:lang w:val="en-US"/>
        </w:rPr>
        <w:t xml:space="preserve">To describe </w:t>
      </w:r>
      <w:r w:rsidRPr="00FB6F0C">
        <w:rPr>
          <w:rStyle w:val="normaltextrun"/>
          <w:rFonts w:ascii="Helvetica" w:hAnsi="Helvetica" w:cs="Segoe UI"/>
          <w:color w:val="auto"/>
          <w:lang w:val="en-US"/>
        </w:rPr>
        <w:t xml:space="preserve">a case of classic trigeminal neuralgia, showing from the diagnosis, pharmacological and interventional treatments performed and proposed to the patient, as well as the remissions of the condition and its recurrences. </w:t>
      </w:r>
      <w:r w:rsidRPr="00FB6F0C">
        <w:rPr>
          <w:rStyle w:val="normaltextrun"/>
          <w:rFonts w:ascii="Helvetica" w:hAnsi="Helvetica" w:cs="Segoe UI"/>
          <w:b/>
          <w:bCs/>
          <w:color w:val="auto"/>
          <w:lang w:val="en-US"/>
        </w:rPr>
        <w:t xml:space="preserve">Method: </w:t>
      </w:r>
      <w:r w:rsidRPr="00FB6F0C">
        <w:rPr>
          <w:rStyle w:val="normaltextrun"/>
          <w:rFonts w:ascii="Helvetica" w:hAnsi="Helvetica" w:cs="Segoe UI"/>
          <w:color w:val="auto"/>
          <w:lang w:val="en-US"/>
        </w:rPr>
        <w:t xml:space="preserve">A case report was conducted according to the CARE Checklist </w:t>
      </w:r>
      <w:r w:rsidR="00B94DB1" w:rsidRPr="00FB6F0C">
        <w:rPr>
          <w:rStyle w:val="normaltextrun"/>
          <w:rFonts w:ascii="Helvetica" w:hAnsi="Helvetica" w:cs="Segoe UI"/>
          <w:color w:val="auto"/>
          <w:lang w:val="en-US"/>
        </w:rPr>
        <w:t>standards.</w:t>
      </w:r>
      <w:r w:rsidRPr="00FB6F0C">
        <w:rPr>
          <w:rStyle w:val="normaltextrun"/>
          <w:rFonts w:ascii="Helvetica" w:hAnsi="Helvetica" w:cs="Segoe UI"/>
          <w:i/>
          <w:iCs/>
          <w:color w:val="auto"/>
          <w:lang w:val="en-US"/>
        </w:rPr>
        <w:t xml:space="preserve"> </w:t>
      </w:r>
      <w:r w:rsidRPr="00FB6F0C">
        <w:rPr>
          <w:rStyle w:val="normaltextrun"/>
          <w:rFonts w:ascii="Helvetica" w:hAnsi="Helvetica" w:cs="Segoe UI"/>
          <w:b/>
          <w:bCs/>
          <w:color w:val="auto"/>
          <w:lang w:val="en-US"/>
        </w:rPr>
        <w:t xml:space="preserve">Results: </w:t>
      </w:r>
      <w:r w:rsidRPr="00FB6F0C">
        <w:rPr>
          <w:rStyle w:val="normaltextrun"/>
          <w:rFonts w:ascii="Helvetica" w:hAnsi="Helvetica" w:cs="Segoe UI"/>
          <w:color w:val="auto"/>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FB6F0C">
        <w:rPr>
          <w:rStyle w:val="normaltextrun"/>
          <w:rFonts w:ascii="Helvetica" w:hAnsi="Helvetica" w:cs="Segoe UI"/>
          <w:b/>
          <w:bCs/>
          <w:color w:val="auto"/>
          <w:lang w:val="en-US"/>
        </w:rPr>
        <w:t xml:space="preserve"> Conclusion: </w:t>
      </w:r>
      <w:r w:rsidRPr="00FB6F0C">
        <w:rPr>
          <w:rStyle w:val="eop"/>
          <w:rFonts w:ascii="Helvetica" w:hAnsi="Helvetica" w:cs="Segoe UI"/>
          <w:color w:val="auto"/>
          <w:lang w:val="en-US"/>
        </w:rPr>
        <w:t xml:space="preserve">This case illustrates the great clinical challenge imposed on the </w:t>
      </w:r>
      <w:r w:rsidR="00FB6F0C">
        <w:rPr>
          <w:rStyle w:val="eop"/>
          <w:rFonts w:ascii="Helvetica" w:hAnsi="Helvetica" w:cs="Segoe UI"/>
          <w:color w:val="auto"/>
          <w:lang w:val="en-US"/>
        </w:rPr>
        <w:t>physicians</w:t>
      </w:r>
      <w:r w:rsidRPr="00FB6F0C">
        <w:rPr>
          <w:rStyle w:val="eop"/>
          <w:rFonts w:ascii="Helvetica" w:hAnsi="Helvetica" w:cs="Segoe UI"/>
          <w:color w:val="auto"/>
          <w:lang w:val="en-US"/>
        </w:rPr>
        <w:t xml:space="preserve">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w:t>
      </w:r>
      <w:r w:rsidRPr="00435724">
        <w:rPr>
          <w:rStyle w:val="eop"/>
          <w:rFonts w:ascii="Helvetica" w:hAnsi="Helvetica" w:cs="Segoe UI"/>
          <w:lang w:val="en-US"/>
        </w:rPr>
        <w:t xml:space="preserve">. </w:t>
      </w:r>
    </w:p>
    <w:p w14:paraId="1E8BAF24" w14:textId="77777777" w:rsidR="00435724" w:rsidRPr="00435724" w:rsidRDefault="00435724" w:rsidP="00B57104">
      <w:pPr>
        <w:pStyle w:val="Pr-formataoHTML"/>
        <w:spacing w:line="360" w:lineRule="auto"/>
        <w:jc w:val="both"/>
        <w:rPr>
          <w:rFonts w:ascii="Helvetica" w:hAnsi="Helvetica"/>
          <w:color w:val="202124"/>
          <w:sz w:val="22"/>
          <w:szCs w:val="22"/>
          <w:lang w:val="en-US"/>
        </w:rPr>
      </w:pPr>
    </w:p>
    <w:p w14:paraId="6FCABDD5" w14:textId="5B405052" w:rsidR="00435724" w:rsidRPr="00435724" w:rsidRDefault="00435724" w:rsidP="00B57104">
      <w:pPr>
        <w:pStyle w:val="paragraph"/>
        <w:spacing w:line="360" w:lineRule="auto"/>
        <w:ind w:left="0" w:firstLine="0"/>
        <w:rPr>
          <w:rStyle w:val="eop"/>
          <w:rFonts w:ascii="Helvetica" w:hAnsi="Helvetica" w:cs="Segoe UI"/>
          <w:lang w:val="en-US"/>
        </w:rPr>
      </w:pPr>
      <w:r w:rsidRPr="00435724">
        <w:rPr>
          <w:rStyle w:val="eop"/>
          <w:rFonts w:ascii="Helvetica" w:hAnsi="Helvetica" w:cs="Segoe UI"/>
          <w:b/>
          <w:bCs/>
          <w:lang w:val="en-US"/>
        </w:rPr>
        <w:t xml:space="preserve">Keywords: </w:t>
      </w:r>
      <w:r w:rsidRPr="00435724">
        <w:rPr>
          <w:rStyle w:val="eop"/>
          <w:rFonts w:ascii="Helvetica" w:hAnsi="Helvetica" w:cs="Segoe UI"/>
          <w:lang w:val="en-US"/>
        </w:rPr>
        <w:t xml:space="preserve"> trigeminal nerve, facial pain, radio frequency therapy, clinical challenges</w:t>
      </w:r>
      <w:r w:rsidR="00B94DB1">
        <w:rPr>
          <w:rStyle w:val="eop"/>
          <w:rFonts w:ascii="Helvetica" w:hAnsi="Helvetica" w:cs="Segoe UI"/>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014F0999" w14:textId="77777777" w:rsidR="00760A57" w:rsidRDefault="00760A57" w:rsidP="00DD32A7">
            <w:pPr>
              <w:pStyle w:val="SemEspaamento"/>
              <w:spacing w:line="360" w:lineRule="auto"/>
            </w:pPr>
            <w:r w:rsidRPr="009217B4">
              <w:t>NT</w:t>
            </w:r>
          </w:p>
          <w:p w14:paraId="5FC47A7D" w14:textId="73E29C28" w:rsidR="00DD32A7" w:rsidRPr="009217B4" w:rsidRDefault="00DD32A7" w:rsidP="00DD32A7">
            <w:pPr>
              <w:pStyle w:val="SemEspaamento"/>
              <w:spacing w:line="360" w:lineRule="auto"/>
            </w:pPr>
            <w:r>
              <w:t>GKRS</w:t>
            </w:r>
          </w:p>
        </w:tc>
        <w:tc>
          <w:tcPr>
            <w:tcW w:w="7142" w:type="dxa"/>
          </w:tcPr>
          <w:p w14:paraId="71B07679" w14:textId="77777777" w:rsidR="00760A57" w:rsidRDefault="002B22CA" w:rsidP="00C81291">
            <w:r>
              <w:t>Neuralgia do Trigêmeo</w:t>
            </w:r>
          </w:p>
          <w:p w14:paraId="0F9C0693" w14:textId="1F2E1225" w:rsidR="00DD32A7" w:rsidRPr="00DD32A7" w:rsidRDefault="00DD32A7" w:rsidP="00C81291">
            <w:pPr>
              <w:rPr>
                <w:bCs/>
              </w:rPr>
            </w:pPr>
            <w:r>
              <w:rPr>
                <w:bCs/>
              </w:rPr>
              <w:t>Radiocirurgia por Gamma Knife</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51583657"/>
      <w:r>
        <w:lastRenderedPageBreak/>
        <w:t>INTRODUÇÃO</w:t>
      </w:r>
      <w:bookmarkEnd w:id="0"/>
      <w:r>
        <w:t xml:space="preserve"> </w:t>
      </w:r>
    </w:p>
    <w:p w14:paraId="0498FDC9" w14:textId="2399844A" w:rsidR="00400A76" w:rsidRDefault="00400A76" w:rsidP="00400A76">
      <w:r>
        <w:t>A neuralgia do trigêmeo (NT) é um dos distúrbios da dor facial neurológica mais debilitante. É classicamente defin</w:t>
      </w:r>
      <w:r w:rsidR="00EC09F9">
        <w:t>id</w:t>
      </w:r>
      <w:r>
        <w:t xml:space="preserve">a por episódios paroxísticos de dor aguda e lancinante com exacerbações e remissões, nas áreas inervadas pelo trigêmeo, normalmente desencadeada por estímulos táteis, sendo dor idiopática e sem déficit neurológico ou lesão de massa na ressonância magnética </w:t>
      </w:r>
      <w:r w:rsidR="00024449">
        <w:t xml:space="preserve">de crânio </w:t>
      </w:r>
      <w:r>
        <w:t>(RM</w:t>
      </w:r>
      <w:r w:rsidR="00024449">
        <w:t>C</w:t>
      </w:r>
      <w:r>
        <w:t>)</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E54BE4" w:rsidRPr="00E54BE4">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330B0FBD"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00E54BE4">
        <w:fldChar w:fldCharType="begin"/>
      </w:r>
      <w:r w:rsidR="00E54BE4">
        <w:instrText xml:space="preserve"> ADDIN ZOTERO_ITEM CSL_CITATION {"citationID":"IupnIMUw","properties":{"formattedCitation":"(3)","plainCitation":"(3)","noteIndex":0},"citationItems":[{"id":2996,"uris":["http://zotero.org/users/10339151/items/S6DD3HDX"],"itemData":{"id":2996,"type":"chapter","container-title":"Evidence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W."},{"family":"Mekhail","given":"Nagy"}],"accessed":{"date-parts":[["2023",11,24]]},"issued":{"date-parts":[["2011",12,2]]}}}],"schema":"https://github.com/citation-style-language/schema/raw/master/csl-citation.json"} </w:instrText>
      </w:r>
      <w:r w:rsidR="00E54BE4">
        <w:fldChar w:fldCharType="separate"/>
      </w:r>
      <w:r w:rsidR="00E54BE4" w:rsidRPr="00E54BE4">
        <w:t>(3)</w:t>
      </w:r>
      <w:r w:rsidR="00E54BE4">
        <w:fldChar w:fldCharType="end"/>
      </w:r>
      <w:r w:rsidR="001E0A11">
        <w:rPr>
          <w:vertAlign w:val="superscript"/>
        </w:rPr>
        <w:t xml:space="preserve"> </w:t>
      </w:r>
      <w:r>
        <w:t>e afeta mais comumente pacientes com mais de 50 anos de idade, de acordo com estudos epidemiológicos</w:t>
      </w:r>
      <w:r w:rsidR="00E54BE4">
        <w:fldChar w:fldCharType="begin"/>
      </w:r>
      <w:r w:rsidR="00E54BE4">
        <w:instrText xml:space="preserve"> ADDIN ZOTERO_ITEM CSL_CITATION {"citationID":"E54H4QEP","properties":{"formattedCitation":"(3,4)","plainCitation":"(3,4)","noteIndex":0},"citationItems":[{"id":2996,"uris":["http://zotero.org/users/10339151/items/S6DD3HDX"],"itemData":{"id":2996,"type":"chapter","container-title":"Evidence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label":"page"},{"id":2998,"uris":["http://zotero.org/users/10339151/items/GUR9R892"],"itemData":{"id":2998,"type":"article-journal","container-title":"Brain","issue":"4","note":"publisher: Oxford University Press","page":"665–676","source":"Google Scholar","title":"The incidence and lifetime prevalence of neurological disorders in a prospective community-based study in the UK","volume":"123","author":[{"family":"MacDonald","given":"B. K."},{"family":"Cockerell","given":"O. C."},{"family":"Sander","given":"JWAS"},{"family":"Shorvon","given":"S. D."}],"issued":{"date-parts":[["2000"]]}},"label":"page"}],"schema":"https://github.com/citation-style-language/schema/raw/master/csl-citation.json"} </w:instrText>
      </w:r>
      <w:r w:rsidR="00E54BE4">
        <w:fldChar w:fldCharType="separate"/>
      </w:r>
      <w:r w:rsidR="00E54BE4" w:rsidRPr="00E54BE4">
        <w:t>(3,4)</w:t>
      </w:r>
      <w:r w:rsidR="00E54BE4">
        <w:fldChar w:fldCharType="end"/>
      </w:r>
      <w:r w:rsidR="00E54BE4">
        <w:t>.</w:t>
      </w:r>
      <w:r w:rsidR="00A44EA2">
        <w:t xml:space="preserve"> </w:t>
      </w:r>
    </w:p>
    <w:p w14:paraId="3C24B515" w14:textId="05EFAA1E"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E54BE4" w:rsidRPr="00E54BE4">
        <w:t>(1)</w:t>
      </w:r>
      <w:r w:rsidR="00A44EA2">
        <w:fldChar w:fldCharType="end"/>
      </w:r>
      <w:r>
        <w:t xml:space="preserve">. </w:t>
      </w:r>
    </w:p>
    <w:p w14:paraId="3550B9B7" w14:textId="4393DEE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A compressão neurovascular é um mecanismo importante na fisiopatologia da NT clássica. Acredita-se que um vaso sanguíneo, veia ou artéria (na cisterna cerebelopontina), causa compressão local proximal na raiz trigeminal sensitiva perto do tronco cerebral (REZ</w:t>
      </w:r>
      <w:r w:rsidR="004F2861">
        <w:rPr>
          <w:rFonts w:ascii="Helvetica" w:hAnsi="Helvetica"/>
        </w:rPr>
        <w:t>-root entry zone</w:t>
      </w:r>
      <w:r w:rsidRPr="00AA4665">
        <w:rPr>
          <w:rFonts w:ascii="Helvetica" w:hAnsi="Helvetica"/>
        </w:rPr>
        <w:t>). A transição da bainha de mielina da</w:t>
      </w:r>
      <w:r w:rsidR="004F2861">
        <w:rPr>
          <w:rFonts w:ascii="Helvetica" w:hAnsi="Helvetica"/>
        </w:rPr>
        <w:t>s</w:t>
      </w:r>
      <w:r w:rsidRPr="00AA4665">
        <w:rPr>
          <w:rFonts w:ascii="Helvetica" w:hAnsi="Helvetica"/>
        </w:rPr>
        <w:t xml:space="preserve"> célula</w:t>
      </w:r>
      <w:r w:rsidR="004F2861">
        <w:rPr>
          <w:rFonts w:ascii="Helvetica" w:hAnsi="Helvetica"/>
        </w:rPr>
        <w:t>s</w:t>
      </w:r>
      <w:r w:rsidRPr="00AA4665">
        <w:rPr>
          <w:rFonts w:ascii="Helvetica" w:hAnsi="Helvetica"/>
        </w:rPr>
        <w:t xml:space="preserve"> de Schwann periférica</w:t>
      </w:r>
      <w:r w:rsidR="004F2861">
        <w:rPr>
          <w:rFonts w:ascii="Helvetica" w:hAnsi="Helvetica"/>
        </w:rPr>
        <w:t>s</w:t>
      </w:r>
      <w:r w:rsidRPr="00AA4665">
        <w:rPr>
          <w:rFonts w:ascii="Helvetica" w:hAnsi="Helvetica"/>
        </w:rPr>
        <w:t xml:space="preserve">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E54BE4">
        <w:rPr>
          <w:rFonts w:ascii="Helvetica" w:hAnsi="Helvetica"/>
        </w:rPr>
        <w:instrText xml:space="preserve"> ADDIN ZOTERO_ITEM CSL_CITATION {"citationID":"z4DkvUQ7","properties":{"formattedCitation":"(5\\uc0\\u8211{}7)","plainCitation":"(5–7)","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E54BE4">
        <w:rPr>
          <w:rFonts w:ascii="Cambria Math" w:hAnsi="Cambria Math" w:cs="Cambria Math"/>
        </w:rPr>
        <w:instrText>‐</w:instrText>
      </w:r>
      <w:r w:rsidR="00E54BE4">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E54BE4" w:rsidRPr="00E54BE4">
        <w:rPr>
          <w:rFonts w:ascii="Helvetica" w:hAnsi="Helvetica" w:cs="Times New Roman"/>
          <w:szCs w:val="24"/>
        </w:rPr>
        <w:t>(5–7)</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788F161F"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E54BE4">
        <w:rPr>
          <w:rFonts w:ascii="Helvetica" w:hAnsi="Helvetica"/>
        </w:rPr>
        <w:instrText xml:space="preserve"> ADDIN ZOTERO_ITEM CSL_CITATION {"citationID":"fotptY2G","properties":{"formattedCitation":"(8)","plainCitation":"(8)","noteIndex":0},"citationItems":[{"id":2984,"uris":["http://zotero.org/users/10339151/items/V2HHGHYR"],"itemData":{"id":2984,"type":"article-journal","container-title":"Journal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E54BE4" w:rsidRPr="00E54BE4">
        <w:rPr>
          <w:rFonts w:ascii="Helvetica" w:hAnsi="Helvetica"/>
        </w:rPr>
        <w:t>(8)</w:t>
      </w:r>
      <w:r w:rsidR="00F55415">
        <w:rPr>
          <w:rFonts w:ascii="Helvetica" w:hAnsi="Helvetica"/>
        </w:rPr>
        <w:fldChar w:fldCharType="end"/>
      </w:r>
      <w:r w:rsidRPr="00AA4665">
        <w:rPr>
          <w:rFonts w:ascii="Helvetica" w:hAnsi="Helvetica"/>
        </w:rPr>
        <w:t xml:space="preserve">. </w:t>
      </w:r>
    </w:p>
    <w:p w14:paraId="425AED5C" w14:textId="41973531"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w:t>
      </w:r>
      <w:proofErr w:type="spellStart"/>
      <w:r w:rsidRPr="00AA4665">
        <w:rPr>
          <w:rFonts w:ascii="Helvetica" w:hAnsi="Helvetica"/>
        </w:rPr>
        <w:t>Aδ</w:t>
      </w:r>
      <w:proofErr w:type="spellEnd"/>
      <w:r w:rsidRPr="00AA4665">
        <w:rPr>
          <w:rFonts w:ascii="Helvetica" w:hAnsi="Helvetica"/>
        </w:rPr>
        <w:t xml:space="preserve">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As primeiras fibras ativam as segundas, 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E54BE4">
        <w:rPr>
          <w:rFonts w:ascii="Helvetica" w:hAnsi="Helvetica"/>
        </w:rPr>
        <w:instrText xml:space="preserve"> ADDIN ZOTERO_ITEM CSL_CITATION {"citationID":"kVW04ykR","properties":{"formattedCitation":"(9)","plainCitation":"(9)","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E54BE4" w:rsidRPr="00E54BE4">
        <w:rPr>
          <w:rFonts w:ascii="Helvetica" w:hAnsi="Helvetica"/>
        </w:rPr>
        <w:t>(9)</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lastRenderedPageBreak/>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w:t>
      </w:r>
      <w:proofErr w:type="gramStart"/>
      <w:r w:rsidR="00F16D22" w:rsidRPr="00F42EB9">
        <w:rPr>
          <w:kern w:val="0"/>
        </w:rPr>
        <w:t>inócuos</w:t>
      </w:r>
      <w:proofErr w:type="gramEnd"/>
      <w:r w:rsidR="00F16D22" w:rsidRPr="00F42EB9">
        <w:rPr>
          <w:kern w:val="0"/>
        </w:rPr>
        <w:t xml:space="preserve"> na distribuição trigeminal afetada.</w:t>
      </w:r>
    </w:p>
    <w:p w14:paraId="452E762D" w14:textId="588CC03C" w:rsidR="00F16D22" w:rsidRPr="00F42EB9" w:rsidRDefault="00683B9F" w:rsidP="00677CDF">
      <w:pPr>
        <w:ind w:left="0" w:firstLine="0"/>
        <w:rPr>
          <w:kern w:val="0"/>
        </w:rPr>
      </w:pPr>
      <w:r>
        <w:rPr>
          <w:kern w:val="0"/>
        </w:rPr>
        <w:t xml:space="preserve">     </w:t>
      </w:r>
      <w:r w:rsidR="00F16D22" w:rsidRPr="00F42EB9">
        <w:rPr>
          <w:kern w:val="0"/>
        </w:rPr>
        <w:t xml:space="preserve"> D)  Não</w:t>
      </w:r>
      <w:r w:rsidR="004F2861">
        <w:rPr>
          <w:kern w:val="0"/>
        </w:rPr>
        <w:t xml:space="preserve"> ser </w:t>
      </w:r>
      <w:proofErr w:type="gramStart"/>
      <w:r w:rsidR="004F2861" w:rsidRPr="00F42EB9">
        <w:rPr>
          <w:kern w:val="0"/>
        </w:rPr>
        <w:t>melhor</w:t>
      </w:r>
      <w:proofErr w:type="gramEnd"/>
      <w:r w:rsidR="008F4372">
        <w:rPr>
          <w:kern w:val="0"/>
        </w:rPr>
        <w:t xml:space="preserve"> </w:t>
      </w:r>
      <w:r w:rsidR="00F16D22" w:rsidRPr="00F42EB9">
        <w:rPr>
          <w:kern w:val="0"/>
        </w:rPr>
        <w:t>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0E2C5CC"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w:t>
      </w:r>
      <w:r w:rsidR="004F2861">
        <w:t>D</w:t>
      </w:r>
      <w:r w:rsidR="00F3687D">
        <w:t>escompressão microvascular</w:t>
      </w:r>
      <w:r w:rsidR="00EC6280">
        <w:t xml:space="preserve"> por craniotomia </w:t>
      </w:r>
      <w:r w:rsidR="00F3687D">
        <w:t>(</w:t>
      </w:r>
      <w:r w:rsidR="00EC6280">
        <w:t>DVM</w:t>
      </w:r>
      <w:r w:rsidR="00F3687D">
        <w:t>)</w:t>
      </w:r>
      <w:r w:rsidR="00EC6280">
        <w:t>,</w:t>
      </w:r>
      <w:r w:rsidR="00400A76">
        <w:t xml:space="preserve"> </w:t>
      </w:r>
      <w:r w:rsidR="004F2861">
        <w:t>T</w:t>
      </w:r>
      <w:r w:rsidR="00400A76">
        <w:t xml:space="preserve">ermocoagulação por radiofrequência percutânea (RF), </w:t>
      </w:r>
      <w:r w:rsidR="004F2861">
        <w:t>D</w:t>
      </w:r>
      <w:r w:rsidR="00400A76">
        <w:t>escompressão percutân</w:t>
      </w:r>
      <w:r w:rsidR="00F3687D">
        <w:t>e</w:t>
      </w:r>
      <w:r w:rsidR="00400A76">
        <w:t>a por balão (BC)</w:t>
      </w:r>
      <w:r w:rsidR="008F4372">
        <w:t xml:space="preserve">, </w:t>
      </w:r>
      <w:r w:rsidR="004F2861">
        <w:t>Radiocirurgia</w:t>
      </w:r>
      <w:r w:rsidR="008F4372">
        <w:t xml:space="preserve"> por Gamma Knife (GKRS)</w:t>
      </w:r>
      <w:r w:rsidR="00400A76">
        <w:t xml:space="preserve"> e </w:t>
      </w:r>
      <w:r w:rsidR="004F2861">
        <w:t>R</w:t>
      </w:r>
      <w:r w:rsidR="00400A76">
        <w:t>izotomia com glicerol (GR)</w:t>
      </w:r>
      <w:r w:rsidR="00F855A3">
        <w:t xml:space="preserve"> </w:t>
      </w:r>
      <w:r w:rsidR="00400A76">
        <w:fldChar w:fldCharType="begin"/>
      </w:r>
      <w:r w:rsidR="00E54BE4">
        <w:instrText xml:space="preserve"> ADDIN ZOTERO_ITEM CSL_CITATION {"citationID":"nqEql75N","properties":{"formattedCitation":"(10,11)","plainCitation":"(10,11)","noteIndex":0},"citationItems":[{"id":2940,"uris":["http://zotero.org/users/10339151/items/7AXX7JUC"],"itemData":{"id":2940,"type":"article-journal","container-title":"Operative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E54BE4" w:rsidRPr="00E54BE4">
        <w:t>(10,11)</w:t>
      </w:r>
      <w:r w:rsidR="00400A76">
        <w:fldChar w:fldCharType="end"/>
      </w:r>
      <w:r w:rsidR="00400A76">
        <w:t xml:space="preserve">. </w:t>
      </w:r>
    </w:p>
    <w:p w14:paraId="24D96B30" w14:textId="2AA571B7"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51583658"/>
      <w:r w:rsidRPr="000E5AF0">
        <w:lastRenderedPageBreak/>
        <w:t>MÉTODO</w:t>
      </w:r>
      <w:bookmarkEnd w:id="1"/>
      <w:r w:rsidR="00026A98">
        <w:t xml:space="preserve"> </w:t>
      </w:r>
    </w:p>
    <w:p w14:paraId="7AE93CCB" w14:textId="4CB2AB64" w:rsidR="009217B4" w:rsidRDefault="009217B4" w:rsidP="00C81291"/>
    <w:p w14:paraId="5442D6DD" w14:textId="39F00F07" w:rsidR="00861FD9" w:rsidRDefault="002E77CE" w:rsidP="00861FD9">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E54BE4">
        <w:rPr>
          <w:i/>
          <w:iCs/>
        </w:rPr>
        <w:instrText xml:space="preserve"> ADDIN ZOTERO_ITEM CSL_CITATION {"citationID":"vCZ0vi1n","properties":{"formattedCitation":"(12)","plainCitation":"(12)","noteIndex":0},"citationItems":[{"id":2994,"uris":["http://zotero.org/users/10339151/items/Z4R3N85A"],"itemData":{"id":2994,"type":"article-journal","container-title":"Journal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E54BE4" w:rsidRPr="00E54BE4">
        <w:t>(12)</w:t>
      </w:r>
      <w:r w:rsidR="00A44EA2">
        <w:rPr>
          <w:i/>
          <w:iCs/>
        </w:rPr>
        <w:fldChar w:fldCharType="end"/>
      </w:r>
      <w:r w:rsidR="00974FC2" w:rsidRPr="00974FC2">
        <w:rPr>
          <w:i/>
          <w:iCs/>
        </w:rPr>
        <w:t xml:space="preserve">, </w:t>
      </w:r>
      <w:r w:rsidR="00974FC2">
        <w:t>que disponibiliza um checklist</w:t>
      </w:r>
      <w:r w:rsidR="00861FD9">
        <w:t xml:space="preserve"> (ANEXO 1)</w:t>
      </w:r>
      <w:r w:rsidR="00974FC2">
        <w:t xml:space="preserve"> com os itens necessários para boa apresentação de relatos de casos e está disponível no website </w:t>
      </w:r>
      <w:hyperlink r:id="rId11" w:history="1">
        <w:r w:rsidR="00974FC2" w:rsidRPr="0082670F">
          <w:rPr>
            <w:rStyle w:val="Hyperlink"/>
          </w:rPr>
          <w:t>https://www.care-statement.org/checklist</w:t>
        </w:r>
      </w:hyperlink>
      <w:r w:rsidR="00974FC2">
        <w:t xml:space="preserve"> e é recomendado pela plataforma EQUATOR (</w:t>
      </w:r>
      <w:proofErr w:type="spellStart"/>
      <w:r w:rsidR="00974FC2" w:rsidRPr="00974FC2">
        <w:rPr>
          <w:i/>
          <w:iCs/>
        </w:rPr>
        <w:t>Enhancing</w:t>
      </w:r>
      <w:proofErr w:type="spellEnd"/>
      <w:r w:rsidR="00974FC2" w:rsidRPr="00974FC2">
        <w:rPr>
          <w:i/>
          <w:iCs/>
        </w:rPr>
        <w:t xml:space="preserve"> </w:t>
      </w:r>
      <w:proofErr w:type="spellStart"/>
      <w:r w:rsidR="00974FC2" w:rsidRPr="00974FC2">
        <w:rPr>
          <w:i/>
          <w:iCs/>
        </w:rPr>
        <w:t>the</w:t>
      </w:r>
      <w:proofErr w:type="spellEnd"/>
      <w:r w:rsidR="00974FC2" w:rsidRPr="00974FC2">
        <w:rPr>
          <w:i/>
          <w:iCs/>
        </w:rPr>
        <w:t xml:space="preserve"> </w:t>
      </w:r>
      <w:proofErr w:type="spellStart"/>
      <w:r w:rsidR="00974FC2" w:rsidRPr="00974FC2">
        <w:rPr>
          <w:i/>
          <w:iCs/>
        </w:rPr>
        <w:t>QUAlity</w:t>
      </w:r>
      <w:proofErr w:type="spellEnd"/>
      <w:r w:rsidR="00974FC2" w:rsidRPr="00974FC2">
        <w:rPr>
          <w:i/>
          <w:iCs/>
        </w:rPr>
        <w:t xml:space="preserve"> </w:t>
      </w:r>
      <w:proofErr w:type="spellStart"/>
      <w:r w:rsidR="00974FC2" w:rsidRPr="00974FC2">
        <w:rPr>
          <w:i/>
          <w:iCs/>
        </w:rPr>
        <w:t>and</w:t>
      </w:r>
      <w:proofErr w:type="spellEnd"/>
      <w:r w:rsidR="00974FC2" w:rsidRPr="00974FC2">
        <w:rPr>
          <w:i/>
          <w:iCs/>
        </w:rPr>
        <w:t xml:space="preserve"> </w:t>
      </w:r>
      <w:proofErr w:type="spellStart"/>
      <w:r w:rsidR="00974FC2" w:rsidRPr="00974FC2">
        <w:rPr>
          <w:i/>
          <w:iCs/>
        </w:rPr>
        <w:t>Transparency</w:t>
      </w:r>
      <w:proofErr w:type="spellEnd"/>
      <w:r w:rsidR="00974FC2" w:rsidRPr="00974FC2">
        <w:rPr>
          <w:i/>
          <w:iCs/>
        </w:rPr>
        <w:t xml:space="preserve"> </w:t>
      </w:r>
      <w:proofErr w:type="spellStart"/>
      <w:r w:rsidR="00974FC2" w:rsidRPr="00974FC2">
        <w:rPr>
          <w:i/>
          <w:iCs/>
        </w:rPr>
        <w:t>Of</w:t>
      </w:r>
      <w:proofErr w:type="spellEnd"/>
      <w:r w:rsidR="00974FC2" w:rsidRPr="00974FC2">
        <w:rPr>
          <w:i/>
          <w:iCs/>
        </w:rPr>
        <w:t xml:space="preserve"> </w:t>
      </w:r>
      <w:proofErr w:type="spellStart"/>
      <w:r w:rsidR="00974FC2" w:rsidRPr="00974FC2">
        <w:rPr>
          <w:i/>
          <w:iCs/>
        </w:rPr>
        <w:t>health</w:t>
      </w:r>
      <w:proofErr w:type="spellEnd"/>
      <w:r w:rsidR="00974FC2" w:rsidRPr="00974FC2">
        <w:rPr>
          <w:i/>
          <w:iCs/>
        </w:rPr>
        <w:t xml:space="preserve"> </w:t>
      </w:r>
      <w:proofErr w:type="spellStart"/>
      <w:r w:rsidR="00974FC2" w:rsidRPr="00974FC2">
        <w:rPr>
          <w:i/>
          <w:iCs/>
        </w:rPr>
        <w:t>Research</w:t>
      </w:r>
      <w:proofErr w:type="spellEnd"/>
      <w:r w:rsidR="00974FC2" w:rsidRPr="00974FC2">
        <w:rPr>
          <w:i/>
          <w:iCs/>
        </w:rPr>
        <w:t xml:space="preserve">), </w:t>
      </w:r>
      <w:r w:rsidR="00974FC2">
        <w:t xml:space="preserve">disponível no website </w:t>
      </w:r>
      <w:hyperlink r:id="rId12" w:history="1">
        <w:r w:rsidR="00974FC2" w:rsidRPr="0082670F">
          <w:rPr>
            <w:rStyle w:val="Hyperlink"/>
          </w:rPr>
          <w:t>https://www.equator-network.org/</w:t>
        </w:r>
      </w:hyperlink>
      <w:r w:rsidR="00861FD9">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2" w:name="_Toc151583659"/>
      <w:r>
        <w:t>Informações do paciente</w:t>
      </w:r>
      <w:bookmarkEnd w:id="2"/>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3" w:name="_Toc151583660"/>
      <w:r>
        <w:t>Achados clínicos</w:t>
      </w:r>
      <w:bookmarkEnd w:id="3"/>
    </w:p>
    <w:p w14:paraId="72C962DD" w14:textId="793B415F" w:rsidR="00E21B12" w:rsidRPr="00E21B12" w:rsidRDefault="00E21B12" w:rsidP="00E21B12">
      <w:r>
        <w:t xml:space="preserve">Realizou </w:t>
      </w:r>
      <w:r w:rsidR="00024449">
        <w:t>RMC</w:t>
      </w:r>
      <w:r>
        <w:t xml:space="preserve">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4" w:name="_Toc151583661"/>
      <w:r w:rsidRPr="00871022">
        <w:t>Linha do tempo</w:t>
      </w:r>
      <w:bookmarkEnd w:id="4"/>
    </w:p>
    <w:p w14:paraId="086F9372" w14:textId="28442619" w:rsidR="00890FF7" w:rsidRDefault="000F17ED" w:rsidP="00890FF7">
      <w:r>
        <w:t>O início do acompanhamento desse caso se deu em março de 2015, com queixa de c</w:t>
      </w:r>
      <w:r w:rsidR="00890FF7">
        <w:t>rises breves e intensas dor território V2 do Nervo Trigêmeo, com frequência baixa</w:t>
      </w:r>
      <w:r>
        <w:t>, tratado com AINES e analgésicos por um ano. Em setembro de 2015, após piora das crises e avaliação do neurologista iniciou-se tratamento com Carbamazepina, e dois anos depois (setembro de 2018) foi indicado a DVM</w:t>
      </w:r>
      <w:r w:rsidR="00DD32A7">
        <w:t>, não sendo autorizado</w:t>
      </w:r>
      <w:r>
        <w:t xml:space="preserve"> pela paciente</w:t>
      </w:r>
      <w:r w:rsidR="00D742F8">
        <w:t>;</w:t>
      </w:r>
      <w:r w:rsidR="00DD32A7">
        <w:t xml:space="preserve"> após autorização</w:t>
      </w:r>
      <w:r w:rsidR="00D742F8">
        <w:t xml:space="preserve"> e assinatura de consentimento informado</w:t>
      </w:r>
      <w:r>
        <w:t xml:space="preserve"> realizou-se RF,</w:t>
      </w:r>
      <w:r w:rsidR="00D742F8">
        <w:t xml:space="preserve"> com melhora total da dor e</w:t>
      </w:r>
      <w:r>
        <w:t xml:space="preserve"> hipoestesia importante</w:t>
      </w:r>
      <w:r w:rsidR="00D742F8">
        <w:t xml:space="preserve"> na área inervada por V2</w:t>
      </w:r>
      <w:r>
        <w:t>. Em agosto de 2019</w:t>
      </w:r>
      <w:r w:rsidR="00D742F8">
        <w:t>, com retorno dor em território V3,</w:t>
      </w:r>
      <w:r>
        <w:t xml:space="preserve"> </w:t>
      </w:r>
      <w:r w:rsidR="00241B5E">
        <w:t>foi sugerida</w:t>
      </w:r>
      <w:r>
        <w:t xml:space="preserve"> nova RF</w:t>
      </w:r>
      <w:r w:rsidR="00241B5E">
        <w:t>, com recusa devido a experiência ruim com a hipoestesia, paciente foi internada por 3 dias para uso de Fenitoína e iniciou tratamento medicamentoso com pregabalina e lamotrigina, além de outras medidas;</w:t>
      </w:r>
      <w:r>
        <w:t xml:space="preserve">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5" w:name="_Toc151583662"/>
      <w:r>
        <w:t>Avaliação diagnóstica</w:t>
      </w:r>
      <w:bookmarkEnd w:id="5"/>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6" w:name="_Toc151583663"/>
      <w:r>
        <w:t>Intervenção terapêutica</w:t>
      </w:r>
      <w:bookmarkEnd w:id="6"/>
    </w:p>
    <w:p w14:paraId="73385FA8" w14:textId="57DF8164" w:rsidR="00333156" w:rsidRDefault="00333156" w:rsidP="00333156">
      <w:r>
        <w:t xml:space="preserve">Iniciou-se o tratamento farmacológico com </w:t>
      </w:r>
      <w:proofErr w:type="gramStart"/>
      <w:r w:rsidR="000F17ED">
        <w:t>C</w:t>
      </w:r>
      <w:r>
        <w:t>arbamazepina</w:t>
      </w:r>
      <w:proofErr w:type="gramEnd"/>
      <w:r>
        <w:t xml:space="preserve">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7C900758" w:rsidR="00E21B12" w:rsidRDefault="00E21B12" w:rsidP="00E21B12">
      <w:r>
        <w:t>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w:t>
      </w:r>
      <w:r w:rsidR="00D742F8">
        <w:t xml:space="preserve"> na área de pele afetada</w:t>
      </w:r>
      <w:r>
        <w:t xml:space="preserve">.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7" w:name="_Toc151583664"/>
      <w:r>
        <w:t>Seguimento e desfechos</w:t>
      </w:r>
      <w:bookmarkEnd w:id="7"/>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8" w:name="_Hlk148795301"/>
    </w:p>
    <w:p w14:paraId="0FCD2F19" w14:textId="2D6CF885" w:rsidR="00883822" w:rsidRDefault="00C761D9" w:rsidP="00883822">
      <w:pPr>
        <w:pStyle w:val="Ttulo1"/>
      </w:pPr>
      <w:bookmarkStart w:id="9" w:name="_Toc151583665"/>
      <w:r>
        <w:t>DISCUSSÃO</w:t>
      </w:r>
      <w:bookmarkEnd w:id="9"/>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2A00F266"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E54BE4">
        <w:instrText xml:space="preserve"> ADDIN ZOTERO_ITEM CSL_CITATION {"citationID":"qVAsRyMd","properties":{"formattedCitation":"(13)","plainCitation":"(13)","noteIndex":0},"citationItems":[{"id":2959,"uris":["http://zotero.org/users/10339151/items/JN3YDTH2"],"itemData":{"id":2959,"type":"article-journal","container-title":"Frontiers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E54BE4" w:rsidRPr="00E54BE4">
        <w:t>(13)</w:t>
      </w:r>
      <w:r>
        <w:fldChar w:fldCharType="end"/>
      </w:r>
      <w:r>
        <w:t>. Além disso, a taxa recorrente foi comparável entre os dois grupos após 2 anos de acompanhamento e foi consistente com alguns relatórios anteriores</w:t>
      </w:r>
      <w:r>
        <w:fldChar w:fldCharType="begin"/>
      </w:r>
      <w:r w:rsidR="00E54BE4">
        <w:instrText xml:space="preserve"> ADDIN ZOTERO_ITEM CSL_CITATION {"citationID":"lLHLOze3","properties":{"formattedCitation":"(14,15)","plainCitation":"(14,15)","noteIndex":0},"citationItems":[{"id":2962,"uris":["http://zotero.org/users/10339151/items/GA9AI5PA"],"itemData":{"id":2962,"type":"article-journal","container-title":"Surgical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3CE642DB" w14:textId="50EEC77D"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E54BE4">
        <w:instrText xml:space="preserve"> ADDIN ZOTERO_ITEM CSL_CITATION {"citationID":"37kKvaIr","properties":{"formattedCitation":"(14,15)","plainCitation":"(14,15)","noteIndex":0},"citationItems":[{"id":2962,"uris":["http://zotero.org/users/10339151/items/GA9AI5PA"],"itemData":{"id":2962,"type":"article-journal","container-title":"Surgical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689F962F" w14:textId="0ED77812"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E54BE4">
        <w:instrText xml:space="preserve"> ADDIN ZOTERO_ITEM CSL_CITATION {"citationID":"YYCaINjU","properties":{"formattedCitation":"(16)","plainCitation":"(16)","noteIndex":0},"citationItems":[{"id":2987,"uris":["http://zotero.org/users/10339151/items/9IBQQ9UN"],"itemData":{"id":2987,"type":"article-journal","container-title":"Journal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E54BE4" w:rsidRPr="00E54BE4">
        <w:t>(16)</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E54BE4">
        <w:instrText xml:space="preserve"> ADDIN ZOTERO_ITEM CSL_CITATION {"citationID":"J0InahNk","properties":{"formattedCitation":"(15)","plainCitation":"(15)","noteIndex":0},"citationItems":[{"id":2957,"uris":["http://zotero.org/users/10339151/items/YBMZG53M"],"itemData":{"id":2957,"type":"article-journal","container-title":"Neurosurgical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E54BE4" w:rsidRPr="00E54BE4">
        <w:t>(15)</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E54BE4">
        <w:instrText xml:space="preserve"> ADDIN ZOTERO_ITEM CSL_CITATION {"citationID":"frKKR534","properties":{"formattedCitation":"(17)","plainCitation":"(17)","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E54BE4" w:rsidRPr="00E54BE4">
        <w:t>(17)</w:t>
      </w:r>
      <w:r>
        <w:fldChar w:fldCharType="end"/>
      </w:r>
      <w:r w:rsidRPr="00A368A5">
        <w:t>.</w:t>
      </w:r>
    </w:p>
    <w:p w14:paraId="4D5185FB" w14:textId="1FD706BE"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w:t>
      </w:r>
      <w:r w:rsidR="00C640AC">
        <w:t>,</w:t>
      </w:r>
      <w:r>
        <w:t xml:space="preserve">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4327897E" w:rsidR="00BC7F9C" w:rsidRDefault="00BC7F9C" w:rsidP="00714C81">
      <w:r>
        <w:t xml:space="preserve">Doses progressivamente crescentes de </w:t>
      </w:r>
      <w:proofErr w:type="spellStart"/>
      <w:r>
        <w:t>carbamazepina</w:t>
      </w:r>
      <w:proofErr w:type="spellEnd"/>
      <w:r>
        <w:t xml:space="preserve"> são necessárias para manter a eficácia</w:t>
      </w:r>
      <w:r w:rsidR="00D742F8">
        <w:t>,</w:t>
      </w:r>
      <w:r>
        <w:t xml:space="preserve"> que diminui para aproximadamente 50% devido à autoindução</w:t>
      </w:r>
      <w:r>
        <w:fldChar w:fldCharType="begin"/>
      </w:r>
      <w:r w:rsidR="00E54BE4">
        <w:instrText xml:space="preserve"> ADDIN ZOTERO_ITEM CSL_CITATION {"citationID":"4oUPFnlj","properties":{"formattedCitation":"(18)","plainCitation":"(18)","noteIndex":0},"citationItems":[{"id":2943,"uris":["http://zotero.org/users/10339151/items/5G984ULR"],"itemData":{"id":2943,"type":"article-journal","container-title":"Journal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E54BE4" w:rsidRPr="00E54BE4">
        <w:t>(18)</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E54BE4">
        <w:instrText xml:space="preserve"> ADDIN ZOTERO_ITEM CSL_CITATION {"citationID":"qRESXcy3","properties":{"formattedCitation":"(19)","plainCitation":"(19)","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E54BE4" w:rsidRPr="00E54BE4">
        <w:t>(19)</w:t>
      </w:r>
      <w:r>
        <w:fldChar w:fldCharType="end"/>
      </w:r>
      <w:r>
        <w:t xml:space="preserve">. </w:t>
      </w:r>
      <w:r w:rsidRPr="00945E49">
        <w:t xml:space="preserve">Estima-se que aproximadamente 6 a 10% dos pacientes não tolerem a </w:t>
      </w:r>
      <w:proofErr w:type="spellStart"/>
      <w:r w:rsidRPr="00945E49">
        <w:t>carbamazepina</w:t>
      </w:r>
      <w:proofErr w:type="spellEnd"/>
      <w:r>
        <w:fldChar w:fldCharType="begin"/>
      </w:r>
      <w:r w:rsidR="00E54BE4">
        <w:instrText xml:space="preserve"> ADDIN ZOTERO_ITEM CSL_CITATION {"citationID":"RPqNuMBR","properties":{"formattedCitation":"(20)","plainCitation":"(20)","noteIndex":0},"citationItems":[{"id":2947,"uris":["http://zotero.org/users/10339151/items/WDW36IZI"],"itemData":{"id":2947,"type":"article-journal","container-title":"Postgraduate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E54BE4" w:rsidRPr="00E54BE4">
        <w:t>(20)</w:t>
      </w:r>
      <w:r>
        <w:fldChar w:fldCharType="end"/>
      </w:r>
      <w:r w:rsidRPr="00945E49">
        <w:t>.</w:t>
      </w:r>
      <w:r>
        <w:t xml:space="preserve">  </w:t>
      </w:r>
    </w:p>
    <w:p w14:paraId="02D4F502" w14:textId="3D708F2A"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r w:rsidR="003B3217">
        <w:t>GKRS</w:t>
      </w:r>
      <w:r w:rsidR="00EF27EF">
        <w:t xml:space="preserve"> </w:t>
      </w:r>
      <w:r>
        <w:fldChar w:fldCharType="begin"/>
      </w:r>
      <w:r w:rsidR="00E54BE4">
        <w:instrText xml:space="preserve"> ADDIN ZOTERO_ITEM CSL_CITATION {"citationID":"xz4dXttx","properties":{"formattedCitation":"(21)","plainCitation":"(21)","noteIndex":0},"citationItems":[{"id":2949,"uris":["http://zotero.org/users/10339151/items/2YQYX68N"],"itemData":{"id":2949,"type":"article-journal","container-title":"Neurosurgery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E54BE4" w:rsidRPr="00E54BE4">
        <w:t>(21)</w:t>
      </w:r>
      <w:r>
        <w:fldChar w:fldCharType="end"/>
      </w:r>
      <w:r>
        <w:t>. Embora a DVM seja eficaz em manter analgesia a longo prazo, vários pacientes precisarão, eventualmente, ser submetidos a um tratamento percutâneo para a NT</w:t>
      </w:r>
      <w:r>
        <w:fldChar w:fldCharType="begin"/>
      </w:r>
      <w:r w:rsidR="00E54BE4">
        <w:instrText xml:space="preserve"> ADDIN ZOTERO_ITEM CSL_CITATION {"citationID":"yoQKjIck","properties":{"formattedCitation":"(22)","plainCitation":"(22)","noteIndex":0},"citationItems":[{"id":2950,"uris":["http://zotero.org/users/10339151/items/SDZK8WUW"],"itemData":{"id":2950,"type":"article-journal","container-title":"Journal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E54BE4" w:rsidRPr="00E54BE4">
        <w:t>(22)</w:t>
      </w:r>
      <w:r>
        <w:fldChar w:fldCharType="end"/>
      </w:r>
      <w:r>
        <w:t xml:space="preserve">. </w:t>
      </w:r>
    </w:p>
    <w:p w14:paraId="746B9910" w14:textId="235B0916"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E54BE4">
        <w:instrText xml:space="preserve"> ADDIN ZOTERO_ITEM CSL_CITATION {"citationID":"D7bxW03H","properties":{"formattedCitation":"(23)","plainCitation":"(23)","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E54BE4" w:rsidRPr="00E54BE4">
        <w:t>(23)</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E54BE4">
        <w:instrText xml:space="preserve"> ADDIN ZOTERO_ITEM CSL_CITATION {"citationID":"JTJzOLtp","properties":{"formattedCitation":"(24,25)","plainCitation":"(24,25)","noteIndex":0},"citationItems":[{"id":2954,"uris":["http://zotero.org/users/10339151/items/X7WZA7B5"],"itemData":{"id":2954,"type":"article-journal","container-title":"Stereotactic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E54BE4" w:rsidRPr="00E54BE4">
        <w:t>(24,25)</w:t>
      </w:r>
      <w:r>
        <w:fldChar w:fldCharType="end"/>
      </w:r>
      <w:r>
        <w:t xml:space="preserve">. </w:t>
      </w:r>
    </w:p>
    <w:p w14:paraId="5EDBEE6D" w14:textId="5F3C98EB"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E54BE4">
        <w:instrText xml:space="preserve"> ADDIN ZOTERO_ITEM CSL_CITATION {"citationID":"ryYju0r9","properties":{"formattedCitation":"(10)","plainCitation":"(10)","noteIndex":0},"citationItems":[{"id":2940,"uris":["http://zotero.org/users/10339151/items/7AXX7JUC"],"itemData":{"id":2940,"type":"article-journal","container-title":"Operative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E54BE4" w:rsidRPr="00E54BE4">
        <w:t>(10)</w:t>
      </w:r>
      <w:r>
        <w:fldChar w:fldCharType="end"/>
      </w:r>
      <w:r>
        <w:t xml:space="preserve">. </w:t>
      </w:r>
    </w:p>
    <w:p w14:paraId="3656AFED" w14:textId="0BB2C8CE"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E54BE4">
        <w:instrText xml:space="preserve"> ADDIN ZOTERO_ITEM CSL_CITATION {"citationID":"15g1zsax","properties":{"formattedCitation":"(26)","plainCitation":"(26)","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E54BE4" w:rsidRPr="00E54BE4">
        <w:t>(26)</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E54BE4">
        <w:instrText xml:space="preserve"> ADDIN ZOTERO_ITEM CSL_CITATION {"citationID":"z3zWh3tn","properties":{"formattedCitation":"(27)","plainCitation":"(27)","noteIndex":0},"citationItems":[{"id":2936,"uris":["http://zotero.org/users/10339151/items/HZZTRCTU"],"itemData":{"id":2936,"type":"article-journal","container-title":"The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E54BE4" w:rsidRPr="00E54BE4">
        <w:t>(27)</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8"/>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0" w:name="_Toc151583666"/>
      <w:r>
        <w:lastRenderedPageBreak/>
        <w:t>CONCLUSÃO</w:t>
      </w:r>
      <w:bookmarkEnd w:id="10"/>
      <w:r>
        <w:t xml:space="preserve"> </w:t>
      </w:r>
    </w:p>
    <w:p w14:paraId="46E1BAEE" w14:textId="5A35861C" w:rsidR="00861FD9" w:rsidRDefault="00FC5A58" w:rsidP="00FC5A58">
      <w:r w:rsidRPr="00E54BE4">
        <w:rPr>
          <w:color w:val="auto"/>
        </w:rPr>
        <w:t>As mais recentes diretrizes incentivam os médicos de cuidados primários a diagnosticar prontamente a NT e iniciar a farmacoterapia depois de descartar as causas dentárias da dor facial. Todos os pacientes devem ser avaliados para descartar causas secundárias de dor facial, mesmo que a dor esteja em remissão</w:t>
      </w:r>
      <w:r>
        <w:t>, o</w:t>
      </w:r>
      <w:r w:rsidRPr="0084601D">
        <w:t xml:space="preserve"> uso de </w:t>
      </w:r>
      <w:r>
        <w:t xml:space="preserve">RMC </w:t>
      </w:r>
      <w:r w:rsidRPr="0084601D">
        <w:t xml:space="preserve">para pesquisar a causa subjacente da </w:t>
      </w:r>
      <w:r>
        <w:t>NT</w:t>
      </w:r>
      <w:r w:rsidRPr="0084601D">
        <w:t xml:space="preserve"> é defendido e, se a </w:t>
      </w:r>
      <w:r>
        <w:t xml:space="preserve">RMC for </w:t>
      </w:r>
      <w:r w:rsidR="00861FD9">
        <w:t>contraindicada</w:t>
      </w:r>
      <w:r w:rsidRPr="0084601D">
        <w:t>, use tomografia e angiografia computadorizadas no cérebro e testes neurofisiológicos, como potenciais evocados auditivos do tronco cerebral.</w:t>
      </w:r>
      <w:r w:rsidRPr="00E54BE4">
        <w:rPr>
          <w:color w:val="auto"/>
        </w:rPr>
        <w:t xml:space="preserve"> Se ocorrerem recaídas, realizar o encaminhamento do paciente para uma equipe especializada multidisciplinar onde será informado aos mesmos sobre o tratamento mais adequado para sua condição. </w:t>
      </w:r>
      <w:r w:rsidRPr="0084601D">
        <w:t xml:space="preserve">Na prática, são necessários planos de </w:t>
      </w:r>
      <w:r>
        <w:t>tratamento farmacológico</w:t>
      </w:r>
      <w:r w:rsidRPr="0084601D">
        <w:t xml:space="preserve"> individualizados, equilibrando os benefícios e os efeitos colaterais </w:t>
      </w:r>
      <w:r>
        <w:t>relatados</w:t>
      </w:r>
      <w:r w:rsidRPr="0084601D">
        <w:t xml:space="preserve"> por cada paciente. </w:t>
      </w:r>
    </w:p>
    <w:p w14:paraId="243A2C4A" w14:textId="5FD343ED" w:rsidR="00FC5A58" w:rsidRDefault="00FC5A58" w:rsidP="00FC5A58">
      <w:r w:rsidRPr="0084601D">
        <w:t xml:space="preserve">Como a </w:t>
      </w:r>
      <w:r>
        <w:t>NT</w:t>
      </w:r>
      <w:r w:rsidRPr="0084601D">
        <w:t xml:space="preserve"> é um </w:t>
      </w:r>
      <w:r>
        <w:t>transtorno paroxístico</w:t>
      </w:r>
      <w:r w:rsidRPr="0084601D">
        <w:t xml:space="preserve">, é difícil </w:t>
      </w:r>
      <w:r>
        <w:t>avaliar</w:t>
      </w:r>
      <w:r w:rsidRPr="0084601D">
        <w:t xml:space="preserve"> quando reduzir e retirar o tratamento. Muitos pacientes optam por continuar os medicamentos mesmo quando em remissão. Orientação e aconselhamento</w:t>
      </w:r>
      <w:r>
        <w:t xml:space="preserve"> </w:t>
      </w:r>
      <w:r w:rsidRPr="0084601D">
        <w:t xml:space="preserve">podem ser necessários para ajudar os pacientes a diminuir e </w:t>
      </w:r>
      <w:r>
        <w:t>parar</w:t>
      </w:r>
      <w:r w:rsidRPr="0084601D">
        <w:t xml:space="preserve"> o tratamento. O controle rápido da dor deve ser o objetivo principal, e não há razão para que os médicos de cuidados primários não possam iniciar </w:t>
      </w:r>
      <w:r>
        <w:t>terapia medicamentosa</w:t>
      </w:r>
      <w:r w:rsidRPr="0084601D">
        <w:t xml:space="preserve"> de segunda linha, </w:t>
      </w:r>
      <w:r>
        <w:t>baseada no</w:t>
      </w:r>
      <w:r w:rsidRPr="0084601D">
        <w:t xml:space="preserve"> seu conhecimento e experiência</w:t>
      </w:r>
      <w:r>
        <w:t xml:space="preserve">.  É importante o manejo rápido e adequado </w:t>
      </w:r>
      <w:r w:rsidRPr="0084601D">
        <w:t xml:space="preserve">de recaídas agudas de </w:t>
      </w:r>
      <w:r>
        <w:t>NT, com estratégias baseadas nas mais recentes diretrizes.</w:t>
      </w:r>
    </w:p>
    <w:p w14:paraId="66C1EA06" w14:textId="77777777" w:rsidR="00FC5A58" w:rsidRPr="00E54BE4" w:rsidRDefault="00FC5A58" w:rsidP="00FC5A58">
      <w:pPr>
        <w:rPr>
          <w:color w:val="auto"/>
        </w:rPr>
      </w:pPr>
      <w:r w:rsidRPr="00C108F3">
        <w:t xml:space="preserve">A </w:t>
      </w:r>
      <w:r>
        <w:t xml:space="preserve">NT </w:t>
      </w:r>
      <w:r w:rsidRPr="00C108F3">
        <w:t>é uma</w:t>
      </w:r>
      <w:r>
        <w:t xml:space="preserve"> condição em que ocorrem remissões e recidivas</w:t>
      </w:r>
      <w:r w:rsidRPr="00C108F3">
        <w:t xml:space="preserve">, e a melhora inicial da dor pode nem sempre ser devido ao tratamento. Isso é especialmente verdadeiro para procedimentos invasivos, onde a boa resposta inicial pode ser seguida por complicações e recaídas do tratamento. </w:t>
      </w:r>
    </w:p>
    <w:p w14:paraId="383BCB89" w14:textId="77777777" w:rsidR="00FC5A58" w:rsidRPr="00E54BE4" w:rsidRDefault="00FC5A58" w:rsidP="00FC5A58">
      <w:pPr>
        <w:rPr>
          <w:color w:val="auto"/>
        </w:rPr>
      </w:pPr>
      <w:r w:rsidRPr="00E54BE4">
        <w:rPr>
          <w:color w:val="auto"/>
        </w:rPr>
        <w:t>É recomendado o encaminhamento do paciente para programas de controle da dor com acesso a psicólogos e fisioterapeutas, porque a gravidade da dor, a interrupção da vida diária e o impacto psicológico associado da NT podem afetar de forma importante a saúde mental. O medo de uma recaída não pode ser subestimado. Psicólogos da dor e especialistas em enfermagem para o tratamento da dor podem ajudar os pacientes a aliviar alguns desses medos.</w:t>
      </w:r>
    </w:p>
    <w:p w14:paraId="68FC1B10" w14:textId="77777777" w:rsidR="00FC5A58" w:rsidRDefault="00FC5A58" w:rsidP="00FC5A58">
      <w:r>
        <w:t>O estudo deste caso possibilitou concluir que a NT representa um grande desafio no tratamento dos pacientes tanto para os médicos de cuidados primários quanto para os especialistas em dor. A manifestação clínica desta patologia tem impacto significativo na qualidade de vida e observa-se notória dificuldade em obter-se a remissão completa do quadro, com altos índices de recidiva ao longo do tempo.</w:t>
      </w:r>
    </w:p>
    <w:p w14:paraId="29F546F9" w14:textId="77777777" w:rsidR="00FC5A58" w:rsidRPr="00FC5A58" w:rsidRDefault="00FC5A58" w:rsidP="00FC5A58"/>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1" w:name="_Toc151583667"/>
      <w:r w:rsidRPr="00ED3A8A">
        <w:t>REFERÊNCIAS BIBLIOGRÁFICAS</w:t>
      </w:r>
      <w:bookmarkEnd w:id="11"/>
      <w:r w:rsidRPr="00ED3A8A">
        <w:t xml:space="preserve"> </w:t>
      </w:r>
    </w:p>
    <w:p w14:paraId="266F1C67" w14:textId="0FA1654D" w:rsidR="00432E8E" w:rsidRDefault="00432E8E" w:rsidP="00432E8E"/>
    <w:p w14:paraId="633149E6" w14:textId="77777777" w:rsidR="00E54BE4" w:rsidRPr="00E54BE4" w:rsidRDefault="00432E8E" w:rsidP="00E54BE4">
      <w:pPr>
        <w:pStyle w:val="Bibliografia"/>
      </w:pPr>
      <w:r>
        <w:fldChar w:fldCharType="begin"/>
      </w:r>
      <w:r w:rsidRPr="00432E8E">
        <w:rPr>
          <w:lang w:val="en-US"/>
        </w:rPr>
        <w:instrText xml:space="preserve"> ADDIN ZOTERO_BIBL {"uncited":[],"omitted":[],"custom":[]} CSL_BIBLIOGRAPHY </w:instrText>
      </w:r>
      <w:r>
        <w:fldChar w:fldCharType="separate"/>
      </w:r>
      <w:r w:rsidR="00E54BE4" w:rsidRPr="00E54BE4">
        <w:rPr>
          <w:lang w:val="en-US"/>
        </w:rPr>
        <w:t>1.</w:t>
      </w:r>
      <w:r w:rsidR="00E54BE4" w:rsidRPr="00E54BE4">
        <w:rPr>
          <w:lang w:val="en-US"/>
        </w:rPr>
        <w:tab/>
        <w:t xml:space="preserve">Vorenkamp KE, Hassett AL, Figg GM, Jennifer A Sweet, Miller J, Jonathan Paul Miller. </w:t>
      </w:r>
      <w:r w:rsidR="00E54BE4" w:rsidRPr="00E54BE4">
        <w:t>Trigeminal Neuralgia and Other Facial Pain Conditions. 1</w:t>
      </w:r>
      <w:r w:rsidR="00E54BE4" w:rsidRPr="00E54BE4">
        <w:rPr>
          <w:vertAlign w:val="superscript"/>
        </w:rPr>
        <w:t>o</w:t>
      </w:r>
      <w:r w:rsidR="00E54BE4" w:rsidRPr="00E54BE4">
        <w:t xml:space="preserve"> de abril de 2015;38–59. </w:t>
      </w:r>
    </w:p>
    <w:p w14:paraId="74ECDA70" w14:textId="77777777" w:rsidR="00E54BE4" w:rsidRPr="00E54BE4" w:rsidRDefault="00E54BE4" w:rsidP="00E54BE4">
      <w:pPr>
        <w:pStyle w:val="Bibliografia"/>
        <w:rPr>
          <w:lang w:val="en-US"/>
        </w:rPr>
      </w:pPr>
      <w:r w:rsidRPr="00E54BE4">
        <w:t>2.</w:t>
      </w:r>
      <w:r w:rsidRPr="00E54BE4">
        <w:tab/>
        <w:t xml:space="preserve">Machado A, Haertel LM. Neuroanatomia funcional [Internet]. Atheneu; 2013 [citado 8 de novembro de 2023]. </w:t>
      </w:r>
      <w:r w:rsidRPr="00E54BE4">
        <w:rPr>
          <w:lang w:val="en-US"/>
        </w:rPr>
        <w:t>Disponível em: https://ria.ufrn.br/handle/123456789/2178</w:t>
      </w:r>
    </w:p>
    <w:p w14:paraId="3D84EB61" w14:textId="77777777" w:rsidR="00E54BE4" w:rsidRPr="00E54BE4" w:rsidRDefault="00E54BE4" w:rsidP="00E54BE4">
      <w:pPr>
        <w:pStyle w:val="Bibliografia"/>
      </w:pPr>
      <w:r w:rsidRPr="00E54BE4">
        <w:rPr>
          <w:lang w:val="en-US"/>
        </w:rPr>
        <w:t>3.</w:t>
      </w:r>
      <w:r w:rsidRPr="00E54BE4">
        <w:rPr>
          <w:lang w:val="en-US"/>
        </w:rPr>
        <w:tab/>
        <w:t>Van Kleef M, Van Genderen WE, Narouze S, Nurmikko TJ, Van Zundert J, Geurts JW, et al. Trigeminal Neuralgia. Em: Van Zundert J, Patijn J, Hartrick CT, Lataster A, Huygen FJPM, Mekhail N, et al., organizadores. Evidence</w:t>
      </w:r>
      <w:r w:rsidRPr="00E54BE4">
        <w:rPr>
          <w:rFonts w:ascii="Cambria Math" w:hAnsi="Cambria Math" w:cs="Cambria Math"/>
          <w:lang w:val="en-US"/>
        </w:rPr>
        <w:t>‐</w:t>
      </w:r>
      <w:r w:rsidRPr="00E54BE4">
        <w:rPr>
          <w:lang w:val="en-US"/>
        </w:rPr>
        <w:t xml:space="preserve">Based Interventional Pain Medicine [Internet]. </w:t>
      </w:r>
      <w:r w:rsidRPr="00E54BE4">
        <w:t>1</w:t>
      </w:r>
      <w:r w:rsidRPr="00E54BE4">
        <w:rPr>
          <w:vertAlign w:val="superscript"/>
        </w:rPr>
        <w:t>o</w:t>
      </w:r>
      <w:r w:rsidRPr="00E54BE4">
        <w:t xml:space="preserve"> ed Wiley; 2011 [citado 24 de novembro de 2023]. p. 1–7. Disponível em: https://onlinelibrary.wiley.com/doi/10.1002/9781119968375.ch1</w:t>
      </w:r>
    </w:p>
    <w:p w14:paraId="2F46C946" w14:textId="77777777" w:rsidR="00E54BE4" w:rsidRPr="00E54BE4" w:rsidRDefault="00E54BE4" w:rsidP="00E54BE4">
      <w:pPr>
        <w:pStyle w:val="Bibliografia"/>
        <w:rPr>
          <w:lang w:val="en-US"/>
        </w:rPr>
      </w:pPr>
      <w:r w:rsidRPr="00E54BE4">
        <w:rPr>
          <w:lang w:val="en-US"/>
        </w:rPr>
        <w:t>4.</w:t>
      </w:r>
      <w:r w:rsidRPr="00E54BE4">
        <w:rPr>
          <w:lang w:val="en-US"/>
        </w:rPr>
        <w:tab/>
        <w:t xml:space="preserve">MacDonald BK, Cockerell OC, Sander J, Shorvon SD. The incidence and lifetime prevalence of neurological disorders in a prospective community-based study in the UK. Brain. 2000;123(4):665–76. </w:t>
      </w:r>
    </w:p>
    <w:p w14:paraId="49A43E86" w14:textId="77777777" w:rsidR="00E54BE4" w:rsidRPr="00E54BE4" w:rsidRDefault="00E54BE4" w:rsidP="00E54BE4">
      <w:pPr>
        <w:pStyle w:val="Bibliografia"/>
        <w:rPr>
          <w:lang w:val="en-US"/>
        </w:rPr>
      </w:pPr>
      <w:r w:rsidRPr="00E54BE4">
        <w:rPr>
          <w:lang w:val="en-US"/>
        </w:rPr>
        <w:t>5.</w:t>
      </w:r>
      <w:r w:rsidRPr="00E54BE4">
        <w:rPr>
          <w:lang w:val="en-US"/>
        </w:rPr>
        <w:tab/>
        <w:t>Love S. Trigeminal neuralgia: Pathology and pathogenesis. Brain. 1</w:t>
      </w:r>
      <w:r w:rsidRPr="00E54BE4">
        <w:rPr>
          <w:vertAlign w:val="superscript"/>
          <w:lang w:val="en-US"/>
        </w:rPr>
        <w:t>o</w:t>
      </w:r>
      <w:r w:rsidRPr="00E54BE4">
        <w:rPr>
          <w:lang w:val="en-US"/>
        </w:rPr>
        <w:t xml:space="preserve"> de dezembro de 2001;124(12):2347–60. </w:t>
      </w:r>
    </w:p>
    <w:p w14:paraId="3CFF6815" w14:textId="77777777" w:rsidR="00E54BE4" w:rsidRPr="00E54BE4" w:rsidRDefault="00E54BE4" w:rsidP="00E54BE4">
      <w:pPr>
        <w:pStyle w:val="Bibliografia"/>
        <w:rPr>
          <w:lang w:val="en-US"/>
        </w:rPr>
      </w:pPr>
      <w:r w:rsidRPr="00E54BE4">
        <w:rPr>
          <w:lang w:val="en-US"/>
        </w:rPr>
        <w:t>6.</w:t>
      </w:r>
      <w:r w:rsidRPr="00E54BE4">
        <w:rPr>
          <w:lang w:val="en-US"/>
        </w:rPr>
        <w:tab/>
        <w:t xml:space="preserve">Rappaport ZH, Govrin-Lippmann R, Devor M. An Electron-Microscopic Analysis of Biopsy Samples of the Trigeminal Root Taken during Microvascular Decompressive Surgery. Stereotact Funct Neurosurg. 1997;68(1–4):182–6. </w:t>
      </w:r>
    </w:p>
    <w:p w14:paraId="2D48B975" w14:textId="77777777" w:rsidR="00E54BE4" w:rsidRPr="00E54BE4" w:rsidRDefault="00E54BE4" w:rsidP="00E54BE4">
      <w:pPr>
        <w:pStyle w:val="Bibliografia"/>
        <w:rPr>
          <w:lang w:val="en-US"/>
        </w:rPr>
      </w:pPr>
      <w:r w:rsidRPr="00E54BE4">
        <w:rPr>
          <w:lang w:val="en-US"/>
        </w:rPr>
        <w:t>7.</w:t>
      </w:r>
      <w:r w:rsidRPr="00E54BE4">
        <w:rPr>
          <w:lang w:val="en-US"/>
        </w:rPr>
        <w:tab/>
        <w:t xml:space="preserve">Marinković S, Todorović V, Gibo H, Budeč M, Drndarević N, Pešić D, et al. The Trigeminal Vasculature Pathology in Patients With Neuralgia. Headache. outubro de 2007;47(9):1334–9. </w:t>
      </w:r>
    </w:p>
    <w:p w14:paraId="59FF9073" w14:textId="77777777" w:rsidR="00E54BE4" w:rsidRPr="00E54BE4" w:rsidRDefault="00E54BE4" w:rsidP="00E54BE4">
      <w:pPr>
        <w:pStyle w:val="Bibliografia"/>
      </w:pPr>
      <w:r w:rsidRPr="00E54BE4">
        <w:rPr>
          <w:lang w:val="en-US"/>
        </w:rPr>
        <w:t>8.</w:t>
      </w:r>
      <w:r w:rsidRPr="00E54BE4">
        <w:rPr>
          <w:lang w:val="en-US"/>
        </w:rPr>
        <w:tab/>
        <w:t xml:space="preserve">Burchiel KJ. Abnormal impulse generation in focally demyelinated trigeminal roots. </w:t>
      </w:r>
      <w:r w:rsidRPr="00E54BE4">
        <w:t xml:space="preserve">Journal of neurosurgery. 1980;53(5):674–83. </w:t>
      </w:r>
    </w:p>
    <w:p w14:paraId="3C55688A" w14:textId="77777777" w:rsidR="00E54BE4" w:rsidRPr="00E54BE4" w:rsidRDefault="00E54BE4" w:rsidP="00E54BE4">
      <w:pPr>
        <w:pStyle w:val="Bibliografia"/>
        <w:rPr>
          <w:lang w:val="en-US"/>
        </w:rPr>
      </w:pPr>
      <w:r w:rsidRPr="00E54BE4">
        <w:t>9.</w:t>
      </w:r>
      <w:r w:rsidRPr="00E54BE4">
        <w:tab/>
        <w:t xml:space="preserve">Siqueira SRDT de, Alves B, Malpartida HMG, Teixeira MJ, Siqueira JTT de. </w:t>
      </w:r>
      <w:r w:rsidRPr="00E54BE4">
        <w:rPr>
          <w:lang w:val="en-US"/>
        </w:rPr>
        <w:t xml:space="preserve">Abnormal expression of voltage-gated sodium channels Nav1. 7, Nav1. 3 and Nav1. 8 in trigeminal neuralgia. Neuroscience. 2009;164(2):573–7. </w:t>
      </w:r>
    </w:p>
    <w:p w14:paraId="33984B07" w14:textId="77777777" w:rsidR="00E54BE4" w:rsidRPr="00E54BE4" w:rsidRDefault="00E54BE4" w:rsidP="00E54BE4">
      <w:pPr>
        <w:pStyle w:val="Bibliografia"/>
        <w:rPr>
          <w:lang w:val="en-US"/>
        </w:rPr>
      </w:pPr>
      <w:r w:rsidRPr="00E54BE4">
        <w:rPr>
          <w:lang w:val="en-US"/>
        </w:rPr>
        <w:t>10.</w:t>
      </w:r>
      <w:r w:rsidRPr="00E54BE4">
        <w:rPr>
          <w:lang w:val="en-US"/>
        </w:rPr>
        <w:tab/>
        <w:t xml:space="preserve">Cheng JS, Lim DA, Chang EF, Barbaro NM. A review of percutaneous treatments for trigeminal neuralgia. Operative Neurosurgery. 2014;10(1):25–33. </w:t>
      </w:r>
    </w:p>
    <w:p w14:paraId="74831DA9" w14:textId="77777777" w:rsidR="00E54BE4" w:rsidRPr="00E54BE4" w:rsidRDefault="00E54BE4" w:rsidP="00E54BE4">
      <w:pPr>
        <w:pStyle w:val="Bibliografia"/>
        <w:rPr>
          <w:lang w:val="en-US"/>
        </w:rPr>
      </w:pPr>
      <w:r w:rsidRPr="00E54BE4">
        <w:rPr>
          <w:lang w:val="en-US"/>
        </w:rPr>
        <w:t>11.</w:t>
      </w:r>
      <w:r w:rsidRPr="00E54BE4">
        <w:rPr>
          <w:lang w:val="en-US"/>
        </w:rPr>
        <w:tab/>
        <w:t>Koopman JSHA, de Vries LM, Dieleman JP, Huygen FJ, Stricker BHCh, Sturkenboom MCJM. A nationwide study of three invasive treatments for trigeminal neuralgia. PAIN®. 1</w:t>
      </w:r>
      <w:r w:rsidRPr="00E54BE4">
        <w:rPr>
          <w:vertAlign w:val="superscript"/>
          <w:lang w:val="en-US"/>
        </w:rPr>
        <w:t>o</w:t>
      </w:r>
      <w:r w:rsidRPr="00E54BE4">
        <w:rPr>
          <w:lang w:val="en-US"/>
        </w:rPr>
        <w:t xml:space="preserve"> de março de 2011;152(3):507–13. </w:t>
      </w:r>
    </w:p>
    <w:p w14:paraId="6515DF98" w14:textId="77777777" w:rsidR="00E54BE4" w:rsidRPr="00E54BE4" w:rsidRDefault="00E54BE4" w:rsidP="00E54BE4">
      <w:pPr>
        <w:pStyle w:val="Bibliografia"/>
        <w:rPr>
          <w:lang w:val="en-US"/>
        </w:rPr>
      </w:pPr>
      <w:r w:rsidRPr="00E54BE4">
        <w:rPr>
          <w:lang w:val="en-US"/>
        </w:rPr>
        <w:t>12.</w:t>
      </w:r>
      <w:r w:rsidRPr="00E54BE4">
        <w:rPr>
          <w:lang w:val="en-US"/>
        </w:rPr>
        <w:tab/>
        <w:t xml:space="preserve">Riley DS, Barber MS, Kienle GS, Aronson JK, von Schoen-Angerer T, Tugwell P, et al. CARE guidelines for case reports: explanation and elaboration document. Journal of clinical epidemiology. 2017;89:218–35. </w:t>
      </w:r>
    </w:p>
    <w:p w14:paraId="132FA629" w14:textId="77777777" w:rsidR="00E54BE4" w:rsidRPr="00E54BE4" w:rsidRDefault="00E54BE4" w:rsidP="00E54BE4">
      <w:pPr>
        <w:pStyle w:val="Bibliografia"/>
        <w:rPr>
          <w:lang w:val="en-US"/>
        </w:rPr>
      </w:pPr>
      <w:r w:rsidRPr="00E54BE4">
        <w:rPr>
          <w:lang w:val="en-US"/>
        </w:rPr>
        <w:t>13.</w:t>
      </w:r>
      <w:r w:rsidRPr="00E54BE4">
        <w:rPr>
          <w:lang w:val="en-US"/>
        </w:rPr>
        <w:tab/>
        <w:t xml:space="preserve">Liu G, Du Y, Wang X, Ren Y. Efficacy and safety of repeated percutaneous radiofrequency thermocoagulation for recurrent trigeminal neuralgia. Frontiers in neurology. 2019;9:1189. </w:t>
      </w:r>
    </w:p>
    <w:p w14:paraId="26062180" w14:textId="77777777" w:rsidR="00E54BE4" w:rsidRPr="00E54BE4" w:rsidRDefault="00E54BE4" w:rsidP="00E54BE4">
      <w:pPr>
        <w:pStyle w:val="Bibliografia"/>
        <w:rPr>
          <w:lang w:val="en-US"/>
        </w:rPr>
      </w:pPr>
      <w:r w:rsidRPr="00E54BE4">
        <w:rPr>
          <w:lang w:val="en-US"/>
        </w:rPr>
        <w:t>14.</w:t>
      </w:r>
      <w:r w:rsidRPr="00E54BE4">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54400497" w14:textId="77777777" w:rsidR="00E54BE4" w:rsidRPr="00E54BE4" w:rsidRDefault="00E54BE4" w:rsidP="00E54BE4">
      <w:pPr>
        <w:pStyle w:val="Bibliografia"/>
        <w:rPr>
          <w:lang w:val="en-US"/>
        </w:rPr>
      </w:pPr>
      <w:r w:rsidRPr="00E54BE4">
        <w:rPr>
          <w:lang w:val="en-US"/>
        </w:rPr>
        <w:lastRenderedPageBreak/>
        <w:t>15.</w:t>
      </w:r>
      <w:r w:rsidRPr="00E54BE4">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36FCED92" w14:textId="77777777" w:rsidR="00E54BE4" w:rsidRPr="00E54BE4" w:rsidRDefault="00E54BE4" w:rsidP="00E54BE4">
      <w:pPr>
        <w:pStyle w:val="Bibliografia"/>
        <w:rPr>
          <w:lang w:val="en-US"/>
        </w:rPr>
      </w:pPr>
      <w:r w:rsidRPr="00E54BE4">
        <w:rPr>
          <w:lang w:val="en-US"/>
        </w:rPr>
        <w:t>16.</w:t>
      </w:r>
      <w:r w:rsidRPr="00E54BE4">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2032D647" w14:textId="77777777" w:rsidR="00E54BE4" w:rsidRPr="00E54BE4" w:rsidRDefault="00E54BE4" w:rsidP="00E54BE4">
      <w:pPr>
        <w:pStyle w:val="Bibliografia"/>
        <w:rPr>
          <w:lang w:val="en-US"/>
        </w:rPr>
      </w:pPr>
      <w:r w:rsidRPr="00E54BE4">
        <w:rPr>
          <w:lang w:val="en-US"/>
        </w:rPr>
        <w:t>17.</w:t>
      </w:r>
      <w:r w:rsidRPr="00E54BE4">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59532C45" w14:textId="77777777" w:rsidR="00E54BE4" w:rsidRPr="00E54BE4" w:rsidRDefault="00E54BE4" w:rsidP="00E54BE4">
      <w:pPr>
        <w:pStyle w:val="Bibliografia"/>
        <w:rPr>
          <w:lang w:val="en-US"/>
        </w:rPr>
      </w:pPr>
      <w:r w:rsidRPr="00E54BE4">
        <w:rPr>
          <w:lang w:val="en-US"/>
        </w:rPr>
        <w:t>18.</w:t>
      </w:r>
      <w:r w:rsidRPr="00E54BE4">
        <w:rPr>
          <w:lang w:val="en-US"/>
        </w:rPr>
        <w:tab/>
        <w:t xml:space="preserve">Campbell FG, Graham JG, Zilkha KJ. Clinical trial of carbazepine (tegretol) in trigeminal neuralgia. Journal of neurology, neurosurgery, and psychiatry. 1966;29(3):265. </w:t>
      </w:r>
    </w:p>
    <w:p w14:paraId="66D64208" w14:textId="77777777" w:rsidR="00E54BE4" w:rsidRPr="00E54BE4" w:rsidRDefault="00E54BE4" w:rsidP="00E54BE4">
      <w:pPr>
        <w:pStyle w:val="Bibliografia"/>
        <w:rPr>
          <w:lang w:val="en-US"/>
        </w:rPr>
      </w:pPr>
      <w:r w:rsidRPr="00E54BE4">
        <w:rPr>
          <w:lang w:val="en-US"/>
        </w:rPr>
        <w:t>19.</w:t>
      </w:r>
      <w:r w:rsidRPr="00E54BE4">
        <w:rPr>
          <w:lang w:val="en-US"/>
        </w:rPr>
        <w:tab/>
        <w:t xml:space="preserve">Khan OA. Gabapentin relieves trigeminal neuralgia in multiple sclerosis patients. Neurology. 1998;51(2):611–4. </w:t>
      </w:r>
    </w:p>
    <w:p w14:paraId="44B02D7C" w14:textId="77777777" w:rsidR="00E54BE4" w:rsidRPr="00E54BE4" w:rsidRDefault="00E54BE4" w:rsidP="00E54BE4">
      <w:pPr>
        <w:pStyle w:val="Bibliografia"/>
        <w:rPr>
          <w:lang w:val="en-US"/>
        </w:rPr>
      </w:pPr>
      <w:r w:rsidRPr="00E54BE4">
        <w:rPr>
          <w:lang w:val="en-US"/>
        </w:rPr>
        <w:t>20.</w:t>
      </w:r>
      <w:r w:rsidRPr="00E54BE4">
        <w:rPr>
          <w:lang w:val="en-US"/>
        </w:rPr>
        <w:tab/>
        <w:t xml:space="preserve">Taylor JC, Brauer S, Espir MLE. Long-term treatment of trigeminal neuralgia with carbamazepine. Postgraduate Medical Journal. 1981;57(663):16–8. </w:t>
      </w:r>
    </w:p>
    <w:p w14:paraId="35CDBC33" w14:textId="77777777" w:rsidR="00E54BE4" w:rsidRPr="00E54BE4" w:rsidRDefault="00E54BE4" w:rsidP="00E54BE4">
      <w:pPr>
        <w:pStyle w:val="Bibliografia"/>
        <w:rPr>
          <w:lang w:val="en-US"/>
        </w:rPr>
      </w:pPr>
      <w:r w:rsidRPr="00E54BE4">
        <w:rPr>
          <w:lang w:val="en-US"/>
        </w:rPr>
        <w:t>21.</w:t>
      </w:r>
      <w:r w:rsidRPr="00E54BE4">
        <w:rPr>
          <w:lang w:val="en-US"/>
        </w:rPr>
        <w:tab/>
        <w:t xml:space="preserve">Missios S, Mohammadi AM, Barnett GH. Percutaneous treatments for trigeminal neuralgia. Neurosurgery Clinics. 2014;25(4):751–62. </w:t>
      </w:r>
    </w:p>
    <w:p w14:paraId="30B9B550" w14:textId="77777777" w:rsidR="00E54BE4" w:rsidRPr="00E54BE4" w:rsidRDefault="00E54BE4" w:rsidP="00E54BE4">
      <w:pPr>
        <w:pStyle w:val="Bibliografia"/>
        <w:rPr>
          <w:lang w:val="en-US"/>
        </w:rPr>
      </w:pPr>
      <w:r w:rsidRPr="00E54BE4">
        <w:rPr>
          <w:lang w:val="en-US"/>
        </w:rPr>
        <w:t>22.</w:t>
      </w:r>
      <w:r w:rsidRPr="00E54BE4">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5F6D8E29" w14:textId="77777777" w:rsidR="00E54BE4" w:rsidRPr="00E54BE4" w:rsidRDefault="00E54BE4" w:rsidP="00E54BE4">
      <w:pPr>
        <w:pStyle w:val="Bibliografia"/>
        <w:rPr>
          <w:lang w:val="en-US"/>
        </w:rPr>
      </w:pPr>
      <w:r w:rsidRPr="00E54BE4">
        <w:rPr>
          <w:lang w:val="en-US"/>
        </w:rPr>
        <w:t>23.</w:t>
      </w:r>
      <w:r w:rsidRPr="00E54BE4">
        <w:rPr>
          <w:lang w:val="en-US"/>
        </w:rPr>
        <w:tab/>
        <w:t xml:space="preserve">Kouzounias K, Schechtmann G, Lind G, Winter J, Linderoth B. Factors that influence outcome of percutaneous balloon compression in the treatment of trigeminal neuralgia. Neurosurgery. 2010;67(4):925–34. </w:t>
      </w:r>
    </w:p>
    <w:p w14:paraId="08F39B68" w14:textId="77777777" w:rsidR="00E54BE4" w:rsidRPr="00E54BE4" w:rsidRDefault="00E54BE4" w:rsidP="00E54BE4">
      <w:pPr>
        <w:pStyle w:val="Bibliografia"/>
        <w:rPr>
          <w:lang w:val="en-US"/>
        </w:rPr>
      </w:pPr>
      <w:r w:rsidRPr="00E54BE4">
        <w:rPr>
          <w:lang w:val="en-US"/>
        </w:rPr>
        <w:t>24.</w:t>
      </w:r>
      <w:r w:rsidRPr="00E54BE4">
        <w:rPr>
          <w:lang w:val="en-US"/>
        </w:rPr>
        <w:tab/>
        <w:t xml:space="preserve">Corrêa CF, Teixeira MJ. Balloon compression of the Gasserian ganglion for the treatment of trigeminal neuralgia. Stereotactic and functional neurosurgery. 1999;71(2):83–9. </w:t>
      </w:r>
    </w:p>
    <w:p w14:paraId="049D9676" w14:textId="77777777" w:rsidR="00E54BE4" w:rsidRPr="00E54BE4" w:rsidRDefault="00E54BE4" w:rsidP="00E54BE4">
      <w:pPr>
        <w:pStyle w:val="Bibliografia"/>
        <w:rPr>
          <w:lang w:val="en-US"/>
        </w:rPr>
      </w:pPr>
      <w:r w:rsidRPr="00E54BE4">
        <w:rPr>
          <w:lang w:val="en-US"/>
        </w:rPr>
        <w:t>25.</w:t>
      </w:r>
      <w:r w:rsidRPr="00E54BE4">
        <w:rPr>
          <w:lang w:val="en-US"/>
        </w:rPr>
        <w:tab/>
        <w:t xml:space="preserve">Skirving DJ, Dan NG. A 20-year review of percutaneous balloon compression of the trigeminal ganglion. Journal of neurosurgery. 2001;94(6):913–7. </w:t>
      </w:r>
    </w:p>
    <w:p w14:paraId="2CA1F0C1" w14:textId="77777777" w:rsidR="00E54BE4" w:rsidRPr="00E54BE4" w:rsidRDefault="00E54BE4" w:rsidP="00E54BE4">
      <w:pPr>
        <w:pStyle w:val="Bibliografia"/>
        <w:rPr>
          <w:lang w:val="en-US"/>
        </w:rPr>
      </w:pPr>
      <w:r w:rsidRPr="00E54BE4">
        <w:rPr>
          <w:lang w:val="en-US"/>
        </w:rPr>
        <w:t>26.</w:t>
      </w:r>
      <w:r w:rsidRPr="00E54BE4">
        <w:rPr>
          <w:lang w:val="en-US"/>
        </w:rPr>
        <w:tab/>
        <w:t xml:space="preserve">Cheshire W. Trigeminal Neuralgia Feigns the Terrorist. Cephalalgia. abril de 2003;23(3):230–230. </w:t>
      </w:r>
    </w:p>
    <w:p w14:paraId="5B9DE551" w14:textId="77777777" w:rsidR="00E54BE4" w:rsidRPr="00861FD9" w:rsidRDefault="00E54BE4" w:rsidP="00E54BE4">
      <w:pPr>
        <w:pStyle w:val="Bibliografia"/>
        <w:rPr>
          <w:lang w:val="en-US"/>
        </w:rPr>
      </w:pPr>
      <w:r w:rsidRPr="00E54BE4">
        <w:rPr>
          <w:lang w:val="en-US"/>
        </w:rPr>
        <w:t>27.</w:t>
      </w:r>
      <w:r w:rsidRPr="00E54BE4">
        <w:rPr>
          <w:lang w:val="en-US"/>
        </w:rPr>
        <w:tab/>
        <w:t xml:space="preserve">Singh S, Verma R, Kumar M, Rastogi V, Bogra J. Experience with conventional radiofrequency thermorhizotomy in patients with failed medical management for trigeminal neuralgia. </w:t>
      </w:r>
      <w:r w:rsidRPr="00861FD9">
        <w:rPr>
          <w:lang w:val="en-US"/>
        </w:rPr>
        <w:t xml:space="preserve">The Korean Journal of Pain. 2014;27(3):260–5. </w:t>
      </w:r>
    </w:p>
    <w:p w14:paraId="3DB7F232" w14:textId="076BF9BA" w:rsidR="00432E8E" w:rsidRPr="00861FD9" w:rsidRDefault="00432E8E" w:rsidP="00432E8E">
      <w:pPr>
        <w:rPr>
          <w:lang w:val="en-US"/>
        </w:rPr>
      </w:pPr>
      <w:r>
        <w:fldChar w:fldCharType="end"/>
      </w:r>
    </w:p>
    <w:p w14:paraId="46D75AB3" w14:textId="4EBF65FC" w:rsidR="00432E8E" w:rsidRPr="00861FD9" w:rsidRDefault="00432E8E" w:rsidP="00432E8E">
      <w:pPr>
        <w:rPr>
          <w:lang w:val="en-US"/>
        </w:rPr>
      </w:pPr>
    </w:p>
    <w:p w14:paraId="01C648EF" w14:textId="1C98C073" w:rsidR="000C7353" w:rsidRPr="00861FD9" w:rsidRDefault="000C7353" w:rsidP="00C81291">
      <w:pPr>
        <w:rPr>
          <w:lang w:val="en-US"/>
        </w:rPr>
      </w:pPr>
    </w:p>
    <w:p w14:paraId="2EE8B60B" w14:textId="4F592C17" w:rsidR="002E77CE" w:rsidRPr="00861FD9" w:rsidRDefault="00026A98" w:rsidP="002E77CE">
      <w:pPr>
        <w:ind w:left="693"/>
        <w:rPr>
          <w:lang w:val="en-US"/>
        </w:rPr>
      </w:pPr>
      <w:r w:rsidRPr="00861FD9">
        <w:rPr>
          <w:lang w:val="en-US"/>
        </w:rPr>
        <w:tab/>
      </w:r>
    </w:p>
    <w:p w14:paraId="2AFD4400" w14:textId="77777777" w:rsidR="002E77CE" w:rsidRPr="00861FD9" w:rsidRDefault="002E77CE">
      <w:pPr>
        <w:spacing w:after="0" w:line="240" w:lineRule="auto"/>
        <w:ind w:left="0" w:right="0" w:firstLine="0"/>
        <w:jc w:val="left"/>
        <w:rPr>
          <w:lang w:val="en-US"/>
        </w:rPr>
      </w:pPr>
      <w:r w:rsidRPr="00861FD9">
        <w:rPr>
          <w:lang w:val="en-US"/>
        </w:rPr>
        <w:br w:type="page"/>
      </w:r>
    </w:p>
    <w:p w14:paraId="7BA6F6DB" w14:textId="50DF201B" w:rsidR="000C7353" w:rsidRPr="00861FD9" w:rsidRDefault="00861FD9" w:rsidP="002E77CE">
      <w:pPr>
        <w:ind w:left="693"/>
        <w:rPr>
          <w:lang w:val="en-US"/>
        </w:rPr>
      </w:pPr>
      <w:r w:rsidRPr="00861FD9">
        <w:rPr>
          <w:noProof/>
        </w:rPr>
        <w:lastRenderedPageBreak/>
        <w:drawing>
          <wp:anchor distT="0" distB="0" distL="114300" distR="114300" simplePos="0" relativeHeight="251664384" behindDoc="0" locked="0" layoutInCell="1" allowOverlap="1" wp14:anchorId="2FA3373E" wp14:editId="474013B9">
            <wp:simplePos x="0" y="0"/>
            <wp:positionH relativeFrom="column">
              <wp:posOffset>99888</wp:posOffset>
            </wp:positionH>
            <wp:positionV relativeFrom="paragraph">
              <wp:posOffset>396074</wp:posOffset>
            </wp:positionV>
            <wp:extent cx="6116320" cy="4702810"/>
            <wp:effectExtent l="0" t="0" r="0" b="2540"/>
            <wp:wrapTopAndBottom/>
            <wp:docPr id="3" name="Imagem 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abel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4702810"/>
                    </a:xfrm>
                    <a:prstGeom prst="rect">
                      <a:avLst/>
                    </a:prstGeom>
                  </pic:spPr>
                </pic:pic>
              </a:graphicData>
            </a:graphic>
          </wp:anchor>
        </w:drawing>
      </w:r>
      <w:r w:rsidR="002E77CE" w:rsidRPr="00861FD9">
        <w:rPr>
          <w:lang w:val="en-US"/>
        </w:rPr>
        <w:t>ANEXO 1 – CHECKLIST</w:t>
      </w:r>
      <w:r w:rsidRPr="00861FD9">
        <w:rPr>
          <w:lang w:val="en-US"/>
        </w:rPr>
        <w:t xml:space="preserve"> do CARE para o </w:t>
      </w:r>
      <w:proofErr w:type="spellStart"/>
      <w:r w:rsidRPr="00861FD9">
        <w:rPr>
          <w:lang w:val="en-US"/>
        </w:rPr>
        <w:t>relato</w:t>
      </w:r>
      <w:proofErr w:type="spellEnd"/>
      <w:r w:rsidRPr="00861FD9">
        <w:rPr>
          <w:lang w:val="en-US"/>
        </w:rPr>
        <w:t xml:space="preserve"> de </w:t>
      </w:r>
      <w:proofErr w:type="spellStart"/>
      <w:r w:rsidRPr="00861FD9">
        <w:rPr>
          <w:lang w:val="en-US"/>
        </w:rPr>
        <w:t>caso</w:t>
      </w:r>
      <w:proofErr w:type="spellEnd"/>
      <w:r w:rsidRPr="00861FD9">
        <w:rPr>
          <w:lang w:val="en-US"/>
        </w:rPr>
        <w:t>.</w:t>
      </w:r>
      <w:r w:rsidR="002E77CE" w:rsidRPr="00861FD9">
        <w:rPr>
          <w:lang w:val="en-US"/>
        </w:rPr>
        <w:t xml:space="preserve"> </w:t>
      </w:r>
    </w:p>
    <w:p w14:paraId="1446BB9D" w14:textId="1DC453E7" w:rsidR="00020824" w:rsidRPr="00861FD9" w:rsidRDefault="00020824" w:rsidP="002E77CE">
      <w:pPr>
        <w:ind w:left="693"/>
        <w:rPr>
          <w:lang w:val="en-US"/>
        </w:rPr>
      </w:pPr>
    </w:p>
    <w:p w14:paraId="02660248" w14:textId="3A8D1158" w:rsidR="00020824" w:rsidRPr="00861FD9" w:rsidRDefault="00020824" w:rsidP="002E77CE">
      <w:pPr>
        <w:ind w:left="693"/>
        <w:rPr>
          <w:lang w:val="en-US"/>
        </w:rPr>
      </w:pPr>
    </w:p>
    <w:sectPr w:rsidR="00020824" w:rsidRPr="00861FD9" w:rsidSect="009A02DE">
      <w:pgSz w:w="11900" w:h="16840"/>
      <w:pgMar w:top="1418" w:right="1134" w:bottom="1418" w:left="1134" w:header="711"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B3F8" w14:textId="77777777" w:rsidR="007E4A37" w:rsidRDefault="007E4A37" w:rsidP="00C81291">
      <w:r>
        <w:separator/>
      </w:r>
    </w:p>
  </w:endnote>
  <w:endnote w:type="continuationSeparator" w:id="0">
    <w:p w14:paraId="5B399251" w14:textId="77777777" w:rsidR="007E4A37" w:rsidRDefault="007E4A37"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6D92" w14:textId="77777777" w:rsidR="007E4A37" w:rsidRDefault="007E4A37" w:rsidP="00C81291">
      <w:r>
        <w:separator/>
      </w:r>
    </w:p>
  </w:footnote>
  <w:footnote w:type="continuationSeparator" w:id="0">
    <w:p w14:paraId="194EA823" w14:textId="77777777" w:rsidR="007E4A37" w:rsidRDefault="007E4A37"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4449"/>
    <w:rsid w:val="00026A98"/>
    <w:rsid w:val="000273B0"/>
    <w:rsid w:val="000538F5"/>
    <w:rsid w:val="00057331"/>
    <w:rsid w:val="00083EE4"/>
    <w:rsid w:val="00086266"/>
    <w:rsid w:val="00086675"/>
    <w:rsid w:val="00093BEE"/>
    <w:rsid w:val="000A22AF"/>
    <w:rsid w:val="000A5C10"/>
    <w:rsid w:val="000B245C"/>
    <w:rsid w:val="000C7353"/>
    <w:rsid w:val="000D0E41"/>
    <w:rsid w:val="000D2349"/>
    <w:rsid w:val="000E5AF0"/>
    <w:rsid w:val="000F010F"/>
    <w:rsid w:val="000F17ED"/>
    <w:rsid w:val="001238AA"/>
    <w:rsid w:val="00127ECC"/>
    <w:rsid w:val="00130713"/>
    <w:rsid w:val="001311FD"/>
    <w:rsid w:val="00137F6B"/>
    <w:rsid w:val="00141200"/>
    <w:rsid w:val="00152452"/>
    <w:rsid w:val="00154E9E"/>
    <w:rsid w:val="001777D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21BE"/>
    <w:rsid w:val="002353FB"/>
    <w:rsid w:val="00241308"/>
    <w:rsid w:val="00241B5E"/>
    <w:rsid w:val="00266973"/>
    <w:rsid w:val="00270796"/>
    <w:rsid w:val="002734D6"/>
    <w:rsid w:val="002816D8"/>
    <w:rsid w:val="00295611"/>
    <w:rsid w:val="002A17EF"/>
    <w:rsid w:val="002A4096"/>
    <w:rsid w:val="002B0E90"/>
    <w:rsid w:val="002B22CA"/>
    <w:rsid w:val="002C164C"/>
    <w:rsid w:val="002C3B26"/>
    <w:rsid w:val="002C6189"/>
    <w:rsid w:val="002E77CE"/>
    <w:rsid w:val="002F16D3"/>
    <w:rsid w:val="003045CD"/>
    <w:rsid w:val="00304BFE"/>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B3217"/>
    <w:rsid w:val="003B5068"/>
    <w:rsid w:val="003C2605"/>
    <w:rsid w:val="003C31A5"/>
    <w:rsid w:val="003C4DEE"/>
    <w:rsid w:val="003E4227"/>
    <w:rsid w:val="00400A76"/>
    <w:rsid w:val="004153CF"/>
    <w:rsid w:val="00422568"/>
    <w:rsid w:val="004257FC"/>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2861"/>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371AD"/>
    <w:rsid w:val="00646A23"/>
    <w:rsid w:val="00662966"/>
    <w:rsid w:val="00673500"/>
    <w:rsid w:val="00677CDF"/>
    <w:rsid w:val="00677F05"/>
    <w:rsid w:val="00683832"/>
    <w:rsid w:val="00683B9F"/>
    <w:rsid w:val="00684FD7"/>
    <w:rsid w:val="00693FD2"/>
    <w:rsid w:val="006A39CE"/>
    <w:rsid w:val="006B1F84"/>
    <w:rsid w:val="006B4FC5"/>
    <w:rsid w:val="006D6924"/>
    <w:rsid w:val="006E6E20"/>
    <w:rsid w:val="006E7C16"/>
    <w:rsid w:val="006F1D84"/>
    <w:rsid w:val="006F41FB"/>
    <w:rsid w:val="00711766"/>
    <w:rsid w:val="00714C81"/>
    <w:rsid w:val="00715ACF"/>
    <w:rsid w:val="00723709"/>
    <w:rsid w:val="007249B3"/>
    <w:rsid w:val="0072790E"/>
    <w:rsid w:val="00734A49"/>
    <w:rsid w:val="00740C22"/>
    <w:rsid w:val="007436F7"/>
    <w:rsid w:val="00745C5C"/>
    <w:rsid w:val="00752453"/>
    <w:rsid w:val="00760A57"/>
    <w:rsid w:val="00760DFA"/>
    <w:rsid w:val="007709EA"/>
    <w:rsid w:val="00772BFF"/>
    <w:rsid w:val="00775046"/>
    <w:rsid w:val="00784233"/>
    <w:rsid w:val="0079224F"/>
    <w:rsid w:val="007954A5"/>
    <w:rsid w:val="007C4229"/>
    <w:rsid w:val="007C7270"/>
    <w:rsid w:val="007D05D4"/>
    <w:rsid w:val="007D260A"/>
    <w:rsid w:val="007E11BD"/>
    <w:rsid w:val="007E4A37"/>
    <w:rsid w:val="007F0827"/>
    <w:rsid w:val="007F4406"/>
    <w:rsid w:val="0081019E"/>
    <w:rsid w:val="008252AB"/>
    <w:rsid w:val="00861FD9"/>
    <w:rsid w:val="00871022"/>
    <w:rsid w:val="00880A48"/>
    <w:rsid w:val="00883822"/>
    <w:rsid w:val="00890FF7"/>
    <w:rsid w:val="00895F0E"/>
    <w:rsid w:val="00896AF4"/>
    <w:rsid w:val="008A040D"/>
    <w:rsid w:val="008A52BF"/>
    <w:rsid w:val="008C2743"/>
    <w:rsid w:val="008C4D3C"/>
    <w:rsid w:val="008D3C89"/>
    <w:rsid w:val="008D6294"/>
    <w:rsid w:val="008E2E1D"/>
    <w:rsid w:val="008E5F39"/>
    <w:rsid w:val="008F10F6"/>
    <w:rsid w:val="008F162B"/>
    <w:rsid w:val="008F3C03"/>
    <w:rsid w:val="008F4372"/>
    <w:rsid w:val="00903CFF"/>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81531"/>
    <w:rsid w:val="00996AD5"/>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2C3C"/>
    <w:rsid w:val="00AC50B7"/>
    <w:rsid w:val="00AD4A55"/>
    <w:rsid w:val="00AE4BDD"/>
    <w:rsid w:val="00AF4AA4"/>
    <w:rsid w:val="00AF57CC"/>
    <w:rsid w:val="00B15CF8"/>
    <w:rsid w:val="00B16B07"/>
    <w:rsid w:val="00B231DB"/>
    <w:rsid w:val="00B3140C"/>
    <w:rsid w:val="00B402B4"/>
    <w:rsid w:val="00B4557A"/>
    <w:rsid w:val="00B538F3"/>
    <w:rsid w:val="00B62177"/>
    <w:rsid w:val="00B77873"/>
    <w:rsid w:val="00B9497B"/>
    <w:rsid w:val="00B94DB1"/>
    <w:rsid w:val="00BA2B55"/>
    <w:rsid w:val="00BC04C4"/>
    <w:rsid w:val="00BC3484"/>
    <w:rsid w:val="00BC44CE"/>
    <w:rsid w:val="00BC6D4E"/>
    <w:rsid w:val="00BC7F9C"/>
    <w:rsid w:val="00BD31E8"/>
    <w:rsid w:val="00BD6CFE"/>
    <w:rsid w:val="00BE3381"/>
    <w:rsid w:val="00C109AA"/>
    <w:rsid w:val="00C1153A"/>
    <w:rsid w:val="00C15BBF"/>
    <w:rsid w:val="00C2052D"/>
    <w:rsid w:val="00C3004C"/>
    <w:rsid w:val="00C34DE4"/>
    <w:rsid w:val="00C352A2"/>
    <w:rsid w:val="00C3790C"/>
    <w:rsid w:val="00C51295"/>
    <w:rsid w:val="00C56B85"/>
    <w:rsid w:val="00C640AC"/>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CD2486"/>
    <w:rsid w:val="00D250D6"/>
    <w:rsid w:val="00D37D29"/>
    <w:rsid w:val="00D52845"/>
    <w:rsid w:val="00D61E5F"/>
    <w:rsid w:val="00D61FD1"/>
    <w:rsid w:val="00D742F8"/>
    <w:rsid w:val="00D86621"/>
    <w:rsid w:val="00D9178B"/>
    <w:rsid w:val="00DA21DF"/>
    <w:rsid w:val="00DB3EE7"/>
    <w:rsid w:val="00DB418B"/>
    <w:rsid w:val="00DB6BD9"/>
    <w:rsid w:val="00DB6D72"/>
    <w:rsid w:val="00DC6A0E"/>
    <w:rsid w:val="00DD241D"/>
    <w:rsid w:val="00DD32A7"/>
    <w:rsid w:val="00DE4970"/>
    <w:rsid w:val="00E02AAF"/>
    <w:rsid w:val="00E21B12"/>
    <w:rsid w:val="00E24F35"/>
    <w:rsid w:val="00E306FD"/>
    <w:rsid w:val="00E40AA5"/>
    <w:rsid w:val="00E53424"/>
    <w:rsid w:val="00E54BE4"/>
    <w:rsid w:val="00E55E5F"/>
    <w:rsid w:val="00E67E44"/>
    <w:rsid w:val="00E82D49"/>
    <w:rsid w:val="00EB088C"/>
    <w:rsid w:val="00EB1C38"/>
    <w:rsid w:val="00EB25ED"/>
    <w:rsid w:val="00EB42F5"/>
    <w:rsid w:val="00EB44AF"/>
    <w:rsid w:val="00EB4E01"/>
    <w:rsid w:val="00EC09F9"/>
    <w:rsid w:val="00EC2A31"/>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42ED5"/>
    <w:rsid w:val="00F54469"/>
    <w:rsid w:val="00F55415"/>
    <w:rsid w:val="00F6701A"/>
    <w:rsid w:val="00F6726C"/>
    <w:rsid w:val="00F735B0"/>
    <w:rsid w:val="00F75581"/>
    <w:rsid w:val="00F8486E"/>
    <w:rsid w:val="00F855A3"/>
    <w:rsid w:val="00FA0EA8"/>
    <w:rsid w:val="00FA2293"/>
    <w:rsid w:val="00FB02DB"/>
    <w:rsid w:val="00FB6F0C"/>
    <w:rsid w:val="00FB7A81"/>
    <w:rsid w:val="00FB7D89"/>
    <w:rsid w:val="00FC5A58"/>
    <w:rsid w:val="00FD05C2"/>
    <w:rsid w:val="00FD3B35"/>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67484356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quator-network.or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statement.org/check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9511</Words>
  <Characters>51363</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3</cp:revision>
  <dcterms:created xsi:type="dcterms:W3CDTF">2023-11-27T21:46:00Z</dcterms:created>
  <dcterms:modified xsi:type="dcterms:W3CDTF">2023-11-28T00:31:00Z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id="RL3Ppabk"/&gt;&lt;style id="http://www.zotero.org/styles/vancouver" locale="pt-BR" hasBibliography="1" bibliographyStyleHasBeenSet="1"/&gt;&lt;prefs&gt;&lt;pref name="fieldType" value="Field"/&gt;&lt;/prefs&gt;&lt;/data&gt;</vt:lpwstr>
  </property>
</Properties>
</file>