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E593A" w14:textId="77777777" w:rsidR="002553DD" w:rsidRDefault="002553DD" w:rsidP="002553DD">
      <w:pPr>
        <w:rPr>
          <w:b/>
          <w:bCs/>
        </w:rPr>
      </w:pPr>
      <w:r w:rsidRPr="00AC2DCD">
        <w:rPr>
          <w:b/>
          <w:bCs/>
        </w:rPr>
        <w:t xml:space="preserve">MATERIAIS E MÉTODOS </w:t>
      </w:r>
    </w:p>
    <w:p w14:paraId="59E1C65A" w14:textId="77777777" w:rsidR="002553DD" w:rsidRDefault="002553DD" w:rsidP="002553DD">
      <w:pPr>
        <w:rPr>
          <w:b/>
          <w:bCs/>
        </w:rPr>
      </w:pPr>
    </w:p>
    <w:p w14:paraId="458351F2" w14:textId="77777777" w:rsidR="002553DD" w:rsidRPr="00AC2DCD" w:rsidRDefault="002553DD" w:rsidP="002553DD">
      <w:pPr>
        <w:rPr>
          <w:b/>
          <w:bCs/>
        </w:rPr>
      </w:pPr>
      <w:r>
        <w:rPr>
          <w:b/>
          <w:bCs/>
        </w:rPr>
        <w:t>População</w:t>
      </w:r>
    </w:p>
    <w:p w14:paraId="59EB964A" w14:textId="77777777" w:rsidR="002553DD" w:rsidRDefault="002553DD" w:rsidP="002553DD">
      <w:pPr>
        <w:ind w:firstLine="708"/>
      </w:pPr>
      <w:r w:rsidRPr="00AC2DCD">
        <w:t>Foi realizado um estudo retrospectivo</w:t>
      </w:r>
      <w:r>
        <w:t xml:space="preserve"> através de levantamento de prontuários de pacientes atendidas na Clínica Nilo Frantz de Medicina Reprodutiva, localizada em São Paulo, Brasil, de janeiro de 2022 a agosto de 2023, submetidas ao tratamento de estimulação ovariana controlada para fertilização in vitro (FIV) com injeção intracitoplasmática do </w:t>
      </w:r>
      <w:proofErr w:type="spellStart"/>
      <w:r>
        <w:t>espermatozóide</w:t>
      </w:r>
      <w:proofErr w:type="spellEnd"/>
      <w:r>
        <w:t xml:space="preserve"> (ICSI). </w:t>
      </w:r>
    </w:p>
    <w:p w14:paraId="3DF18BDF" w14:textId="77777777" w:rsidR="002553DD" w:rsidRDefault="002553DD" w:rsidP="002553DD">
      <w:pPr>
        <w:ind w:firstLine="708"/>
      </w:pPr>
      <w:r>
        <w:t>Os critérios</w:t>
      </w:r>
      <w:r w:rsidRPr="00600A21">
        <w:t xml:space="preserve"> de inclusão</w:t>
      </w:r>
      <w:r>
        <w:t xml:space="preserve"> foram mulheres com idade inferior a 40 anos, que tinham ciclos menstruais regulares nos últimos 3 meses (25 a 35 dias de duração), com reserva ovariana normal, definida pelo hormônio </w:t>
      </w:r>
      <w:proofErr w:type="spellStart"/>
      <w:r>
        <w:t>anti</w:t>
      </w:r>
      <w:proofErr w:type="spellEnd"/>
      <w:r>
        <w:t xml:space="preserve"> </w:t>
      </w:r>
      <w:proofErr w:type="spellStart"/>
      <w:r>
        <w:t>mulleriano</w:t>
      </w:r>
      <w:proofErr w:type="spellEnd"/>
      <w:r>
        <w:t xml:space="preserve"> (HAM) superior a 1ng/</w:t>
      </w:r>
      <w:proofErr w:type="spellStart"/>
      <w:r>
        <w:t>mL</w:t>
      </w:r>
      <w:proofErr w:type="spellEnd"/>
      <w:r>
        <w:t>.</w:t>
      </w:r>
    </w:p>
    <w:p w14:paraId="768FAE91" w14:textId="77777777" w:rsidR="002553DD" w:rsidRDefault="002553DD" w:rsidP="002553DD">
      <w:pPr>
        <w:ind w:firstLine="708"/>
      </w:pPr>
      <w:r>
        <w:t>Foram excluídos deste estudo todos os ciclos cujas mulheres tinham mais de 40 anos de idade, HAM inferior a 1ng/</w:t>
      </w:r>
      <w:proofErr w:type="spellStart"/>
      <w:r>
        <w:t>mL</w:t>
      </w:r>
      <w:proofErr w:type="spellEnd"/>
      <w:r>
        <w:t>, diagnóstico de endometriose grau 3 ou mais, mulheres com obesidade grau 3, sendo o índice de massa corpórea (IMC) maior que 35Kg/m</w:t>
      </w:r>
      <w:r w:rsidRPr="00357CCA">
        <w:rPr>
          <w:vertAlign w:val="superscript"/>
        </w:rPr>
        <w:t>2</w:t>
      </w:r>
      <w:r>
        <w:t>, presença de cisto ovariano com estradiol superior a 100pg/</w:t>
      </w:r>
      <w:proofErr w:type="spellStart"/>
      <w:r>
        <w:t>mL</w:t>
      </w:r>
      <w:proofErr w:type="spellEnd"/>
      <w:r>
        <w:t xml:space="preserve"> no início do ciclo, mulheres que tinham recebido tratamentos hormonais nos 3 meses anteriores, ou ainda com qualquer contraindicação ao tratamento de estimulação ovariana.</w:t>
      </w:r>
    </w:p>
    <w:p w14:paraId="0128F89A" w14:textId="77777777" w:rsidR="002553DD" w:rsidRDefault="002553DD" w:rsidP="002553DD">
      <w:pPr>
        <w:ind w:firstLine="708"/>
      </w:pPr>
      <w:r>
        <w:t xml:space="preserve">Um total de 52 ciclos foram selecionados para este estudo após aplicação dos critérios de inclusão e exclusão e alocados em 2 grupos que utilizaram protocolos de estimulação ovariana controlada com bloqueios distintos. </w:t>
      </w:r>
    </w:p>
    <w:p w14:paraId="1BD5CC18" w14:textId="0EF6C02B" w:rsidR="002553DD" w:rsidRDefault="002553DD" w:rsidP="002553DD">
      <w:pPr>
        <w:ind w:firstLine="708"/>
      </w:pPr>
      <w:r>
        <w:t xml:space="preserve">O grupo denominado, Grupo </w:t>
      </w:r>
      <w:proofErr w:type="spellStart"/>
      <w:r>
        <w:t>Didrogesterona</w:t>
      </w:r>
      <w:proofErr w:type="spellEnd"/>
      <w:r>
        <w:t xml:space="preserve"> utilizou Gonadotro</w:t>
      </w:r>
      <w:r w:rsidR="00E02E8D">
        <w:t>f</w:t>
      </w:r>
      <w:r>
        <w:t>ina menopáusica humana (</w:t>
      </w:r>
      <w:proofErr w:type="spellStart"/>
      <w:r w:rsidRPr="00AA6E48">
        <w:t>menotropina</w:t>
      </w:r>
      <w:proofErr w:type="spellEnd"/>
      <w:r>
        <w:t>,</w:t>
      </w:r>
      <w:r w:rsidRPr="00DA719F">
        <w:t xml:space="preserve"> </w:t>
      </w:r>
      <w:proofErr w:type="spellStart"/>
      <w:r w:rsidRPr="00FD5ADA">
        <w:rPr>
          <w:i/>
          <w:iCs/>
        </w:rPr>
        <w:t>Ferring</w:t>
      </w:r>
      <w:proofErr w:type="spellEnd"/>
      <w:r w:rsidRPr="00FD5ADA">
        <w:rPr>
          <w:i/>
          <w:iCs/>
        </w:rPr>
        <w:t xml:space="preserve"> </w:t>
      </w:r>
      <w:proofErr w:type="spellStart"/>
      <w:r w:rsidRPr="00FD5ADA">
        <w:rPr>
          <w:i/>
          <w:iCs/>
        </w:rPr>
        <w:t>Pharmaceuticals</w:t>
      </w:r>
      <w:proofErr w:type="spellEnd"/>
      <w:r>
        <w:t xml:space="preserve">) e/ou </w:t>
      </w:r>
      <w:r w:rsidR="00EC2A05">
        <w:t>Hormônio Folículo estimulante</w:t>
      </w:r>
      <w:r>
        <w:t xml:space="preserve"> recombinante (</w:t>
      </w:r>
      <w:proofErr w:type="spellStart"/>
      <w:r w:rsidRPr="00AA6E48">
        <w:t>alfafolitropina</w:t>
      </w:r>
      <w:proofErr w:type="spellEnd"/>
      <w:r>
        <w:t xml:space="preserve">, </w:t>
      </w:r>
      <w:r w:rsidRPr="00F01222">
        <w:rPr>
          <w:i/>
          <w:iCs/>
        </w:rPr>
        <w:t>Merck</w:t>
      </w:r>
      <w:r>
        <w:t>) e supressão hipofisária com progesterona (</w:t>
      </w:r>
      <w:proofErr w:type="spellStart"/>
      <w:r>
        <w:t>didrogesterona</w:t>
      </w:r>
      <w:proofErr w:type="spellEnd"/>
      <w:r>
        <w:t xml:space="preserve">; 20 a 30mg/dia; </w:t>
      </w:r>
      <w:r w:rsidRPr="00F01222">
        <w:rPr>
          <w:i/>
          <w:iCs/>
        </w:rPr>
        <w:t>Abbott</w:t>
      </w:r>
      <w:r>
        <w:t>). Ambos iniciados no segundo ou terceiro dia do ciclo. O monitoramento folicular foi feito através de controle ecográfico no primeiro dia de estimulação, quinto dia e depois, a cada 2 dias até a</w:t>
      </w:r>
      <w:r w:rsidRPr="00AA6E48">
        <w:t xml:space="preserve"> </w:t>
      </w:r>
      <w:r>
        <w:t xml:space="preserve">maturação </w:t>
      </w:r>
      <w:proofErr w:type="spellStart"/>
      <w:r>
        <w:t>oocitária</w:t>
      </w:r>
      <w:proofErr w:type="spellEnd"/>
      <w:r>
        <w:t xml:space="preserve"> final, que ocorreu quando havia 2 ou mais folículos acima de 18mm de diâmetro médio. A maturação </w:t>
      </w:r>
      <w:proofErr w:type="spellStart"/>
      <w:r>
        <w:t>oocitária</w:t>
      </w:r>
      <w:proofErr w:type="spellEnd"/>
      <w:r>
        <w:t xml:space="preserve"> final procedeu-se através de </w:t>
      </w:r>
      <w:r w:rsidRPr="00FD5ADA">
        <w:rPr>
          <w:i/>
          <w:iCs/>
        </w:rPr>
        <w:t>trigger</w:t>
      </w:r>
      <w:r>
        <w:t xml:space="preserve"> com agonista de </w:t>
      </w:r>
      <w:proofErr w:type="spellStart"/>
      <w:r>
        <w:t>GnRH</w:t>
      </w:r>
      <w:proofErr w:type="spellEnd"/>
      <w:r>
        <w:t xml:space="preserve"> (</w:t>
      </w:r>
      <w:proofErr w:type="spellStart"/>
      <w:r>
        <w:t>t</w:t>
      </w:r>
      <w:r w:rsidRPr="00DA719F">
        <w:t>riptorrelina</w:t>
      </w:r>
      <w:proofErr w:type="spellEnd"/>
      <w:r>
        <w:t xml:space="preserve"> 0,2mg; </w:t>
      </w:r>
      <w:proofErr w:type="spellStart"/>
      <w:r w:rsidRPr="00F01222">
        <w:rPr>
          <w:i/>
          <w:iCs/>
        </w:rPr>
        <w:t>Ferring</w:t>
      </w:r>
      <w:proofErr w:type="spellEnd"/>
      <w:r w:rsidRPr="00F01222">
        <w:rPr>
          <w:i/>
          <w:iCs/>
        </w:rPr>
        <w:t xml:space="preserve"> </w:t>
      </w:r>
      <w:proofErr w:type="spellStart"/>
      <w:r w:rsidRPr="00F01222">
        <w:rPr>
          <w:i/>
          <w:iCs/>
        </w:rPr>
        <w:t>Pharmaceuticals</w:t>
      </w:r>
      <w:proofErr w:type="spellEnd"/>
      <w:r>
        <w:t xml:space="preserve">). A aspiração dos folículos para recuperação dos </w:t>
      </w:r>
      <w:proofErr w:type="spellStart"/>
      <w:r>
        <w:t>oócitos</w:t>
      </w:r>
      <w:proofErr w:type="spellEnd"/>
      <w:r>
        <w:t xml:space="preserve"> ocorreu após 34-36 h do </w:t>
      </w:r>
      <w:r w:rsidRPr="00FD5ADA">
        <w:rPr>
          <w:i/>
          <w:iCs/>
        </w:rPr>
        <w:t>trigger</w:t>
      </w:r>
      <w:r>
        <w:t>. Todos os folículos com mais de 10mm foram puncionados.</w:t>
      </w:r>
    </w:p>
    <w:p w14:paraId="74036545" w14:textId="69BC06A2" w:rsidR="002553DD" w:rsidRDefault="002553DD" w:rsidP="002553DD">
      <w:pPr>
        <w:ind w:firstLine="708"/>
      </w:pPr>
      <w:r>
        <w:t>O grupo denominado, Grupo Antagonista</w:t>
      </w:r>
      <w:r w:rsidRPr="00FD5ADA">
        <w:t xml:space="preserve"> </w:t>
      </w:r>
      <w:r>
        <w:t>utilizou Gonadotro</w:t>
      </w:r>
      <w:r w:rsidR="00E02E8D">
        <w:t>f</w:t>
      </w:r>
      <w:r>
        <w:t>ina menopáusica humana (</w:t>
      </w:r>
      <w:proofErr w:type="spellStart"/>
      <w:r w:rsidRPr="00AA6E48">
        <w:t>menotropina</w:t>
      </w:r>
      <w:proofErr w:type="spellEnd"/>
      <w:r>
        <w:t>,</w:t>
      </w:r>
      <w:r w:rsidRPr="00DA719F">
        <w:t xml:space="preserve"> </w:t>
      </w:r>
      <w:proofErr w:type="spellStart"/>
      <w:r w:rsidRPr="00FD5ADA">
        <w:rPr>
          <w:i/>
          <w:iCs/>
        </w:rPr>
        <w:t>Ferring</w:t>
      </w:r>
      <w:proofErr w:type="spellEnd"/>
      <w:r w:rsidRPr="00FD5ADA">
        <w:rPr>
          <w:i/>
          <w:iCs/>
        </w:rPr>
        <w:t xml:space="preserve"> </w:t>
      </w:r>
      <w:proofErr w:type="spellStart"/>
      <w:r w:rsidRPr="00FD5ADA">
        <w:rPr>
          <w:i/>
          <w:iCs/>
        </w:rPr>
        <w:t>Pharmaceuticals</w:t>
      </w:r>
      <w:proofErr w:type="spellEnd"/>
      <w:r>
        <w:t>) e/ou FSH recombinante (</w:t>
      </w:r>
      <w:proofErr w:type="spellStart"/>
      <w:r w:rsidRPr="00AA6E48">
        <w:t>alfafolitropina</w:t>
      </w:r>
      <w:proofErr w:type="spellEnd"/>
      <w:r>
        <w:t xml:space="preserve">, </w:t>
      </w:r>
      <w:r w:rsidRPr="00F01222">
        <w:rPr>
          <w:i/>
          <w:iCs/>
        </w:rPr>
        <w:t>Merck</w:t>
      </w:r>
      <w:r>
        <w:t xml:space="preserve">) e supressão hipofisária com antagonista do </w:t>
      </w:r>
      <w:proofErr w:type="spellStart"/>
      <w:r>
        <w:t>GnrH</w:t>
      </w:r>
      <w:proofErr w:type="spellEnd"/>
      <w:r>
        <w:t xml:space="preserve"> (</w:t>
      </w:r>
      <w:r w:rsidRPr="00AA6E48">
        <w:t xml:space="preserve">Acetato de </w:t>
      </w:r>
      <w:proofErr w:type="spellStart"/>
      <w:r w:rsidRPr="00AA6E48">
        <w:t>Cetrorrelix</w:t>
      </w:r>
      <w:proofErr w:type="spellEnd"/>
      <w:r>
        <w:t xml:space="preserve">; 0,25mg; Merck), sendo este último introduzido quando existiam folículos com diâmetro maior ou igual a 13mm. </w:t>
      </w:r>
      <w:r w:rsidRPr="00AA6E48">
        <w:t xml:space="preserve">O monitoramento folicular foi feito através de controle </w:t>
      </w:r>
      <w:r>
        <w:t>eco</w:t>
      </w:r>
      <w:r w:rsidRPr="00AA6E48">
        <w:t xml:space="preserve">gráfico no primeiro dia de estimulação, quinto dia e depois a cada 2 dias até </w:t>
      </w:r>
      <w:r>
        <w:t>a</w:t>
      </w:r>
      <w:r w:rsidRPr="00AA6E48">
        <w:t xml:space="preserve"> </w:t>
      </w:r>
      <w:r>
        <w:t xml:space="preserve">maturação </w:t>
      </w:r>
      <w:proofErr w:type="spellStart"/>
      <w:r>
        <w:t>oocitária</w:t>
      </w:r>
      <w:proofErr w:type="spellEnd"/>
      <w:r>
        <w:t xml:space="preserve"> final,</w:t>
      </w:r>
      <w:r w:rsidRPr="00AA6E48">
        <w:t xml:space="preserve"> que ocorreu quando havia 2 ou mais folículos acima de 18mm de diâmetro médio. A maturação </w:t>
      </w:r>
      <w:proofErr w:type="spellStart"/>
      <w:r w:rsidRPr="00AA6E48">
        <w:t>oocitária</w:t>
      </w:r>
      <w:proofErr w:type="spellEnd"/>
      <w:r w:rsidRPr="00AA6E48">
        <w:t xml:space="preserve"> final </w:t>
      </w:r>
      <w:r>
        <w:t>procedeu-se através</w:t>
      </w:r>
      <w:r w:rsidRPr="00AA6E48">
        <w:t xml:space="preserve"> de </w:t>
      </w:r>
      <w:r w:rsidRPr="00F01222">
        <w:rPr>
          <w:i/>
          <w:iCs/>
        </w:rPr>
        <w:t xml:space="preserve">trigger </w:t>
      </w:r>
      <w:r w:rsidRPr="00AA6E48">
        <w:t xml:space="preserve">com agonista de </w:t>
      </w:r>
      <w:proofErr w:type="spellStart"/>
      <w:r w:rsidRPr="00AA6E48">
        <w:t>GnRH</w:t>
      </w:r>
      <w:proofErr w:type="spellEnd"/>
      <w:r w:rsidRPr="00AA6E48">
        <w:t xml:space="preserve"> </w:t>
      </w:r>
      <w:r>
        <w:t>(</w:t>
      </w:r>
      <w:proofErr w:type="spellStart"/>
      <w:r w:rsidRPr="00AA6E48">
        <w:t>triptorrelina</w:t>
      </w:r>
      <w:proofErr w:type="spellEnd"/>
      <w:r w:rsidRPr="00AA6E48">
        <w:t xml:space="preserve"> 0,2mg; </w:t>
      </w:r>
      <w:proofErr w:type="spellStart"/>
      <w:r w:rsidRPr="00F01222">
        <w:rPr>
          <w:i/>
          <w:iCs/>
        </w:rPr>
        <w:t>Ferring</w:t>
      </w:r>
      <w:proofErr w:type="spellEnd"/>
      <w:r w:rsidRPr="00F01222">
        <w:rPr>
          <w:i/>
          <w:iCs/>
        </w:rPr>
        <w:t xml:space="preserve"> </w:t>
      </w:r>
      <w:proofErr w:type="spellStart"/>
      <w:r w:rsidRPr="00F01222">
        <w:rPr>
          <w:i/>
          <w:iCs/>
        </w:rPr>
        <w:t>Pharmaceuticals</w:t>
      </w:r>
      <w:proofErr w:type="spellEnd"/>
      <w:r w:rsidRPr="00AA6E48">
        <w:t>)</w:t>
      </w:r>
      <w:r>
        <w:t>. A a</w:t>
      </w:r>
      <w:r w:rsidRPr="00AA6E48">
        <w:t xml:space="preserve">spiração dos folículos para recuperação dos </w:t>
      </w:r>
      <w:proofErr w:type="spellStart"/>
      <w:r w:rsidRPr="00AA6E48">
        <w:t>oócitos</w:t>
      </w:r>
      <w:proofErr w:type="spellEnd"/>
      <w:r w:rsidRPr="00AA6E48">
        <w:t xml:space="preserve"> ocorreu após 34-36 h do </w:t>
      </w:r>
      <w:r w:rsidRPr="00F01222">
        <w:rPr>
          <w:i/>
          <w:iCs/>
        </w:rPr>
        <w:t>trigger</w:t>
      </w:r>
      <w:r w:rsidRPr="00AA6E48">
        <w:t>. Todos os folículos com mais de 10mm fo</w:t>
      </w:r>
      <w:r>
        <w:t>ram</w:t>
      </w:r>
      <w:r w:rsidRPr="00AA6E48">
        <w:t xml:space="preserve"> puncionados.</w:t>
      </w:r>
    </w:p>
    <w:p w14:paraId="41510862" w14:textId="77777777" w:rsidR="002553DD" w:rsidRDefault="002553DD" w:rsidP="002553DD">
      <w:pPr>
        <w:ind w:firstLine="708"/>
      </w:pPr>
      <w:r>
        <w:t xml:space="preserve">A fertilização dos </w:t>
      </w:r>
      <w:proofErr w:type="spellStart"/>
      <w:r>
        <w:t>oócitos</w:t>
      </w:r>
      <w:proofErr w:type="spellEnd"/>
      <w:r>
        <w:t xml:space="preserve"> aspirados foi feita com ICSI e os embriões foram cultivados em estufa Time </w:t>
      </w:r>
      <w:proofErr w:type="spellStart"/>
      <w:r>
        <w:t>lapse</w:t>
      </w:r>
      <w:proofErr w:type="spellEnd"/>
      <w:r>
        <w:t xml:space="preserve">. </w:t>
      </w:r>
    </w:p>
    <w:p w14:paraId="5CBB6081" w14:textId="77777777" w:rsidR="002553DD" w:rsidRDefault="002553DD" w:rsidP="002553DD">
      <w:pPr>
        <w:ind w:firstLine="708"/>
      </w:pPr>
    </w:p>
    <w:p w14:paraId="7C9C230A" w14:textId="77777777" w:rsidR="002553DD" w:rsidRDefault="002553DD" w:rsidP="002553DD">
      <w:pPr>
        <w:rPr>
          <w:b/>
          <w:bCs/>
        </w:rPr>
      </w:pPr>
    </w:p>
    <w:p w14:paraId="1B722AF4" w14:textId="4F68A559" w:rsidR="002553DD" w:rsidRDefault="002553DD" w:rsidP="002553DD">
      <w:pPr>
        <w:rPr>
          <w:b/>
          <w:bCs/>
        </w:rPr>
      </w:pPr>
      <w:r w:rsidRPr="00685A50">
        <w:rPr>
          <w:b/>
          <w:bCs/>
        </w:rPr>
        <w:lastRenderedPageBreak/>
        <w:t>Desfechos reprodutiv</w:t>
      </w:r>
      <w:r>
        <w:rPr>
          <w:b/>
          <w:bCs/>
        </w:rPr>
        <w:t>os</w:t>
      </w:r>
    </w:p>
    <w:p w14:paraId="05E6904F" w14:textId="45BF1A81" w:rsidR="002553DD" w:rsidRDefault="002553DD" w:rsidP="002553DD">
      <w:pPr>
        <w:spacing w:line="276" w:lineRule="auto"/>
        <w:ind w:firstLine="708"/>
      </w:pPr>
      <w:r w:rsidRPr="00AA68AB">
        <w:t xml:space="preserve">Dados </w:t>
      </w:r>
      <w:r>
        <w:t xml:space="preserve">clínicos e laboratoriais foram coletados do prontuário eletrônico das pacientes. A coleta de dados iniciou-se anteriormente ao protocolo de EOC com a coleta de dados de 52 ciclos para FIV. Ao final do protocolo de EOC foram coletados de ambos os grupos os dados de número de </w:t>
      </w:r>
      <w:proofErr w:type="spellStart"/>
      <w:r>
        <w:t>oócitos</w:t>
      </w:r>
      <w:proofErr w:type="spellEnd"/>
      <w:r>
        <w:t xml:space="preserve"> recuperados. Os </w:t>
      </w:r>
      <w:proofErr w:type="spellStart"/>
      <w:r>
        <w:t>embriologistas</w:t>
      </w:r>
      <w:proofErr w:type="spellEnd"/>
      <w:r>
        <w:t xml:space="preserve"> classificaram com base no aspecto morfológico os </w:t>
      </w:r>
      <w:proofErr w:type="spellStart"/>
      <w:r>
        <w:t>oócitos</w:t>
      </w:r>
      <w:proofErr w:type="spellEnd"/>
      <w:r>
        <w:t xml:space="preserve"> em vesícula germinativa, metáfase I e metáfase II, sendo registrado o número de </w:t>
      </w:r>
      <w:proofErr w:type="spellStart"/>
      <w:r>
        <w:t>oócitos</w:t>
      </w:r>
      <w:proofErr w:type="spellEnd"/>
      <w:r>
        <w:t xml:space="preserve"> em M2, número de M1 e número de </w:t>
      </w:r>
      <w:proofErr w:type="spellStart"/>
      <w:r>
        <w:t>oócitos</w:t>
      </w:r>
      <w:proofErr w:type="spellEnd"/>
      <w:r>
        <w:t xml:space="preserve"> que ainda apresentavam a VG.  Os </w:t>
      </w:r>
      <w:proofErr w:type="spellStart"/>
      <w:r>
        <w:t>oócitos</w:t>
      </w:r>
      <w:proofErr w:type="spellEnd"/>
      <w:r>
        <w:t xml:space="preserve"> em M2 passaram pelo processo de ICSI e a fertilização foi avaliada 16 a 18 horas após o processo – uma fertilização normal foi considerada com a presença de 2 </w:t>
      </w:r>
      <w:proofErr w:type="spellStart"/>
      <w:r>
        <w:t>pronucleos</w:t>
      </w:r>
      <w:proofErr w:type="spellEnd"/>
      <w:r>
        <w:t xml:space="preserve"> e 2 corpúsculos polares. A taxa de fertilização de cada paciente foi registrada, sendo considerado o número de </w:t>
      </w:r>
      <w:proofErr w:type="spellStart"/>
      <w:r>
        <w:t>oócitos</w:t>
      </w:r>
      <w:proofErr w:type="spellEnd"/>
      <w:r>
        <w:t xml:space="preserve"> fertilizados dividido pelo número total de </w:t>
      </w:r>
      <w:proofErr w:type="spellStart"/>
      <w:r>
        <w:t>oócitos</w:t>
      </w:r>
      <w:proofErr w:type="spellEnd"/>
      <w:r>
        <w:t xml:space="preserve"> que passaram pelo processo de ICSI. O desenvolvimento embrionário foi avaliado no quinto dia de cultivo, sendo avaliado os embriões que se encontravam no estágio de </w:t>
      </w:r>
      <w:proofErr w:type="spellStart"/>
      <w:r>
        <w:t>blastulação</w:t>
      </w:r>
      <w:proofErr w:type="spellEnd"/>
      <w:r>
        <w:t xml:space="preserve"> e registrado o número de blastocistos e a taxa de </w:t>
      </w:r>
      <w:proofErr w:type="spellStart"/>
      <w:r>
        <w:t>blastulação</w:t>
      </w:r>
      <w:proofErr w:type="spellEnd"/>
      <w:r>
        <w:t xml:space="preserve">. A taxa de </w:t>
      </w:r>
      <w:proofErr w:type="spellStart"/>
      <w:r>
        <w:t>blastulação</w:t>
      </w:r>
      <w:proofErr w:type="spellEnd"/>
      <w:r>
        <w:t xml:space="preserve"> foi considerada como o número total de blastocistos dividido pelo número de </w:t>
      </w:r>
      <w:proofErr w:type="spellStart"/>
      <w:r>
        <w:t>oócitos</w:t>
      </w:r>
      <w:proofErr w:type="spellEnd"/>
      <w:r>
        <w:t xml:space="preserve"> fertilizados. </w:t>
      </w:r>
    </w:p>
    <w:p w14:paraId="793AECFB" w14:textId="77777777" w:rsidR="002553DD" w:rsidRDefault="002553DD" w:rsidP="002553DD">
      <w:pPr>
        <w:spacing w:line="276" w:lineRule="auto"/>
        <w:ind w:firstLine="708"/>
        <w:rPr>
          <w:rFonts w:ascii="Arial" w:hAnsi="Arial" w:cs="Arial"/>
        </w:rPr>
      </w:pPr>
      <w:r>
        <w:t xml:space="preserve">A morfologia embrionária foi determinada através do </w:t>
      </w:r>
      <w:r>
        <w:rPr>
          <w:rFonts w:ascii="Arial" w:hAnsi="Arial" w:cs="Arial"/>
        </w:rPr>
        <w:t xml:space="preserve">sistema de classificação morfológica com base na classificação de Gardner e </w:t>
      </w:r>
      <w:proofErr w:type="spellStart"/>
      <w:r>
        <w:rPr>
          <w:rFonts w:ascii="Arial" w:hAnsi="Arial" w:cs="Arial"/>
        </w:rPr>
        <w:t>Schoolcraft</w:t>
      </w:r>
      <w:proofErr w:type="spellEnd"/>
      <w:r>
        <w:rPr>
          <w:rFonts w:ascii="Arial" w:hAnsi="Arial" w:cs="Arial"/>
        </w:rPr>
        <w:t xml:space="preserve">. Esta classificação leva em consideração um sistema de </w:t>
      </w:r>
      <w:r w:rsidRPr="00D70751">
        <w:rPr>
          <w:rFonts w:ascii="Arial" w:hAnsi="Arial" w:cs="Arial"/>
          <w:i/>
          <w:iCs/>
        </w:rPr>
        <w:t>score</w:t>
      </w:r>
      <w:r>
        <w:rPr>
          <w:rFonts w:ascii="Arial" w:hAnsi="Arial" w:cs="Arial"/>
        </w:rPr>
        <w:t xml:space="preserve"> em 3 vias, baseado no grau de expansão do blastocisto, na qualidade da MCI e na qualidade do TE, sendo que</w:t>
      </w:r>
      <w:r w:rsidRPr="000D6167">
        <w:rPr>
          <w:rFonts w:ascii="Arial" w:hAnsi="Arial" w:cs="Arial"/>
        </w:rPr>
        <w:t xml:space="preserve"> é dado uma nota de A-C</w:t>
      </w:r>
      <w:r>
        <w:rPr>
          <w:rFonts w:ascii="Arial" w:hAnsi="Arial" w:cs="Arial"/>
        </w:rPr>
        <w:t xml:space="preserve"> para MCI e TE respectivamente,</w:t>
      </w:r>
      <w:r w:rsidRPr="000D6167">
        <w:rPr>
          <w:rFonts w:ascii="Arial" w:hAnsi="Arial" w:cs="Arial"/>
        </w:rPr>
        <w:t xml:space="preserve"> considerando</w:t>
      </w:r>
      <w:r>
        <w:rPr>
          <w:rFonts w:ascii="Arial" w:hAnsi="Arial" w:cs="Arial"/>
        </w:rPr>
        <w:t>, portanto,</w:t>
      </w:r>
      <w:r w:rsidRPr="000D6167">
        <w:rPr>
          <w:rFonts w:ascii="Arial" w:hAnsi="Arial" w:cs="Arial"/>
        </w:rPr>
        <w:t xml:space="preserve"> a qualidade morfológica</w:t>
      </w:r>
      <w:r>
        <w:rPr>
          <w:rFonts w:ascii="Arial" w:hAnsi="Arial" w:cs="Arial"/>
        </w:rPr>
        <w:t>.</w:t>
      </w:r>
      <w:r w:rsidRPr="000D616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No sistema e em suas variações, os blastocistos são classificados em 3 grupos: Alta qualidade (3AA, 4AA, 5AA), boa qualidade (3/4/5 AB, BA e BB) e baixa qualidade </w:t>
      </w:r>
      <w:proofErr w:type="gramStart"/>
      <w:r>
        <w:rPr>
          <w:rFonts w:ascii="Arial" w:hAnsi="Arial" w:cs="Arial"/>
        </w:rPr>
        <w:t>( 3</w:t>
      </w:r>
      <w:proofErr w:type="gramEnd"/>
      <w:r>
        <w:rPr>
          <w:rFonts w:ascii="Arial" w:hAnsi="Arial" w:cs="Arial"/>
        </w:rPr>
        <w:t xml:space="preserve">/4/5 AC, CA, BC, CB e CC). Neste estudo foi considerado embrião </w:t>
      </w:r>
      <w:r>
        <w:rPr>
          <w:rFonts w:ascii="Arial" w:hAnsi="Arial" w:cs="Arial"/>
          <w:i/>
          <w:iCs/>
        </w:rPr>
        <w:t xml:space="preserve">top </w:t>
      </w:r>
      <w:proofErr w:type="spellStart"/>
      <w:r>
        <w:rPr>
          <w:rFonts w:ascii="Arial" w:hAnsi="Arial" w:cs="Arial"/>
          <w:i/>
          <w:iCs/>
        </w:rPr>
        <w:t>quality</w:t>
      </w:r>
      <w:proofErr w:type="spellEnd"/>
      <w:r>
        <w:rPr>
          <w:rFonts w:ascii="Arial" w:hAnsi="Arial" w:cs="Arial"/>
        </w:rPr>
        <w:t xml:space="preserve"> todos classificados como alta e boa qualidade.</w:t>
      </w:r>
    </w:p>
    <w:p w14:paraId="64A2418F" w14:textId="77777777" w:rsidR="002553DD" w:rsidRPr="00090EDC" w:rsidRDefault="002553DD" w:rsidP="002553DD">
      <w:pPr>
        <w:spacing w:line="276" w:lineRule="auto"/>
        <w:ind w:firstLine="708"/>
      </w:pPr>
      <w:r>
        <w:rPr>
          <w:rFonts w:ascii="Arial" w:hAnsi="Arial" w:cs="Arial"/>
        </w:rPr>
        <w:t>Outro parâmetro avaliado foi o tempo em que o embrião demorou para atingir o estágio de blastocisto: 5 dias (D5), 6 dias (D6), 7 dias (D7).</w:t>
      </w:r>
    </w:p>
    <w:p w14:paraId="3FB9E5D6" w14:textId="77777777" w:rsidR="002553DD" w:rsidRPr="00AA68AB" w:rsidRDefault="002553DD" w:rsidP="002553DD">
      <w:pPr>
        <w:spacing w:line="276" w:lineRule="auto"/>
        <w:ind w:firstLine="708"/>
      </w:pPr>
    </w:p>
    <w:p w14:paraId="59B3293E" w14:textId="77777777" w:rsidR="002553DD" w:rsidRPr="00AA68AB" w:rsidRDefault="002553DD" w:rsidP="002553DD">
      <w:pPr>
        <w:rPr>
          <w:b/>
          <w:bCs/>
        </w:rPr>
      </w:pPr>
      <w:r w:rsidRPr="00AA68AB">
        <w:rPr>
          <w:b/>
          <w:bCs/>
        </w:rPr>
        <w:t>Análise estatística</w:t>
      </w:r>
    </w:p>
    <w:p w14:paraId="49421BF2" w14:textId="77777777" w:rsidR="002553DD" w:rsidRPr="00E2033B" w:rsidRDefault="002553DD" w:rsidP="002553DD">
      <w:pPr>
        <w:jc w:val="both"/>
      </w:pPr>
      <w:r>
        <w:t xml:space="preserve">As variáveis quantitativas foram avaliadas quanto a aderência a distribuição normal pelo teste de Shapiro-Wilk. Por não apresentar aderência a distribuição normal, utilizou-se mediana e percentis 25 e 75%, respectivamente, bem como testes não paramétricos. Ainda, as variáveis categóricas foram descritas por frequências absolutas(n) e relativas (%). Para comparação das variáveis quantitativas entre os grupos utilizou-se teste de Mann-Whitney, enquanto para as qualitativas utilizou-se teste de </w:t>
      </w:r>
      <w:proofErr w:type="spellStart"/>
      <w:r>
        <w:t>Qui</w:t>
      </w:r>
      <w:proofErr w:type="spellEnd"/>
      <w:r>
        <w:t>-quadrado. O nível de significância foi de 5%. O programa utilizado para as análises foi o STATA (</w:t>
      </w:r>
      <w:proofErr w:type="spellStart"/>
      <w:r>
        <w:t>Stata</w:t>
      </w:r>
      <w:proofErr w:type="spellEnd"/>
      <w:r>
        <w:t xml:space="preserve"> </w:t>
      </w:r>
      <w:proofErr w:type="spellStart"/>
      <w:r>
        <w:t>Corp</w:t>
      </w:r>
      <w:proofErr w:type="spellEnd"/>
      <w:r>
        <w:t xml:space="preserve">, LC) versão 11.0. </w:t>
      </w:r>
    </w:p>
    <w:p w14:paraId="0836E663" w14:textId="77777777" w:rsidR="002553DD" w:rsidRPr="00774550" w:rsidRDefault="002553DD" w:rsidP="002553DD">
      <w:pPr>
        <w:ind w:firstLine="708"/>
        <w:rPr>
          <w:b/>
          <w:bCs/>
        </w:rPr>
      </w:pPr>
    </w:p>
    <w:p w14:paraId="3D3124C7" w14:textId="77777777" w:rsidR="002553DD" w:rsidRPr="00774550" w:rsidRDefault="002553DD" w:rsidP="002553DD">
      <w:pPr>
        <w:ind w:firstLine="708"/>
      </w:pPr>
    </w:p>
    <w:p w14:paraId="215CC4B4" w14:textId="77777777" w:rsidR="002553DD" w:rsidRDefault="002553DD" w:rsidP="002553DD">
      <w:r w:rsidRPr="00774550">
        <w:tab/>
      </w:r>
    </w:p>
    <w:p w14:paraId="7C3D87EB" w14:textId="77777777" w:rsidR="005506D0" w:rsidRDefault="005506D0"/>
    <w:sectPr w:rsidR="005506D0" w:rsidSect="00725B0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DD"/>
    <w:rsid w:val="00224392"/>
    <w:rsid w:val="002553DD"/>
    <w:rsid w:val="004177B4"/>
    <w:rsid w:val="00432AD9"/>
    <w:rsid w:val="005506D0"/>
    <w:rsid w:val="006F04F6"/>
    <w:rsid w:val="00725B03"/>
    <w:rsid w:val="007507DC"/>
    <w:rsid w:val="008515C8"/>
    <w:rsid w:val="0098227F"/>
    <w:rsid w:val="00A132B6"/>
    <w:rsid w:val="00E02E8D"/>
    <w:rsid w:val="00EC2A05"/>
    <w:rsid w:val="00F9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308DA7"/>
  <w15:chartTrackingRefBased/>
  <w15:docId w15:val="{B6B39150-2888-0D49-9396-9D55E948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53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2553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553D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553D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927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Moreira Tavares</dc:creator>
  <cp:keywords/>
  <dc:description/>
  <cp:lastModifiedBy>André Moreira Tavares</cp:lastModifiedBy>
  <cp:revision>3</cp:revision>
  <dcterms:created xsi:type="dcterms:W3CDTF">2023-11-25T19:58:00Z</dcterms:created>
  <dcterms:modified xsi:type="dcterms:W3CDTF">2023-11-25T20:18:00Z</dcterms:modified>
</cp:coreProperties>
</file>