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4CA2" w14:textId="77777777" w:rsidR="00CA5553" w:rsidRPr="00CA5553" w:rsidRDefault="00CA5553" w:rsidP="00CA5553">
      <w:pPr>
        <w:pStyle w:val="BasicParagraph"/>
        <w:jc w:val="center"/>
        <w:rPr>
          <w:rFonts w:ascii="Arial" w:hAnsi="Arial" w:cs="Arial"/>
          <w:szCs w:val="24"/>
          <w:lang w:val="pt-BR"/>
        </w:rPr>
      </w:pPr>
      <w:r>
        <w:rPr>
          <w:noProof/>
        </w:rPr>
        <w:drawing>
          <wp:anchor distT="0" distB="0" distL="114300" distR="114300" simplePos="0" relativeHeight="251666432" behindDoc="0" locked="0" layoutInCell="1" allowOverlap="1" wp14:anchorId="7C4A8700" wp14:editId="5229F339">
            <wp:simplePos x="0" y="0"/>
            <wp:positionH relativeFrom="column">
              <wp:posOffset>4571365</wp:posOffset>
            </wp:positionH>
            <wp:positionV relativeFrom="paragraph">
              <wp:posOffset>0</wp:posOffset>
            </wp:positionV>
            <wp:extent cx="1206500" cy="261876"/>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0" cy="261876"/>
                    </a:xfrm>
                    <a:prstGeom prst="rect">
                      <a:avLst/>
                    </a:prstGeom>
                    <a:noFill/>
                    <a:ln>
                      <a:noFill/>
                    </a:ln>
                  </pic:spPr>
                </pic:pic>
              </a:graphicData>
            </a:graphic>
          </wp:anchor>
        </w:drawing>
      </w:r>
      <w:r w:rsidRPr="00CA5553">
        <w:rPr>
          <w:rFonts w:ascii="Arial" w:hAnsi="Arial" w:cs="Arial"/>
          <w:szCs w:val="24"/>
          <w:lang w:val="pt-BR"/>
        </w:rPr>
        <w:t>UNIVERSIDADE DO PORTO</w:t>
      </w:r>
    </w:p>
    <w:p w14:paraId="5D6DB3C6" w14:textId="77777777" w:rsidR="00CA5553" w:rsidRPr="00CA5553" w:rsidRDefault="00CA5553" w:rsidP="00CA5553">
      <w:pPr>
        <w:pStyle w:val="BasicParagraph"/>
        <w:jc w:val="center"/>
        <w:rPr>
          <w:rFonts w:ascii="Arial" w:hAnsi="Arial" w:cs="Arial"/>
          <w:szCs w:val="24"/>
          <w:lang w:val="pt-BR"/>
        </w:rPr>
      </w:pPr>
    </w:p>
    <w:p w14:paraId="5496935D" w14:textId="77777777" w:rsidR="00CA5553" w:rsidRDefault="00CA5553" w:rsidP="00CA5553">
      <w:pPr>
        <w:pStyle w:val="BasicParagraph"/>
        <w:jc w:val="center"/>
        <w:rPr>
          <w:rFonts w:ascii="Arial" w:hAnsi="Arial" w:cs="Arial"/>
          <w:szCs w:val="24"/>
          <w:lang w:val="pt-BR"/>
        </w:rPr>
      </w:pPr>
      <w:r w:rsidRPr="00FC5A58">
        <w:rPr>
          <w:rFonts w:ascii="Arial" w:hAnsi="Arial" w:cs="Arial"/>
          <w:szCs w:val="24"/>
          <w:lang w:val="pt-BR"/>
        </w:rPr>
        <w:t>FACULDADE DE MEDICI</w:t>
      </w:r>
      <w:r>
        <w:rPr>
          <w:rFonts w:ascii="Arial" w:hAnsi="Arial" w:cs="Arial"/>
          <w:szCs w:val="24"/>
          <w:lang w:val="pt-BR"/>
        </w:rPr>
        <w:t>NA</w:t>
      </w:r>
      <w:r w:rsidRPr="00FC5A58">
        <w:rPr>
          <w:rFonts w:ascii="Arial" w:hAnsi="Arial" w:cs="Arial"/>
          <w:szCs w:val="24"/>
          <w:lang w:val="pt-BR"/>
        </w:rPr>
        <w:t xml:space="preserve"> DA UNI</w:t>
      </w:r>
      <w:r>
        <w:rPr>
          <w:rFonts w:ascii="Arial" w:hAnsi="Arial" w:cs="Arial"/>
          <w:szCs w:val="24"/>
          <w:lang w:val="pt-BR"/>
        </w:rPr>
        <w:t>VERSIDADE DO PORTO</w:t>
      </w:r>
    </w:p>
    <w:p w14:paraId="2FA027DC" w14:textId="77777777" w:rsidR="00CA5553" w:rsidRPr="00FC5A58" w:rsidRDefault="00CA5553" w:rsidP="00CA5553">
      <w:pPr>
        <w:pStyle w:val="BasicParagraph"/>
        <w:jc w:val="center"/>
        <w:rPr>
          <w:rFonts w:ascii="Arial" w:hAnsi="Arial" w:cs="Arial"/>
          <w:szCs w:val="24"/>
          <w:lang w:val="pt-BR"/>
        </w:rPr>
      </w:pPr>
      <w:r>
        <w:rPr>
          <w:rFonts w:ascii="Arial" w:hAnsi="Arial" w:cs="Arial"/>
          <w:szCs w:val="24"/>
          <w:lang w:val="pt-BR"/>
        </w:rPr>
        <w:t>(FMUP)</w:t>
      </w:r>
    </w:p>
    <w:p w14:paraId="2E25EAEE" w14:textId="77777777" w:rsidR="00CA5553" w:rsidRDefault="00CA5553" w:rsidP="00CA5553">
      <w:pPr>
        <w:pStyle w:val="Default"/>
        <w:jc w:val="center"/>
      </w:pPr>
    </w:p>
    <w:p w14:paraId="7FB2754A" w14:textId="77777777" w:rsidR="00CA5553" w:rsidRPr="00E82D49" w:rsidRDefault="00CA5553" w:rsidP="00CA5553">
      <w:pPr>
        <w:ind w:left="0" w:firstLine="0"/>
        <w:jc w:val="center"/>
        <w:rPr>
          <w:sz w:val="24"/>
          <w:szCs w:val="24"/>
        </w:rPr>
      </w:pPr>
      <w:r>
        <w:rPr>
          <w:b/>
          <w:bCs/>
          <w:sz w:val="24"/>
          <w:szCs w:val="24"/>
        </w:rPr>
        <w:t>EQUIVALÊNCIA AO GRAU DE MESTRE EM MEDICINA</w:t>
      </w:r>
    </w:p>
    <w:p w14:paraId="546267C4" w14:textId="77777777" w:rsidR="00C21E3D" w:rsidRPr="009217B4" w:rsidRDefault="00C21E3D" w:rsidP="00C21E3D">
      <w:pPr>
        <w:ind w:left="0" w:firstLine="0"/>
        <w:rPr>
          <w:noProof/>
        </w:rPr>
      </w:pPr>
    </w:p>
    <w:p w14:paraId="020C6B2A" w14:textId="3BFEC104" w:rsidR="00266973" w:rsidRPr="009217B4" w:rsidRDefault="00266973" w:rsidP="00C81291">
      <w:pPr>
        <w:pStyle w:val="BasicParagraph"/>
        <w:rPr>
          <w:noProof/>
          <w:lang w:val="pt-BR"/>
        </w:rPr>
      </w:pPr>
    </w:p>
    <w:p w14:paraId="3177D4D1" w14:textId="77777777" w:rsidR="00266973" w:rsidRPr="009217B4" w:rsidRDefault="00266973" w:rsidP="00C81291">
      <w:pPr>
        <w:pStyle w:val="BasicParagraph"/>
        <w:rPr>
          <w:noProof/>
          <w:lang w:val="pt-BR"/>
        </w:rPr>
      </w:pPr>
    </w:p>
    <w:p w14:paraId="12F9A932" w14:textId="7D875F73" w:rsidR="00DB3EE7" w:rsidRDefault="00C21E3D" w:rsidP="00C21E3D">
      <w:pPr>
        <w:pStyle w:val="BasicParagraph"/>
        <w:ind w:firstLine="0"/>
        <w:rPr>
          <w:rFonts w:ascii="Arial" w:hAnsi="Arial" w:cs="Arial"/>
          <w:b/>
          <w:bCs/>
          <w:sz w:val="28"/>
          <w:szCs w:val="28"/>
          <w:lang w:val="pt-BR"/>
        </w:rPr>
      </w:pPr>
      <w:r w:rsidRPr="00C21E3D">
        <w:rPr>
          <w:rFonts w:ascii="Arial" w:hAnsi="Arial" w:cs="Arial"/>
          <w:b/>
          <w:bCs/>
          <w:sz w:val="28"/>
          <w:szCs w:val="28"/>
          <w:lang w:val="pt-BR"/>
        </w:rPr>
        <w:t xml:space="preserve">Análise do protocolo de estimulação ovariana controlada utilizando </w:t>
      </w:r>
      <w:proofErr w:type="spellStart"/>
      <w:r w:rsidRPr="00C21E3D">
        <w:rPr>
          <w:rFonts w:ascii="Arial" w:hAnsi="Arial" w:cs="Arial"/>
          <w:b/>
          <w:bCs/>
          <w:sz w:val="28"/>
          <w:szCs w:val="28"/>
          <w:lang w:val="pt-BR"/>
        </w:rPr>
        <w:t>didrogesterona</w:t>
      </w:r>
      <w:proofErr w:type="spellEnd"/>
      <w:r w:rsidRPr="00C21E3D">
        <w:rPr>
          <w:rFonts w:ascii="Arial" w:hAnsi="Arial" w:cs="Arial"/>
          <w:b/>
          <w:bCs/>
          <w:sz w:val="28"/>
          <w:szCs w:val="28"/>
          <w:lang w:val="pt-BR"/>
        </w:rPr>
        <w:t xml:space="preserve"> em mulheres </w:t>
      </w:r>
      <w:proofErr w:type="spellStart"/>
      <w:r w:rsidRPr="00C21E3D">
        <w:rPr>
          <w:rFonts w:ascii="Arial" w:hAnsi="Arial" w:cs="Arial"/>
          <w:b/>
          <w:bCs/>
          <w:sz w:val="28"/>
          <w:szCs w:val="28"/>
          <w:lang w:val="pt-BR"/>
        </w:rPr>
        <w:t>normorespondedoras</w:t>
      </w:r>
      <w:proofErr w:type="spellEnd"/>
      <w:r w:rsidRPr="00C21E3D">
        <w:rPr>
          <w:rFonts w:ascii="Arial" w:hAnsi="Arial" w:cs="Arial"/>
          <w:b/>
          <w:bCs/>
          <w:sz w:val="28"/>
          <w:szCs w:val="28"/>
          <w:lang w:val="pt-BR"/>
        </w:rPr>
        <w:t xml:space="preserve">, comparado ao protocolo com antagonista de </w:t>
      </w:r>
      <w:proofErr w:type="spellStart"/>
      <w:r w:rsidRPr="00C21E3D">
        <w:rPr>
          <w:rFonts w:ascii="Arial" w:hAnsi="Arial" w:cs="Arial"/>
          <w:b/>
          <w:bCs/>
          <w:sz w:val="28"/>
          <w:szCs w:val="28"/>
          <w:lang w:val="pt-BR"/>
        </w:rPr>
        <w:t>GnRH</w:t>
      </w:r>
      <w:proofErr w:type="spellEnd"/>
      <w:r w:rsidR="008C5255">
        <w:rPr>
          <w:rFonts w:ascii="Arial" w:hAnsi="Arial" w:cs="Arial"/>
          <w:b/>
          <w:bCs/>
          <w:sz w:val="28"/>
          <w:szCs w:val="28"/>
          <w:lang w:val="pt-BR"/>
        </w:rPr>
        <w:t xml:space="preserve">: um </w:t>
      </w:r>
      <w:r w:rsidRPr="00C21E3D">
        <w:rPr>
          <w:rFonts w:ascii="Arial" w:hAnsi="Arial" w:cs="Arial"/>
          <w:b/>
          <w:bCs/>
          <w:sz w:val="28"/>
          <w:szCs w:val="28"/>
          <w:lang w:val="pt-BR"/>
        </w:rPr>
        <w:t xml:space="preserve">estudo </w:t>
      </w:r>
      <w:r w:rsidR="00144286">
        <w:rPr>
          <w:rFonts w:ascii="Arial" w:hAnsi="Arial" w:cs="Arial"/>
          <w:b/>
          <w:bCs/>
          <w:sz w:val="28"/>
          <w:szCs w:val="28"/>
          <w:lang w:val="pt-BR"/>
        </w:rPr>
        <w:t>de caso-controle</w:t>
      </w:r>
      <w:r w:rsidRPr="00C21E3D">
        <w:rPr>
          <w:rFonts w:ascii="Arial" w:hAnsi="Arial" w:cs="Arial"/>
          <w:b/>
          <w:bCs/>
          <w:sz w:val="28"/>
          <w:szCs w:val="28"/>
          <w:lang w:val="pt-BR"/>
        </w:rPr>
        <w:t>.</w:t>
      </w:r>
    </w:p>
    <w:p w14:paraId="3DDE5950" w14:textId="5FA68999" w:rsidR="00266973" w:rsidRPr="00DB3EE7" w:rsidRDefault="00266973" w:rsidP="00C81291">
      <w:pPr>
        <w:pStyle w:val="BasicParagraph"/>
        <w:rPr>
          <w:rFonts w:ascii="Arial" w:hAnsi="Arial" w:cs="Arial"/>
          <w:b/>
          <w:bCs/>
          <w:sz w:val="28"/>
          <w:szCs w:val="28"/>
          <w:lang w:val="pt-BR"/>
        </w:rPr>
      </w:pPr>
      <w:r w:rsidRPr="00DB3EE7">
        <w:rPr>
          <w:rFonts w:ascii="Arial" w:hAnsi="Arial" w:cs="Arial"/>
          <w:b/>
          <w:bCs/>
          <w:sz w:val="28"/>
          <w:szCs w:val="28"/>
          <w:lang w:val="pt-BR"/>
        </w:rPr>
        <w:tab/>
      </w:r>
    </w:p>
    <w:p w14:paraId="0222DF1B" w14:textId="77777777" w:rsidR="00C21E3D" w:rsidRDefault="00C21E3D" w:rsidP="00DB3EE7">
      <w:pPr>
        <w:pStyle w:val="BasicParagraph"/>
        <w:ind w:hanging="127"/>
        <w:rPr>
          <w:rFonts w:ascii="Arial" w:hAnsi="Arial" w:cs="Arial"/>
          <w:lang w:val="pt-BR"/>
        </w:rPr>
      </w:pPr>
      <w:r w:rsidRPr="00C21E3D">
        <w:rPr>
          <w:rFonts w:ascii="Arial" w:hAnsi="Arial" w:cs="Arial"/>
          <w:lang w:val="pt-BR"/>
        </w:rPr>
        <w:t xml:space="preserve">Bianca Franco Augusto Bernardo </w:t>
      </w:r>
    </w:p>
    <w:p w14:paraId="6B85BA1A" w14:textId="283486C4" w:rsidR="00DB3EE7" w:rsidRPr="00DB3EE7" w:rsidRDefault="00DB3EE7" w:rsidP="00DB3EE7">
      <w:pPr>
        <w:pStyle w:val="BasicParagraph"/>
        <w:ind w:hanging="127"/>
        <w:rPr>
          <w:rFonts w:ascii="Arial" w:hAnsi="Arial" w:cs="Arial"/>
          <w:caps/>
          <w:color w:val="00ADEF"/>
          <w:sz w:val="72"/>
          <w:szCs w:val="72"/>
          <w:lang w:val="pt-BR"/>
        </w:rPr>
      </w:pPr>
      <w:r w:rsidRPr="00DB3EE7">
        <w:rPr>
          <w:rFonts w:ascii="Arial" w:hAnsi="Arial" w:cs="Arial"/>
          <w:sz w:val="72"/>
          <w:szCs w:val="72"/>
          <w:lang w:val="pt-BR"/>
        </w:rPr>
        <w:t>M</w:t>
      </w:r>
    </w:p>
    <w:p w14:paraId="7FACA070" w14:textId="34678A1A" w:rsidR="00266973" w:rsidRPr="009217B4" w:rsidRDefault="00266973" w:rsidP="00DB3EE7">
      <w:pPr>
        <w:pStyle w:val="BasicParagraph"/>
        <w:ind w:hanging="127"/>
        <w:rPr>
          <w:rFonts w:ascii="Arial" w:hAnsi="Arial" w:cs="Arial"/>
          <w:lang w:val="pt-BR"/>
        </w:rPr>
      </w:pPr>
    </w:p>
    <w:p w14:paraId="6EED6082" w14:textId="2A000DAA" w:rsidR="00266973" w:rsidRPr="009217B4" w:rsidRDefault="00266973" w:rsidP="00DB3EE7">
      <w:pPr>
        <w:pStyle w:val="BasicParagraph"/>
        <w:ind w:hanging="127"/>
        <w:rPr>
          <w:lang w:val="pt-BR"/>
        </w:rPr>
      </w:pPr>
      <w:r w:rsidRPr="009217B4">
        <w:rPr>
          <w:rFonts w:ascii="Arial" w:hAnsi="Arial" w:cs="Arial"/>
          <w:spacing w:val="9"/>
          <w:lang w:val="pt-BR"/>
        </w:rPr>
        <w:t>2</w:t>
      </w:r>
      <w:r w:rsidRPr="009217B4">
        <w:rPr>
          <w:rFonts w:ascii="Arial" w:hAnsi="Arial" w:cs="Arial"/>
          <w:spacing w:val="-9"/>
          <w:lang w:val="pt-BR"/>
        </w:rPr>
        <w:t>0</w:t>
      </w:r>
      <w:r w:rsidRPr="009217B4">
        <w:rPr>
          <w:rFonts w:ascii="Arial" w:hAnsi="Arial" w:cs="Arial"/>
          <w:lang w:val="pt-BR"/>
        </w:rPr>
        <w:t>23</w:t>
      </w:r>
    </w:p>
    <w:p w14:paraId="51E58514" w14:textId="1EE02A83" w:rsidR="00266973" w:rsidRPr="009217B4" w:rsidRDefault="00266973" w:rsidP="00C81291">
      <w:pPr>
        <w:pStyle w:val="BasicParagraph"/>
        <w:rPr>
          <w:lang w:val="pt-BR"/>
        </w:rPr>
      </w:pPr>
    </w:p>
    <w:p w14:paraId="6D2F3770" w14:textId="6687CD87" w:rsidR="00266973" w:rsidRPr="009217B4" w:rsidRDefault="00266973" w:rsidP="00C81291">
      <w:pPr>
        <w:pStyle w:val="BasicParagraph"/>
        <w:rPr>
          <w:lang w:val="pt-BR"/>
        </w:rPr>
      </w:pPr>
    </w:p>
    <w:p w14:paraId="476EC876" w14:textId="30BC0F00" w:rsidR="00266973" w:rsidRPr="009217B4" w:rsidRDefault="00266973" w:rsidP="00C81291">
      <w:pPr>
        <w:pStyle w:val="BasicParagraph"/>
        <w:rPr>
          <w:lang w:val="pt-BR"/>
        </w:rPr>
      </w:pPr>
    </w:p>
    <w:p w14:paraId="000D2B9E" w14:textId="5D6624FC" w:rsidR="00266973" w:rsidRPr="009217B4" w:rsidRDefault="00266973" w:rsidP="00C81291">
      <w:pPr>
        <w:pStyle w:val="BasicParagraph"/>
        <w:rPr>
          <w:lang w:val="pt-BR"/>
        </w:rPr>
      </w:pPr>
    </w:p>
    <w:p w14:paraId="144EEA39" w14:textId="3C391CE7" w:rsidR="00266973" w:rsidRPr="009217B4" w:rsidRDefault="00DB3EE7" w:rsidP="00C81291">
      <w:pPr>
        <w:pStyle w:val="BasicParagraph"/>
        <w:rPr>
          <w:lang w:val="pt-BR"/>
        </w:rPr>
      </w:pPr>
      <w:r w:rsidRPr="00DB3EE7">
        <w:rPr>
          <w:noProof/>
          <w:lang w:val="pt-BR"/>
        </w:rPr>
        <w:drawing>
          <wp:anchor distT="0" distB="0" distL="114300" distR="114300" simplePos="0" relativeHeight="251662336" behindDoc="0" locked="0" layoutInCell="1" allowOverlap="1" wp14:anchorId="7F5F8320" wp14:editId="32AC88FD">
            <wp:simplePos x="0" y="0"/>
            <wp:positionH relativeFrom="margin">
              <wp:align>center</wp:align>
            </wp:positionH>
            <wp:positionV relativeFrom="paragraph">
              <wp:posOffset>449803</wp:posOffset>
            </wp:positionV>
            <wp:extent cx="692785" cy="2383155"/>
            <wp:effectExtent l="133350" t="114300" r="126365" b="16954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785" cy="2383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27C4B6D" w14:textId="59D4C00B" w:rsidR="00266973" w:rsidRPr="009217B4" w:rsidRDefault="003141F9" w:rsidP="003141F9">
      <w:pPr>
        <w:pStyle w:val="BasicParagraph"/>
        <w:ind w:left="0" w:firstLine="0"/>
        <w:rPr>
          <w:lang w:val="pt-BR"/>
        </w:rPr>
      </w:pPr>
      <w:r w:rsidRPr="003141F9">
        <w:rPr>
          <w:rFonts w:ascii="Arial" w:hAnsi="Arial" w:cs="Arial"/>
          <w:b/>
          <w:bCs/>
          <w:sz w:val="28"/>
          <w:szCs w:val="28"/>
          <w:lang w:val="pt-BR"/>
        </w:rPr>
        <w:lastRenderedPageBreak/>
        <w:t xml:space="preserve">Análise do protocolo de estimulação ovariana controlada utilizando </w:t>
      </w:r>
      <w:proofErr w:type="spellStart"/>
      <w:r w:rsidRPr="003141F9">
        <w:rPr>
          <w:rFonts w:ascii="Arial" w:hAnsi="Arial" w:cs="Arial"/>
          <w:b/>
          <w:bCs/>
          <w:sz w:val="28"/>
          <w:szCs w:val="28"/>
          <w:lang w:val="pt-BR"/>
        </w:rPr>
        <w:t>didrogesterona</w:t>
      </w:r>
      <w:proofErr w:type="spellEnd"/>
      <w:r w:rsidRPr="003141F9">
        <w:rPr>
          <w:rFonts w:ascii="Arial" w:hAnsi="Arial" w:cs="Arial"/>
          <w:b/>
          <w:bCs/>
          <w:sz w:val="28"/>
          <w:szCs w:val="28"/>
          <w:lang w:val="pt-BR"/>
        </w:rPr>
        <w:t xml:space="preserve"> em mulheres </w:t>
      </w:r>
      <w:proofErr w:type="spellStart"/>
      <w:r w:rsidRPr="003141F9">
        <w:rPr>
          <w:rFonts w:ascii="Arial" w:hAnsi="Arial" w:cs="Arial"/>
          <w:b/>
          <w:bCs/>
          <w:sz w:val="28"/>
          <w:szCs w:val="28"/>
          <w:lang w:val="pt-BR"/>
        </w:rPr>
        <w:t>normorespondedoras</w:t>
      </w:r>
      <w:proofErr w:type="spellEnd"/>
      <w:r w:rsidRPr="003141F9">
        <w:rPr>
          <w:rFonts w:ascii="Arial" w:hAnsi="Arial" w:cs="Arial"/>
          <w:b/>
          <w:bCs/>
          <w:sz w:val="28"/>
          <w:szCs w:val="28"/>
          <w:lang w:val="pt-BR"/>
        </w:rPr>
        <w:t xml:space="preserve">, comparado ao protocolo com antagonista de </w:t>
      </w:r>
      <w:proofErr w:type="spellStart"/>
      <w:r w:rsidRPr="003141F9">
        <w:rPr>
          <w:rFonts w:ascii="Arial" w:hAnsi="Arial" w:cs="Arial"/>
          <w:b/>
          <w:bCs/>
          <w:sz w:val="28"/>
          <w:szCs w:val="28"/>
          <w:lang w:val="pt-BR"/>
        </w:rPr>
        <w:t>GnRH</w:t>
      </w:r>
      <w:proofErr w:type="spellEnd"/>
      <w:r w:rsidR="008C5255">
        <w:rPr>
          <w:rFonts w:ascii="Arial" w:hAnsi="Arial" w:cs="Arial"/>
          <w:b/>
          <w:bCs/>
          <w:sz w:val="28"/>
          <w:szCs w:val="28"/>
          <w:lang w:val="pt-BR"/>
        </w:rPr>
        <w:t xml:space="preserve">: um </w:t>
      </w:r>
      <w:r w:rsidRPr="003141F9">
        <w:rPr>
          <w:rFonts w:ascii="Arial" w:hAnsi="Arial" w:cs="Arial"/>
          <w:b/>
          <w:bCs/>
          <w:sz w:val="28"/>
          <w:szCs w:val="28"/>
          <w:lang w:val="pt-BR"/>
        </w:rPr>
        <w:t xml:space="preserve">estudo </w:t>
      </w:r>
      <w:r w:rsidR="00144286">
        <w:rPr>
          <w:rFonts w:ascii="Arial" w:hAnsi="Arial" w:cs="Arial"/>
          <w:b/>
          <w:bCs/>
          <w:sz w:val="28"/>
          <w:szCs w:val="28"/>
          <w:lang w:val="pt-BR"/>
        </w:rPr>
        <w:t>de caso-controle</w:t>
      </w:r>
      <w:r w:rsidRPr="003141F9">
        <w:rPr>
          <w:rFonts w:ascii="Arial" w:hAnsi="Arial" w:cs="Arial"/>
          <w:b/>
          <w:bCs/>
          <w:sz w:val="28"/>
          <w:szCs w:val="28"/>
          <w:lang w:val="pt-BR"/>
        </w:rPr>
        <w:t>.</w:t>
      </w:r>
    </w:p>
    <w:p w14:paraId="65665700" w14:textId="50476E26" w:rsidR="00266973" w:rsidRPr="009217B4" w:rsidRDefault="00266973" w:rsidP="00C81291">
      <w:pPr>
        <w:pStyle w:val="BasicParagraph"/>
        <w:rPr>
          <w:lang w:val="pt-BR"/>
        </w:rPr>
      </w:pPr>
    </w:p>
    <w:p w14:paraId="222490CA" w14:textId="77777777" w:rsidR="00266973" w:rsidRPr="00DB3EE7" w:rsidRDefault="00266973" w:rsidP="00C81291">
      <w:pPr>
        <w:pStyle w:val="BasicParagraph"/>
        <w:rPr>
          <w:rFonts w:ascii="Arial" w:hAnsi="Arial" w:cs="Arial"/>
          <w:lang w:val="pt-BR"/>
        </w:rPr>
      </w:pPr>
    </w:p>
    <w:p w14:paraId="6FD35D89" w14:textId="77777777" w:rsidR="00266973" w:rsidRPr="00E82D49" w:rsidRDefault="00266973" w:rsidP="00C81291">
      <w:pPr>
        <w:pStyle w:val="BasicParagraph"/>
        <w:rPr>
          <w:szCs w:val="24"/>
          <w:lang w:val="pt-BR"/>
        </w:rPr>
      </w:pPr>
    </w:p>
    <w:p w14:paraId="1AB84DE7" w14:textId="77777777" w:rsidR="00266973" w:rsidRPr="00E82D49" w:rsidRDefault="00266973" w:rsidP="00C81291">
      <w:pPr>
        <w:pStyle w:val="BasicParagraph"/>
        <w:rPr>
          <w:szCs w:val="24"/>
          <w:lang w:val="pt-BR"/>
        </w:rPr>
      </w:pPr>
    </w:p>
    <w:p w14:paraId="7F6FDA4B" w14:textId="77777777" w:rsidR="00F954EC" w:rsidRPr="00024449" w:rsidRDefault="00F954EC" w:rsidP="00F954EC">
      <w:pPr>
        <w:spacing w:after="200"/>
        <w:ind w:left="4536" w:right="0" w:firstLine="0"/>
        <w:rPr>
          <w:rFonts w:ascii="Times New Roman" w:eastAsia="Times New Roman" w:hAnsi="Times New Roman" w:cs="Times New Roman"/>
          <w:color w:val="auto"/>
          <w:kern w:val="0"/>
          <w:sz w:val="24"/>
          <w:szCs w:val="24"/>
          <w14:ligatures w14:val="none"/>
        </w:rPr>
      </w:pPr>
      <w:r>
        <w:rPr>
          <w:rFonts w:eastAsia="Times New Roman"/>
          <w:color w:val="000000"/>
          <w:kern w:val="0"/>
          <w:sz w:val="24"/>
          <w:szCs w:val="24"/>
          <w14:ligatures w14:val="none"/>
        </w:rPr>
        <w:t>Trabalho realizado</w:t>
      </w:r>
      <w:r w:rsidRPr="00024449">
        <w:rPr>
          <w:rFonts w:eastAsia="Times New Roman"/>
          <w:color w:val="000000"/>
          <w:kern w:val="0"/>
          <w:sz w:val="24"/>
          <w:szCs w:val="24"/>
          <w14:ligatures w14:val="none"/>
        </w:rPr>
        <w:t xml:space="preserve"> como pré-requisito para obtenção de equivalência de diploma em Mestrado Integrado de Medicina na </w:t>
      </w:r>
      <w:r>
        <w:rPr>
          <w:rFonts w:eastAsia="Times New Roman"/>
          <w:color w:val="000000"/>
          <w:kern w:val="0"/>
          <w:sz w:val="24"/>
          <w:szCs w:val="24"/>
          <w14:ligatures w14:val="none"/>
        </w:rPr>
        <w:t>Faculdade de Medicina da Universidade do Porto.</w:t>
      </w:r>
    </w:p>
    <w:p w14:paraId="764A4731" w14:textId="77777777" w:rsidR="00F954EC" w:rsidRDefault="00F954EC" w:rsidP="00F954EC">
      <w:pPr>
        <w:pStyle w:val="Default"/>
        <w:spacing w:line="480" w:lineRule="auto"/>
        <w:ind w:left="4536"/>
        <w:rPr>
          <w:rFonts w:ascii="Arial" w:hAnsi="Arial" w:cs="Arial"/>
          <w:color w:val="000000" w:themeColor="text1"/>
        </w:rPr>
      </w:pPr>
      <w:r w:rsidRPr="002F16D3">
        <w:rPr>
          <w:rFonts w:ascii="Arial" w:hAnsi="Arial" w:cs="Arial"/>
          <w:color w:val="000000" w:themeColor="text1"/>
        </w:rPr>
        <w:t>Autor</w:t>
      </w:r>
      <w:r>
        <w:rPr>
          <w:rFonts w:ascii="Arial" w:hAnsi="Arial" w:cs="Arial"/>
          <w:color w:val="000000" w:themeColor="text1"/>
        </w:rPr>
        <w:t xml:space="preserve">a: </w:t>
      </w:r>
      <w:r w:rsidRPr="003141F9">
        <w:rPr>
          <w:rFonts w:ascii="Arial" w:hAnsi="Arial" w:cs="Arial"/>
        </w:rPr>
        <w:t>Bianca Franco Augusto Bernardo</w:t>
      </w:r>
      <w:r>
        <w:rPr>
          <w:rFonts w:ascii="Arial" w:hAnsi="Arial" w:cs="Arial"/>
          <w:color w:val="000000" w:themeColor="text1"/>
        </w:rPr>
        <w:t xml:space="preserve"> </w:t>
      </w:r>
    </w:p>
    <w:p w14:paraId="58127D63" w14:textId="2C98FD18" w:rsidR="00F954EC" w:rsidRDefault="00F954EC" w:rsidP="00F954EC">
      <w:pPr>
        <w:spacing w:after="0" w:line="240" w:lineRule="auto"/>
        <w:ind w:left="4536" w:right="0" w:firstLine="0"/>
        <w:jc w:val="left"/>
        <w:rPr>
          <w:rFonts w:eastAsiaTheme="minorEastAsia"/>
          <w:color w:val="000000" w:themeColor="text1"/>
          <w:kern w:val="0"/>
          <w:sz w:val="24"/>
          <w:szCs w:val="24"/>
        </w:rPr>
      </w:pPr>
      <w:r w:rsidRPr="00F954EC">
        <w:rPr>
          <w:rFonts w:eastAsiaTheme="minorEastAsia"/>
          <w:color w:val="000000" w:themeColor="text1"/>
          <w:kern w:val="0"/>
          <w:sz w:val="24"/>
          <w:szCs w:val="24"/>
        </w:rPr>
        <w:t xml:space="preserve">bfa.bernardo@gmail.com </w:t>
      </w:r>
      <w:r>
        <w:rPr>
          <w:color w:val="000000" w:themeColor="text1"/>
        </w:rPr>
        <w:br w:type="page"/>
      </w:r>
    </w:p>
    <w:p w14:paraId="116EF100" w14:textId="259A1873" w:rsidR="00E82D49" w:rsidRDefault="003141F9" w:rsidP="003141F9">
      <w:pPr>
        <w:ind w:firstLine="0"/>
        <w:rPr>
          <w:lang w:val="pt-PT"/>
        </w:rPr>
      </w:pPr>
      <w:r w:rsidRPr="003141F9">
        <w:rPr>
          <w:b/>
          <w:bCs/>
          <w:sz w:val="28"/>
          <w:szCs w:val="28"/>
          <w:lang w:val="pt-PT"/>
        </w:rPr>
        <w:lastRenderedPageBreak/>
        <w:t xml:space="preserve">Análise do protocolo de estimulação ovariana controlada utilizando didrogesterona em mulheres </w:t>
      </w:r>
      <w:proofErr w:type="spellStart"/>
      <w:r w:rsidRPr="003141F9">
        <w:rPr>
          <w:b/>
          <w:bCs/>
          <w:sz w:val="28"/>
          <w:szCs w:val="28"/>
          <w:lang w:val="pt-PT"/>
        </w:rPr>
        <w:t>normorespondedoras</w:t>
      </w:r>
      <w:proofErr w:type="spellEnd"/>
      <w:r w:rsidRPr="003141F9">
        <w:rPr>
          <w:b/>
          <w:bCs/>
          <w:sz w:val="28"/>
          <w:szCs w:val="28"/>
          <w:lang w:val="pt-PT"/>
        </w:rPr>
        <w:t xml:space="preserve">, comparado ao protocolo com antagonista de </w:t>
      </w:r>
      <w:proofErr w:type="spellStart"/>
      <w:r w:rsidRPr="003141F9">
        <w:rPr>
          <w:b/>
          <w:bCs/>
          <w:sz w:val="28"/>
          <w:szCs w:val="28"/>
          <w:lang w:val="pt-PT"/>
        </w:rPr>
        <w:t>GnRH</w:t>
      </w:r>
      <w:proofErr w:type="spellEnd"/>
      <w:r w:rsidR="008C5255">
        <w:rPr>
          <w:b/>
          <w:bCs/>
          <w:sz w:val="28"/>
          <w:szCs w:val="28"/>
          <w:lang w:val="pt-PT"/>
        </w:rPr>
        <w:t>: um</w:t>
      </w:r>
      <w:r w:rsidRPr="003141F9">
        <w:rPr>
          <w:b/>
          <w:bCs/>
          <w:sz w:val="28"/>
          <w:szCs w:val="28"/>
          <w:lang w:val="pt-PT"/>
        </w:rPr>
        <w:t xml:space="preserve"> estudo </w:t>
      </w:r>
      <w:r w:rsidR="00D0562C">
        <w:rPr>
          <w:b/>
          <w:bCs/>
          <w:sz w:val="28"/>
          <w:szCs w:val="28"/>
          <w:lang w:val="pt-PT"/>
        </w:rPr>
        <w:t>de caso-controle</w:t>
      </w:r>
      <w:r w:rsidRPr="003141F9">
        <w:rPr>
          <w:b/>
          <w:bCs/>
          <w:sz w:val="28"/>
          <w:szCs w:val="28"/>
          <w:lang w:val="pt-PT"/>
        </w:rPr>
        <w:t>.</w:t>
      </w:r>
    </w:p>
    <w:p w14:paraId="68204558" w14:textId="77777777" w:rsidR="00E82D49" w:rsidRPr="004A7E5C" w:rsidRDefault="00E82D49" w:rsidP="00E82D49">
      <w:pPr>
        <w:rPr>
          <w:rFonts w:ascii="Helvetica" w:hAnsi="Helvetica"/>
          <w:b/>
          <w:bCs/>
        </w:rPr>
      </w:pPr>
    </w:p>
    <w:p w14:paraId="441C2B2A" w14:textId="77777777" w:rsidR="00E82D49" w:rsidRPr="003717CD" w:rsidRDefault="00E82D49" w:rsidP="00E82D49">
      <w:pPr>
        <w:jc w:val="center"/>
      </w:pPr>
    </w:p>
    <w:p w14:paraId="07B0B74A" w14:textId="77777777" w:rsidR="00E82D49" w:rsidRPr="003717CD" w:rsidRDefault="00E82D49" w:rsidP="00E82D49">
      <w:pPr>
        <w:jc w:val="center"/>
      </w:pPr>
    </w:p>
    <w:p w14:paraId="21743ADF" w14:textId="77777777" w:rsidR="00E82D49" w:rsidRPr="003717CD" w:rsidRDefault="00E82D49" w:rsidP="00E82D49">
      <w:pPr>
        <w:jc w:val="center"/>
      </w:pPr>
    </w:p>
    <w:p w14:paraId="03033E34" w14:textId="77777777" w:rsidR="00E82D49" w:rsidRPr="003717CD" w:rsidRDefault="00E82D49" w:rsidP="00E82D49">
      <w:pPr>
        <w:jc w:val="center"/>
      </w:pPr>
    </w:p>
    <w:p w14:paraId="2E76056B" w14:textId="77777777" w:rsidR="00E82D49" w:rsidRPr="003717CD" w:rsidRDefault="00E82D49" w:rsidP="00E82D49">
      <w:pPr>
        <w:jc w:val="center"/>
      </w:pPr>
    </w:p>
    <w:p w14:paraId="00BA9A04" w14:textId="77777777" w:rsidR="00E82D49" w:rsidRPr="003717CD" w:rsidRDefault="00E82D49" w:rsidP="00E82D49">
      <w:pPr>
        <w:jc w:val="center"/>
      </w:pPr>
    </w:p>
    <w:p w14:paraId="11B34227" w14:textId="21E7B0A4" w:rsidR="00E82D49" w:rsidRPr="003717CD" w:rsidRDefault="00E82D49" w:rsidP="00E82D49">
      <w:pPr>
        <w:jc w:val="center"/>
      </w:pPr>
      <w:r>
        <w:rPr>
          <w:noProof/>
          <w:lang w:val="en-US"/>
        </w:rPr>
        <mc:AlternateContent>
          <mc:Choice Requires="wps">
            <w:drawing>
              <wp:anchor distT="0" distB="0" distL="114300" distR="114300" simplePos="0" relativeHeight="251663360" behindDoc="0" locked="0" layoutInCell="1" allowOverlap="1" wp14:anchorId="50704AE9" wp14:editId="04002D06">
                <wp:simplePos x="0" y="0"/>
                <wp:positionH relativeFrom="column">
                  <wp:posOffset>2607310</wp:posOffset>
                </wp:positionH>
                <wp:positionV relativeFrom="paragraph">
                  <wp:posOffset>219075</wp:posOffset>
                </wp:positionV>
                <wp:extent cx="3089563" cy="0"/>
                <wp:effectExtent l="0" t="0" r="0" b="0"/>
                <wp:wrapNone/>
                <wp:docPr id="2" name="Conector reto 2"/>
                <wp:cNvGraphicFramePr/>
                <a:graphic xmlns:a="http://schemas.openxmlformats.org/drawingml/2006/main">
                  <a:graphicData uri="http://schemas.microsoft.com/office/word/2010/wordprocessingShape">
                    <wps:wsp>
                      <wps:cNvCnPr/>
                      <wps:spPr>
                        <a:xfrm flipH="1">
                          <a:off x="0" y="0"/>
                          <a:ext cx="30895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0736E" id="Conector reto 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05.3pt,17.25pt" to="448.5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" strokecolor="black [3200]" strokeweight=".5pt">
                <v:stroke joinstyle="miter"/>
              </v:line>
            </w:pict>
          </mc:Fallback>
        </mc:AlternateContent>
      </w:r>
    </w:p>
    <w:p w14:paraId="306C808B" w14:textId="46FE1793" w:rsidR="00E82D49" w:rsidRDefault="00E82D49" w:rsidP="00E82D49">
      <w:pPr>
        <w:jc w:val="right"/>
        <w:rPr>
          <w:sz w:val="24"/>
          <w:lang w:val="pt-PT"/>
        </w:rPr>
      </w:pPr>
      <w:r w:rsidRPr="00266973">
        <w:rPr>
          <w:b/>
          <w:bCs/>
        </w:rPr>
        <w:t>Autor</w:t>
      </w:r>
      <w:r w:rsidR="00CA5553">
        <w:rPr>
          <w:b/>
          <w:bCs/>
        </w:rPr>
        <w:t>a</w:t>
      </w:r>
      <w:r w:rsidRPr="00266973">
        <w:rPr>
          <w:b/>
          <w:bCs/>
        </w:rPr>
        <w:t xml:space="preserve"> | </w:t>
      </w:r>
      <w:r w:rsidR="003141F9">
        <w:t>Bianca Franco Augusto Bernardo</w:t>
      </w:r>
    </w:p>
    <w:p w14:paraId="4D8C1B1E" w14:textId="77777777" w:rsidR="00E82D49" w:rsidRDefault="00E82D49" w:rsidP="00E82D49">
      <w:pPr>
        <w:jc w:val="right"/>
        <w:rPr>
          <w:lang w:val="pt-PT"/>
        </w:rPr>
      </w:pPr>
    </w:p>
    <w:p w14:paraId="09078757" w14:textId="766E1833" w:rsidR="00E82D49" w:rsidRPr="009561AF" w:rsidRDefault="00E82D49" w:rsidP="00F954EC">
      <w:pPr>
        <w:jc w:val="right"/>
      </w:pPr>
    </w:p>
    <w:p w14:paraId="00DFBDE5" w14:textId="77777777" w:rsidR="00E82D49" w:rsidRDefault="00E82D49" w:rsidP="00E82D49">
      <w:pPr>
        <w:jc w:val="right"/>
        <w:rPr>
          <w:sz w:val="24"/>
          <w:lang w:val="pt-PT"/>
        </w:rPr>
      </w:pPr>
    </w:p>
    <w:p w14:paraId="2284B0E4" w14:textId="77777777" w:rsidR="00E82D49" w:rsidRDefault="00E82D49" w:rsidP="00E82D49">
      <w:pPr>
        <w:jc w:val="center"/>
        <w:rPr>
          <w:lang w:val="pt-PT"/>
        </w:rPr>
      </w:pPr>
    </w:p>
    <w:p w14:paraId="57645A12" w14:textId="77777777" w:rsidR="00DB3EE7" w:rsidRPr="00E82D49" w:rsidRDefault="00DB3EE7" w:rsidP="00DB3EE7">
      <w:pPr>
        <w:pStyle w:val="BasicParagraph"/>
        <w:ind w:left="0" w:firstLine="0"/>
        <w:rPr>
          <w:lang w:val="pt-PT"/>
        </w:rPr>
      </w:pPr>
    </w:p>
    <w:p w14:paraId="03D8BB44" w14:textId="77777777" w:rsidR="00266973" w:rsidRPr="009217B4" w:rsidRDefault="00266973" w:rsidP="00C81291">
      <w:pPr>
        <w:pStyle w:val="BasicParagraph"/>
        <w:rPr>
          <w:lang w:val="pt-BR"/>
        </w:rPr>
      </w:pPr>
    </w:p>
    <w:p w14:paraId="2C94D61A" w14:textId="77777777" w:rsidR="00266973" w:rsidRPr="009217B4" w:rsidRDefault="00266973" w:rsidP="00C81291">
      <w:pPr>
        <w:pStyle w:val="BasicParagraph"/>
        <w:rPr>
          <w:lang w:val="pt-BR"/>
        </w:rPr>
      </w:pPr>
    </w:p>
    <w:p w14:paraId="64E67856" w14:textId="77777777" w:rsidR="00266973" w:rsidRPr="009217B4" w:rsidRDefault="00266973" w:rsidP="00C81291">
      <w:pPr>
        <w:pStyle w:val="BasicParagraph"/>
        <w:rPr>
          <w:lang w:val="pt-BR"/>
        </w:rPr>
      </w:pPr>
    </w:p>
    <w:p w14:paraId="78A373B9" w14:textId="77777777" w:rsidR="00266973" w:rsidRPr="009217B4" w:rsidRDefault="00266973" w:rsidP="00C81291">
      <w:pPr>
        <w:pStyle w:val="BasicParagraph"/>
        <w:rPr>
          <w:lang w:val="pt-BR"/>
        </w:rPr>
      </w:pPr>
    </w:p>
    <w:p w14:paraId="319B8368" w14:textId="77777777" w:rsidR="00266973" w:rsidRPr="009217B4" w:rsidRDefault="00266973" w:rsidP="00C81291">
      <w:pPr>
        <w:pStyle w:val="BasicParagraph"/>
        <w:rPr>
          <w:lang w:val="pt-BR"/>
        </w:rPr>
      </w:pPr>
    </w:p>
    <w:p w14:paraId="360D08B8" w14:textId="77777777" w:rsidR="00266973" w:rsidRPr="009217B4" w:rsidRDefault="00266973" w:rsidP="00C81291">
      <w:pPr>
        <w:pStyle w:val="BasicParagraph"/>
        <w:rPr>
          <w:lang w:val="pt-BR"/>
        </w:rPr>
      </w:pPr>
    </w:p>
    <w:p w14:paraId="2D144FD0" w14:textId="77777777" w:rsidR="00266973" w:rsidRPr="009217B4" w:rsidRDefault="00266973" w:rsidP="00C81291">
      <w:pPr>
        <w:pStyle w:val="BasicParagraph"/>
        <w:rPr>
          <w:lang w:val="pt-BR"/>
        </w:rPr>
      </w:pPr>
    </w:p>
    <w:p w14:paraId="7F46B7A6" w14:textId="77777777" w:rsidR="00266973" w:rsidRPr="009217B4" w:rsidRDefault="00266973" w:rsidP="00C81291">
      <w:pPr>
        <w:pStyle w:val="BasicParagraph"/>
        <w:rPr>
          <w:lang w:val="pt-BR"/>
        </w:rPr>
      </w:pPr>
    </w:p>
    <w:p w14:paraId="57005A62" w14:textId="77777777" w:rsidR="00266973" w:rsidRPr="009217B4" w:rsidRDefault="00266973" w:rsidP="00C81291">
      <w:pPr>
        <w:pStyle w:val="BasicParagraph"/>
        <w:rPr>
          <w:lang w:val="pt-BR"/>
        </w:rPr>
      </w:pPr>
    </w:p>
    <w:p w14:paraId="43983DD7" w14:textId="77777777" w:rsidR="00266973" w:rsidRPr="009217B4" w:rsidRDefault="00266973" w:rsidP="00C81291">
      <w:pPr>
        <w:pStyle w:val="BasicParagraph"/>
        <w:rPr>
          <w:lang w:val="pt-BR"/>
        </w:rPr>
      </w:pPr>
    </w:p>
    <w:p w14:paraId="42892B96" w14:textId="0A149DFF" w:rsidR="00266973" w:rsidRDefault="00266973" w:rsidP="00C81291">
      <w:pPr>
        <w:pStyle w:val="BasicParagraph"/>
        <w:rPr>
          <w:lang w:val="pt-BR"/>
        </w:rPr>
      </w:pPr>
    </w:p>
    <w:p w14:paraId="53FDF6B5" w14:textId="50EE6B00" w:rsidR="00E82D49" w:rsidRDefault="00E82D49" w:rsidP="00C81291">
      <w:pPr>
        <w:pStyle w:val="BasicParagraph"/>
        <w:rPr>
          <w:lang w:val="pt-BR"/>
        </w:rPr>
      </w:pPr>
    </w:p>
    <w:p w14:paraId="658BB265" w14:textId="3B47ACE6" w:rsidR="00E82D49" w:rsidRDefault="00E82D49" w:rsidP="00C81291">
      <w:pPr>
        <w:pStyle w:val="BasicParagraph"/>
        <w:rPr>
          <w:lang w:val="pt-BR"/>
        </w:rPr>
      </w:pPr>
    </w:p>
    <w:p w14:paraId="47C0D616" w14:textId="4BE1DE5C" w:rsidR="00E82D49" w:rsidRDefault="00E82D49" w:rsidP="00C81291">
      <w:pPr>
        <w:pStyle w:val="BasicParagraph"/>
        <w:rPr>
          <w:lang w:val="pt-BR"/>
        </w:rPr>
      </w:pPr>
    </w:p>
    <w:p w14:paraId="2359E21A" w14:textId="77777777" w:rsidR="00266973" w:rsidRPr="00E82D49" w:rsidRDefault="00266973" w:rsidP="00E82D49">
      <w:pPr>
        <w:pStyle w:val="BasicParagraph"/>
        <w:jc w:val="center"/>
        <w:rPr>
          <w:rFonts w:ascii="Arial" w:hAnsi="Arial" w:cs="Arial"/>
          <w:lang w:val="pt-BR"/>
        </w:rPr>
      </w:pPr>
    </w:p>
    <w:p w14:paraId="4A43B34C" w14:textId="2C6D4E2B" w:rsidR="00266973" w:rsidRPr="00E82D49" w:rsidRDefault="00E82D49" w:rsidP="00E82D49">
      <w:pPr>
        <w:pStyle w:val="BasicParagraph"/>
        <w:jc w:val="center"/>
        <w:rPr>
          <w:rFonts w:ascii="Arial" w:hAnsi="Arial" w:cs="Arial"/>
          <w:lang w:val="pt-BR"/>
        </w:rPr>
      </w:pPr>
      <w:r w:rsidRPr="003717CD">
        <w:rPr>
          <w:rFonts w:ascii="Arial" w:hAnsi="Arial" w:cs="Arial"/>
          <w:sz w:val="22"/>
          <w:lang w:val="pt-BR"/>
        </w:rPr>
        <w:t>Porto, novembro de 2023</w:t>
      </w:r>
    </w:p>
    <w:p w14:paraId="6188559F" w14:textId="5DEC600A" w:rsidR="00E82D49" w:rsidRPr="003717CD" w:rsidRDefault="00E82D49" w:rsidP="00221878">
      <w:pPr>
        <w:pStyle w:val="BasicParagraph"/>
        <w:ind w:left="0" w:firstLine="0"/>
        <w:rPr>
          <w:lang w:val="pt-BR"/>
        </w:rPr>
      </w:pPr>
    </w:p>
    <w:p w14:paraId="12C426E3" w14:textId="77777777" w:rsidR="00E82D49" w:rsidRDefault="00E82D49" w:rsidP="00C81291">
      <w:pPr>
        <w:sectPr w:rsidR="00E82D49" w:rsidSect="009A02DE">
          <w:headerReference w:type="even" r:id="rId10"/>
          <w:headerReference w:type="default" r:id="rId11"/>
          <w:pgSz w:w="11900" w:h="16840"/>
          <w:pgMar w:top="1821" w:right="1641" w:bottom="1569" w:left="1700" w:header="711" w:footer="720" w:gutter="0"/>
          <w:cols w:space="720"/>
        </w:sectPr>
      </w:pPr>
    </w:p>
    <w:p w14:paraId="5473D601" w14:textId="785C873B" w:rsidR="001D3E5A" w:rsidRPr="00E82D49" w:rsidRDefault="00760A57" w:rsidP="00C81291">
      <w:pPr>
        <w:rPr>
          <w:b/>
          <w:bCs/>
        </w:rPr>
      </w:pPr>
      <w:r w:rsidRPr="00E82D49">
        <w:rPr>
          <w:b/>
          <w:bCs/>
        </w:rPr>
        <w:lastRenderedPageBreak/>
        <w:t>Agradecimentos</w:t>
      </w:r>
    </w:p>
    <w:p w14:paraId="3EB86A15" w14:textId="43CA8776" w:rsidR="00760A57" w:rsidRDefault="00760A57" w:rsidP="00C81291"/>
    <w:p w14:paraId="2F31C363" w14:textId="77777777" w:rsidR="00221878" w:rsidRPr="00221878" w:rsidRDefault="00221878" w:rsidP="00221878">
      <w:pPr>
        <w:rPr>
          <w:rFonts w:ascii="Helvetica" w:hAnsi="Helvetica"/>
          <w:color w:val="000000"/>
          <w:shd w:val="clear" w:color="auto" w:fill="FFFFFF"/>
        </w:rPr>
      </w:pPr>
      <w:r w:rsidRPr="00221878">
        <w:rPr>
          <w:rFonts w:ascii="Helvetica" w:hAnsi="Helvetica"/>
          <w:color w:val="000000"/>
          <w:shd w:val="clear" w:color="auto" w:fill="FFFFFF"/>
        </w:rPr>
        <w:t>Gostaria de agradecer o grande auxílio e apoio ao longo da elaboração deste trabalho à minha orientadora, Profa. Dra. Carla Giovana Basso, por todo suporte e orientação.</w:t>
      </w:r>
    </w:p>
    <w:p w14:paraId="2321871B" w14:textId="77777777" w:rsidR="00221878" w:rsidRPr="00221878" w:rsidRDefault="00221878" w:rsidP="00221878">
      <w:pPr>
        <w:rPr>
          <w:rFonts w:ascii="Helvetica" w:hAnsi="Helvetica"/>
          <w:color w:val="000000"/>
          <w:shd w:val="clear" w:color="auto" w:fill="FFFFFF"/>
        </w:rPr>
      </w:pPr>
      <w:r w:rsidRPr="00221878">
        <w:rPr>
          <w:rFonts w:ascii="Helvetica" w:hAnsi="Helvetica"/>
          <w:color w:val="000000"/>
          <w:shd w:val="clear" w:color="auto" w:fill="FFFFFF"/>
        </w:rPr>
        <w:t>À minha família, agradeço especialmente meu marido, que me encorajou neste sonho e meus filhos amados, por serem minha fortaleza nos momentos difíceis.</w:t>
      </w:r>
    </w:p>
    <w:p w14:paraId="5848DDFD" w14:textId="77777777" w:rsidR="00221878" w:rsidRPr="00221878" w:rsidRDefault="00221878" w:rsidP="00221878">
      <w:pPr>
        <w:rPr>
          <w:rFonts w:ascii="Helvetica" w:hAnsi="Helvetica"/>
          <w:color w:val="000000"/>
          <w:shd w:val="clear" w:color="auto" w:fill="FFFFFF"/>
        </w:rPr>
      </w:pPr>
      <w:r w:rsidRPr="00221878">
        <w:rPr>
          <w:rFonts w:ascii="Helvetica" w:hAnsi="Helvetica"/>
          <w:color w:val="000000"/>
          <w:shd w:val="clear" w:color="auto" w:fill="FFFFFF"/>
        </w:rPr>
        <w:t>Aos colegas e amigos do Laboratório Nilo Frantz, meu agradecimento pela ajuda e prontidão, estavam sempre dispostos a me auxiliar. Obrigada pela amizade, vocês tornaram este trabalho possível.</w:t>
      </w:r>
    </w:p>
    <w:p w14:paraId="637A83FB" w14:textId="125D963F" w:rsidR="004F5765" w:rsidRPr="000040E5" w:rsidRDefault="00221878" w:rsidP="00221878">
      <w:pPr>
        <w:rPr>
          <w:rFonts w:ascii="Helvetica" w:hAnsi="Helvetica"/>
          <w:color w:val="000000"/>
          <w:shd w:val="clear" w:color="auto" w:fill="FFFFFF"/>
        </w:rPr>
      </w:pPr>
      <w:r w:rsidRPr="00221878">
        <w:rPr>
          <w:rFonts w:ascii="Helvetica" w:hAnsi="Helvetica"/>
          <w:color w:val="000000"/>
          <w:shd w:val="clear" w:color="auto" w:fill="FFFFFF"/>
        </w:rPr>
        <w:t>E por fim, agradeço a Deus que sempre me conduziu com suas lições de amor e ética.</w:t>
      </w:r>
      <w:r>
        <w:rPr>
          <w:rFonts w:ascii="Helvetica" w:hAnsi="Helvetica"/>
          <w:color w:val="000000"/>
          <w:shd w:val="clear" w:color="auto" w:fill="FFFFFF"/>
        </w:rPr>
        <w:t xml:space="preserve"> </w:t>
      </w:r>
    </w:p>
    <w:p w14:paraId="6E2619DC" w14:textId="77339C5A" w:rsidR="004F5765" w:rsidRPr="000040E5" w:rsidRDefault="00221878" w:rsidP="004F5765">
      <w:pPr>
        <w:jc w:val="right"/>
        <w:rPr>
          <w:rFonts w:ascii="Helvetica" w:hAnsi="Helvetica"/>
        </w:rPr>
      </w:pPr>
      <w:r>
        <w:rPr>
          <w:rFonts w:ascii="Helvetica" w:hAnsi="Helvetica"/>
          <w:color w:val="000000"/>
          <w:shd w:val="clear" w:color="auto" w:fill="FFFFFF"/>
        </w:rPr>
        <w:t xml:space="preserve"> </w:t>
      </w:r>
    </w:p>
    <w:p w14:paraId="22C6EEE2" w14:textId="77777777" w:rsidR="009A02DE" w:rsidRDefault="00760A57" w:rsidP="00C81291">
      <w:pPr>
        <w:sectPr w:rsidR="009A02DE" w:rsidSect="009A02DE">
          <w:pgSz w:w="11900" w:h="16840"/>
          <w:pgMar w:top="1418" w:right="1134" w:bottom="1418" w:left="1134" w:header="711" w:footer="720" w:gutter="0"/>
          <w:cols w:space="720"/>
          <w:docGrid w:linePitch="299"/>
        </w:sectPr>
      </w:pPr>
      <w:r>
        <w:br w:type="page"/>
      </w:r>
    </w:p>
    <w:p w14:paraId="290C762C" w14:textId="63DF1517" w:rsidR="00760A57" w:rsidRPr="00DA6821" w:rsidRDefault="00760A57" w:rsidP="00435724">
      <w:pPr>
        <w:ind w:left="0" w:firstLine="0"/>
        <w:rPr>
          <w:b/>
          <w:bCs/>
          <w:lang w:val="pt-PT"/>
        </w:rPr>
      </w:pPr>
      <w:r w:rsidRPr="00DA6821">
        <w:rPr>
          <w:b/>
          <w:bCs/>
          <w:lang w:val="pt-PT"/>
        </w:rPr>
        <w:lastRenderedPageBreak/>
        <w:t>RESUMO</w:t>
      </w:r>
    </w:p>
    <w:p w14:paraId="209488F5" w14:textId="40D039D9" w:rsidR="00760A57" w:rsidRPr="00DA6821" w:rsidRDefault="00E82D49" w:rsidP="00435724">
      <w:pPr>
        <w:pStyle w:val="paragraph"/>
        <w:spacing w:line="360" w:lineRule="auto"/>
        <w:ind w:left="0" w:firstLine="0"/>
        <w:rPr>
          <w:rStyle w:val="eop"/>
          <w:rFonts w:ascii="Arial" w:hAnsi="Arial" w:cs="Arial"/>
        </w:rPr>
      </w:pPr>
      <w:r w:rsidRPr="00DA6821">
        <w:rPr>
          <w:rStyle w:val="normaltextrun"/>
          <w:rFonts w:ascii="Arial" w:hAnsi="Arial" w:cs="Arial"/>
          <w:b/>
          <w:bCs/>
        </w:rPr>
        <w:t xml:space="preserve">Introdução: </w:t>
      </w:r>
      <w:r w:rsidR="00AF227A" w:rsidRPr="00DA6821">
        <w:rPr>
          <w:rStyle w:val="normaltextrun"/>
          <w:rFonts w:ascii="Arial" w:hAnsi="Arial" w:cs="Arial"/>
        </w:rPr>
        <w:t xml:space="preserve">A estimulação ovariana controlada (EOC), em tratamentos de fertilização </w:t>
      </w:r>
      <w:r w:rsidR="00AF227A" w:rsidRPr="00122A92">
        <w:rPr>
          <w:rStyle w:val="normaltextrun"/>
          <w:rFonts w:ascii="Arial" w:hAnsi="Arial" w:cs="Arial"/>
          <w:i/>
          <w:iCs/>
        </w:rPr>
        <w:t>in vitro</w:t>
      </w:r>
      <w:r w:rsidR="00AF227A" w:rsidRPr="00DA6821">
        <w:rPr>
          <w:rStyle w:val="normaltextrun"/>
          <w:rFonts w:ascii="Arial" w:hAnsi="Arial" w:cs="Arial"/>
        </w:rPr>
        <w:t xml:space="preserve"> (FIV), permite o múltiplo recrutamento folicular, para posterior captação dos </w:t>
      </w:r>
      <w:proofErr w:type="spellStart"/>
      <w:r w:rsidR="00AF227A" w:rsidRPr="00DA6821">
        <w:rPr>
          <w:rStyle w:val="normaltextrun"/>
          <w:rFonts w:ascii="Arial" w:hAnsi="Arial" w:cs="Arial"/>
        </w:rPr>
        <w:t>oócitos</w:t>
      </w:r>
      <w:proofErr w:type="spellEnd"/>
      <w:r w:rsidR="00AF227A" w:rsidRPr="00DA6821">
        <w:rPr>
          <w:rStyle w:val="normaltextrun"/>
          <w:rFonts w:ascii="Arial" w:hAnsi="Arial" w:cs="Arial"/>
        </w:rPr>
        <w:t xml:space="preserve"> que serão destinados ao tratamento. O uso oral da progesterona (</w:t>
      </w:r>
      <w:proofErr w:type="spellStart"/>
      <w:r w:rsidR="00AF227A" w:rsidRPr="00DA6821">
        <w:rPr>
          <w:rStyle w:val="normaltextrun"/>
          <w:rFonts w:ascii="Arial" w:hAnsi="Arial" w:cs="Arial"/>
        </w:rPr>
        <w:t>didrogesterona</w:t>
      </w:r>
      <w:proofErr w:type="spellEnd"/>
      <w:r w:rsidR="00AF227A" w:rsidRPr="00DA6821">
        <w:rPr>
          <w:rStyle w:val="normaltextrun"/>
          <w:rFonts w:ascii="Arial" w:hAnsi="Arial" w:cs="Arial"/>
        </w:rPr>
        <w:t>), como bloqueio eficaz da elevação prematura do hormônio luteinizante (LH) em mulheres submetidas a EOC para FIV, foi um grande avanço por ser mais amigável e possibilitar a redução do custo do tratamento.</w:t>
      </w:r>
      <w:r w:rsidR="00760A57" w:rsidRPr="00DA6821">
        <w:rPr>
          <w:rStyle w:val="eop"/>
          <w:rFonts w:ascii="Arial" w:hAnsi="Arial" w:cs="Arial"/>
        </w:rPr>
        <w:t> </w:t>
      </w:r>
      <w:r w:rsidRPr="00DA6821">
        <w:rPr>
          <w:rStyle w:val="eop"/>
          <w:rFonts w:ascii="Arial" w:hAnsi="Arial" w:cs="Arial"/>
          <w:b/>
          <w:bCs/>
        </w:rPr>
        <w:t xml:space="preserve">Objetivo: </w:t>
      </w:r>
      <w:r w:rsidR="00AF227A" w:rsidRPr="00DA6821">
        <w:rPr>
          <w:rStyle w:val="eop"/>
          <w:rFonts w:ascii="Arial" w:hAnsi="Arial" w:cs="Arial"/>
        </w:rPr>
        <w:t>Avaliar os desfechos reprodutivos obtidos em pacientes em tratamento de reprodução assistida com protocolo de EOC com o uso do antagonista do hormônio liberador de gonadotrofinas (</w:t>
      </w:r>
      <w:proofErr w:type="spellStart"/>
      <w:r w:rsidR="00AF227A" w:rsidRPr="00DA6821">
        <w:rPr>
          <w:rStyle w:val="eop"/>
          <w:rFonts w:ascii="Arial" w:hAnsi="Arial" w:cs="Arial"/>
        </w:rPr>
        <w:t>GnRH</w:t>
      </w:r>
      <w:proofErr w:type="spellEnd"/>
      <w:r w:rsidR="00AF227A" w:rsidRPr="00DA6821">
        <w:rPr>
          <w:rStyle w:val="eop"/>
          <w:rFonts w:ascii="Arial" w:hAnsi="Arial" w:cs="Arial"/>
        </w:rPr>
        <w:t xml:space="preserve">) em comparação com os desfechos de pacientes com protocolo de EOC com o uso da </w:t>
      </w:r>
      <w:proofErr w:type="spellStart"/>
      <w:r w:rsidR="00AF227A" w:rsidRPr="00DA6821">
        <w:rPr>
          <w:rStyle w:val="eop"/>
          <w:rFonts w:ascii="Arial" w:hAnsi="Arial" w:cs="Arial"/>
        </w:rPr>
        <w:t>didrogesterona</w:t>
      </w:r>
      <w:proofErr w:type="spellEnd"/>
      <w:r w:rsidR="00AF227A" w:rsidRPr="00DA6821">
        <w:rPr>
          <w:rStyle w:val="eop"/>
          <w:rFonts w:ascii="Arial" w:hAnsi="Arial" w:cs="Arial"/>
        </w:rPr>
        <w:t xml:space="preserve">. </w:t>
      </w:r>
      <w:r w:rsidR="00760A57" w:rsidRPr="00DA6821">
        <w:rPr>
          <w:rStyle w:val="normaltextrun"/>
          <w:rFonts w:ascii="Arial" w:hAnsi="Arial" w:cs="Arial"/>
        </w:rPr>
        <w:t xml:space="preserve"> </w:t>
      </w:r>
      <w:r w:rsidR="001003AB" w:rsidRPr="00DA6821">
        <w:rPr>
          <w:rStyle w:val="normaltextrun"/>
          <w:rFonts w:ascii="Arial" w:hAnsi="Arial" w:cs="Arial"/>
          <w:b/>
          <w:bCs/>
        </w:rPr>
        <w:t>Materiais e</w:t>
      </w:r>
      <w:r w:rsidR="001003AB" w:rsidRPr="00DA6821">
        <w:rPr>
          <w:rStyle w:val="normaltextrun"/>
          <w:rFonts w:ascii="Arial" w:hAnsi="Arial" w:cs="Arial"/>
        </w:rPr>
        <w:t xml:space="preserve"> </w:t>
      </w:r>
      <w:r w:rsidRPr="00DA6821">
        <w:rPr>
          <w:rStyle w:val="normaltextrun"/>
          <w:rFonts w:ascii="Arial" w:hAnsi="Arial" w:cs="Arial"/>
          <w:b/>
          <w:bCs/>
        </w:rPr>
        <w:t>Método</w:t>
      </w:r>
      <w:r w:rsidR="001003AB" w:rsidRPr="00DA6821">
        <w:rPr>
          <w:rStyle w:val="normaltextrun"/>
          <w:rFonts w:ascii="Arial" w:hAnsi="Arial" w:cs="Arial"/>
          <w:b/>
          <w:bCs/>
        </w:rPr>
        <w:t>s</w:t>
      </w:r>
      <w:r w:rsidRPr="00DA6821">
        <w:rPr>
          <w:rStyle w:val="normaltextrun"/>
          <w:rFonts w:ascii="Arial" w:hAnsi="Arial" w:cs="Arial"/>
          <w:b/>
          <w:bCs/>
        </w:rPr>
        <w:t xml:space="preserve">: </w:t>
      </w:r>
      <w:r w:rsidR="00AF227A" w:rsidRPr="00DA6821">
        <w:rPr>
          <w:rStyle w:val="normaltextrun"/>
          <w:rFonts w:ascii="Arial" w:hAnsi="Arial" w:cs="Arial"/>
        </w:rPr>
        <w:t xml:space="preserve">Foi realizado um estudo retrospectivo através de análise de prontuários de pacientes atendidos em Clínica privada de medicina reprodutiva (Nilo Frantz Medicina Reprodutiva), Brasil, São Paulo, submetidas ao tratamento de EOC para FIV, com regimes distintos de EOC. As pacientes foram divididas em dois grupos: Grupo </w:t>
      </w:r>
      <w:proofErr w:type="spellStart"/>
      <w:r w:rsidR="00AF227A" w:rsidRPr="00DA6821">
        <w:rPr>
          <w:rStyle w:val="normaltextrun"/>
          <w:rFonts w:ascii="Arial" w:hAnsi="Arial" w:cs="Arial"/>
        </w:rPr>
        <w:t>Didrogesterona</w:t>
      </w:r>
      <w:proofErr w:type="spellEnd"/>
      <w:r w:rsidR="00AF227A" w:rsidRPr="00DA6821">
        <w:rPr>
          <w:rStyle w:val="normaltextrun"/>
          <w:rFonts w:ascii="Arial" w:hAnsi="Arial" w:cs="Arial"/>
        </w:rPr>
        <w:t xml:space="preserve"> com 17 ciclos, que utilizou o protocolo de EOC de bloqueio hipofisário com esta medicação e Grupo Antagonista com 35 ciclos, que utilizou o protocolo de EOC com antagonista do </w:t>
      </w:r>
      <w:proofErr w:type="spellStart"/>
      <w:r w:rsidR="00AF227A" w:rsidRPr="00DA6821">
        <w:rPr>
          <w:rStyle w:val="normaltextrun"/>
          <w:rFonts w:ascii="Arial" w:hAnsi="Arial" w:cs="Arial"/>
        </w:rPr>
        <w:t>GnRH</w:t>
      </w:r>
      <w:proofErr w:type="spellEnd"/>
      <w:r w:rsidR="00AF227A" w:rsidRPr="00DA6821">
        <w:rPr>
          <w:rStyle w:val="normaltextrun"/>
          <w:rFonts w:ascii="Arial" w:hAnsi="Arial" w:cs="Arial"/>
        </w:rPr>
        <w:t xml:space="preserve">. </w:t>
      </w:r>
      <w:r w:rsidR="00AF227A" w:rsidRPr="00DA6821">
        <w:rPr>
          <w:rStyle w:val="normaltextrun"/>
          <w:rFonts w:ascii="Arial" w:hAnsi="Arial" w:cs="Arial"/>
          <w:b/>
          <w:bCs/>
        </w:rPr>
        <w:t>Resultados</w:t>
      </w:r>
      <w:r w:rsidRPr="00DA6821">
        <w:rPr>
          <w:rStyle w:val="normaltextrun"/>
          <w:rFonts w:ascii="Arial" w:hAnsi="Arial" w:cs="Arial"/>
          <w:b/>
          <w:bCs/>
        </w:rPr>
        <w:t xml:space="preserve">: </w:t>
      </w:r>
      <w:r w:rsidR="00AF227A" w:rsidRPr="00DA6821">
        <w:rPr>
          <w:rStyle w:val="normaltextrun"/>
          <w:rFonts w:ascii="Arial" w:hAnsi="Arial" w:cs="Arial"/>
        </w:rPr>
        <w:t>Não foi encontrado diferença entre os grupos para qualidade embrionária e tempo para o embrião atingir o estágio de blastocisto. Nos demais desfechos analisados, também não foi encontrado diferença entre os grupos</w:t>
      </w:r>
      <w:r w:rsidR="00760A57" w:rsidRPr="00DA6821">
        <w:rPr>
          <w:rStyle w:val="normaltextrun"/>
          <w:rFonts w:ascii="Arial" w:hAnsi="Arial" w:cs="Arial"/>
        </w:rPr>
        <w:t>. </w:t>
      </w:r>
      <w:r w:rsidRPr="00DA6821">
        <w:rPr>
          <w:rStyle w:val="normaltextrun"/>
          <w:rFonts w:ascii="Arial" w:hAnsi="Arial" w:cs="Arial"/>
          <w:b/>
          <w:bCs/>
        </w:rPr>
        <w:t xml:space="preserve"> Conclusão: </w:t>
      </w:r>
      <w:r w:rsidR="00AF227A" w:rsidRPr="00DA6821">
        <w:rPr>
          <w:rStyle w:val="eop"/>
          <w:rFonts w:ascii="Arial" w:hAnsi="Arial" w:cs="Arial"/>
        </w:rPr>
        <w:t xml:space="preserve">Não foi observado diferença significativa entre os desfechos reprodutivos obtidos com o uso de protocolo com </w:t>
      </w:r>
      <w:proofErr w:type="spellStart"/>
      <w:r w:rsidR="00AF227A" w:rsidRPr="00DA6821">
        <w:rPr>
          <w:rStyle w:val="eop"/>
          <w:rFonts w:ascii="Arial" w:hAnsi="Arial" w:cs="Arial"/>
        </w:rPr>
        <w:t>didrogesterona</w:t>
      </w:r>
      <w:proofErr w:type="spellEnd"/>
      <w:r w:rsidR="00AF227A" w:rsidRPr="00DA6821">
        <w:rPr>
          <w:rStyle w:val="eop"/>
          <w:rFonts w:ascii="Arial" w:hAnsi="Arial" w:cs="Arial"/>
        </w:rPr>
        <w:t xml:space="preserve"> na EOC em relação ao uso de protocolo com antagonista do </w:t>
      </w:r>
      <w:proofErr w:type="spellStart"/>
      <w:r w:rsidR="00AF227A" w:rsidRPr="00DA6821">
        <w:rPr>
          <w:rStyle w:val="eop"/>
          <w:rFonts w:ascii="Arial" w:hAnsi="Arial" w:cs="Arial"/>
        </w:rPr>
        <w:t>GnRH</w:t>
      </w:r>
      <w:proofErr w:type="spellEnd"/>
      <w:r w:rsidR="00AF227A" w:rsidRPr="00DA6821">
        <w:rPr>
          <w:rStyle w:val="eop"/>
          <w:rFonts w:ascii="Arial" w:hAnsi="Arial" w:cs="Arial"/>
        </w:rPr>
        <w:t>.</w:t>
      </w:r>
    </w:p>
    <w:p w14:paraId="7F8D74F5" w14:textId="4FC631A7" w:rsidR="00435724" w:rsidRPr="00DA6821" w:rsidRDefault="00435724" w:rsidP="00435724">
      <w:pPr>
        <w:pStyle w:val="paragraph"/>
        <w:spacing w:line="360" w:lineRule="auto"/>
        <w:ind w:left="0" w:firstLine="0"/>
        <w:rPr>
          <w:rStyle w:val="eop"/>
          <w:rFonts w:ascii="Arial" w:hAnsi="Arial" w:cs="Arial"/>
        </w:rPr>
      </w:pPr>
      <w:r w:rsidRPr="00F954EC">
        <w:rPr>
          <w:rStyle w:val="eop"/>
          <w:rFonts w:ascii="Arial" w:hAnsi="Arial" w:cs="Arial"/>
          <w:b/>
          <w:bCs/>
        </w:rPr>
        <w:t>Palavras-chave</w:t>
      </w:r>
      <w:r w:rsidR="00AF227A" w:rsidRPr="00F954EC">
        <w:rPr>
          <w:rStyle w:val="eop"/>
          <w:rFonts w:ascii="Arial" w:hAnsi="Arial" w:cs="Arial"/>
          <w:b/>
          <w:bCs/>
        </w:rPr>
        <w:t xml:space="preserve">: </w:t>
      </w:r>
      <w:r w:rsidRPr="00F954EC">
        <w:rPr>
          <w:rStyle w:val="eop"/>
          <w:rFonts w:ascii="Arial" w:hAnsi="Arial" w:cs="Arial"/>
        </w:rPr>
        <w:t xml:space="preserve"> </w:t>
      </w:r>
      <w:r w:rsidR="00F954EC" w:rsidRPr="00F954EC">
        <w:rPr>
          <w:rStyle w:val="eop"/>
          <w:rFonts w:ascii="Arial" w:hAnsi="Arial" w:cs="Arial"/>
        </w:rPr>
        <w:t xml:space="preserve">fertilização </w:t>
      </w:r>
      <w:r w:rsidR="00F954EC" w:rsidRPr="00122A92">
        <w:rPr>
          <w:rStyle w:val="eop"/>
          <w:rFonts w:ascii="Arial" w:hAnsi="Arial" w:cs="Arial"/>
          <w:i/>
          <w:iCs/>
        </w:rPr>
        <w:t>in vitro</w:t>
      </w:r>
      <w:r w:rsidR="00F954EC" w:rsidRPr="00F954EC">
        <w:rPr>
          <w:rStyle w:val="eop"/>
          <w:rFonts w:ascii="Arial" w:hAnsi="Arial" w:cs="Arial"/>
        </w:rPr>
        <w:t xml:space="preserve">, </w:t>
      </w:r>
      <w:proofErr w:type="spellStart"/>
      <w:r w:rsidR="00F954EC" w:rsidRPr="00F954EC">
        <w:rPr>
          <w:rStyle w:val="eop"/>
          <w:rFonts w:ascii="Arial" w:hAnsi="Arial" w:cs="Arial"/>
        </w:rPr>
        <w:t>didroge</w:t>
      </w:r>
      <w:r w:rsidR="00122A92">
        <w:rPr>
          <w:rStyle w:val="eop"/>
          <w:rFonts w:ascii="Arial" w:hAnsi="Arial" w:cs="Arial"/>
        </w:rPr>
        <w:t>s</w:t>
      </w:r>
      <w:r w:rsidR="00F954EC" w:rsidRPr="00F954EC">
        <w:rPr>
          <w:rStyle w:val="eop"/>
          <w:rFonts w:ascii="Arial" w:hAnsi="Arial" w:cs="Arial"/>
        </w:rPr>
        <w:t>terona</w:t>
      </w:r>
      <w:proofErr w:type="spellEnd"/>
      <w:r w:rsidR="00F954EC" w:rsidRPr="00F954EC">
        <w:rPr>
          <w:rStyle w:val="eop"/>
          <w:rFonts w:ascii="Arial" w:hAnsi="Arial" w:cs="Arial"/>
        </w:rPr>
        <w:t xml:space="preserve">, </w:t>
      </w:r>
      <w:r w:rsidR="00122A92" w:rsidRPr="00F954EC">
        <w:rPr>
          <w:rStyle w:val="eop"/>
          <w:rFonts w:ascii="Arial" w:hAnsi="Arial" w:cs="Arial"/>
        </w:rPr>
        <w:t>estimulação</w:t>
      </w:r>
      <w:r w:rsidR="00F954EC" w:rsidRPr="00F954EC">
        <w:rPr>
          <w:rStyle w:val="eop"/>
          <w:rFonts w:ascii="Arial" w:hAnsi="Arial" w:cs="Arial"/>
        </w:rPr>
        <w:t xml:space="preserve"> ovariana, embrião</w:t>
      </w:r>
      <w:r w:rsidR="00F954EC">
        <w:rPr>
          <w:rStyle w:val="eop"/>
          <w:rFonts w:ascii="Arial" w:hAnsi="Arial" w:cs="Arial"/>
        </w:rPr>
        <w:t>.</w:t>
      </w:r>
    </w:p>
    <w:p w14:paraId="33854E79" w14:textId="79F65C24" w:rsidR="00760A57" w:rsidRDefault="00760A57" w:rsidP="006E7C16">
      <w:pPr>
        <w:pStyle w:val="paragraph"/>
        <w:spacing w:line="360" w:lineRule="auto"/>
        <w:rPr>
          <w:rStyle w:val="eop"/>
          <w:rFonts w:ascii="Helvetica" w:hAnsi="Helvetica" w:cs="Segoe UI"/>
        </w:rPr>
      </w:pPr>
    </w:p>
    <w:p w14:paraId="7B39D0E7" w14:textId="7410299F" w:rsidR="00760A57" w:rsidRDefault="00760A57" w:rsidP="006E7C16">
      <w:pPr>
        <w:pStyle w:val="paragraph"/>
        <w:spacing w:line="360" w:lineRule="auto"/>
        <w:rPr>
          <w:rStyle w:val="eop"/>
          <w:rFonts w:ascii="Helvetica" w:hAnsi="Helvetica" w:cs="Segoe UI"/>
        </w:rPr>
      </w:pPr>
    </w:p>
    <w:p w14:paraId="2B19B4C5" w14:textId="1438B4B9" w:rsidR="00760A57" w:rsidRDefault="00760A57" w:rsidP="00C81291">
      <w:pPr>
        <w:pStyle w:val="paragraph"/>
        <w:rPr>
          <w:rStyle w:val="eop"/>
          <w:rFonts w:ascii="Helvetica" w:hAnsi="Helvetica" w:cs="Segoe UI"/>
        </w:rPr>
      </w:pPr>
    </w:p>
    <w:p w14:paraId="5E79D7CD" w14:textId="0358AEF7" w:rsidR="00760A57" w:rsidRDefault="00760A57" w:rsidP="00C81291">
      <w:pPr>
        <w:pStyle w:val="paragraph"/>
        <w:rPr>
          <w:rStyle w:val="eop"/>
          <w:rFonts w:ascii="Helvetica" w:hAnsi="Helvetica" w:cs="Segoe UI"/>
        </w:rPr>
      </w:pPr>
    </w:p>
    <w:p w14:paraId="53635619" w14:textId="4FE198B4" w:rsidR="00435724" w:rsidRPr="00DA6821" w:rsidRDefault="00760A57" w:rsidP="00435724">
      <w:pPr>
        <w:ind w:left="0" w:firstLine="0"/>
        <w:rPr>
          <w:rStyle w:val="eop"/>
          <w:b/>
          <w:bCs/>
          <w:sz w:val="24"/>
          <w:szCs w:val="24"/>
          <w:lang w:val="en-US"/>
        </w:rPr>
      </w:pPr>
      <w:r w:rsidRPr="00F93E6E">
        <w:rPr>
          <w:rStyle w:val="eop"/>
          <w:rFonts w:ascii="Helvetica" w:hAnsi="Helvetica" w:cs="Segoe UI"/>
          <w:lang w:val="en-US"/>
        </w:rPr>
        <w:br w:type="page"/>
      </w:r>
      <w:r w:rsidRPr="00DA6821">
        <w:rPr>
          <w:rStyle w:val="eop"/>
          <w:b/>
          <w:bCs/>
          <w:sz w:val="24"/>
          <w:szCs w:val="24"/>
          <w:lang w:val="en-US"/>
        </w:rPr>
        <w:lastRenderedPageBreak/>
        <w:t>ABSTRACT</w:t>
      </w:r>
    </w:p>
    <w:p w14:paraId="1CAC02D7" w14:textId="77777777" w:rsidR="00435724" w:rsidRPr="00DA6821" w:rsidRDefault="00435724" w:rsidP="00435724">
      <w:pPr>
        <w:ind w:left="0" w:firstLine="0"/>
        <w:rPr>
          <w:rStyle w:val="eop"/>
          <w:b/>
          <w:bCs/>
          <w:sz w:val="24"/>
          <w:szCs w:val="24"/>
          <w:lang w:val="en-US"/>
        </w:rPr>
      </w:pPr>
    </w:p>
    <w:p w14:paraId="1E8BAF24" w14:textId="70F2143F" w:rsidR="00435724" w:rsidRPr="00DA6821" w:rsidRDefault="00435724" w:rsidP="001003AB">
      <w:pPr>
        <w:ind w:left="0" w:firstLine="0"/>
        <w:rPr>
          <w:color w:val="202124"/>
          <w:sz w:val="24"/>
          <w:szCs w:val="24"/>
          <w:lang w:val="en-US"/>
        </w:rPr>
      </w:pPr>
      <w:r w:rsidRPr="00DA6821">
        <w:rPr>
          <w:rStyle w:val="eop"/>
          <w:b/>
          <w:bCs/>
          <w:sz w:val="24"/>
          <w:szCs w:val="24"/>
          <w:lang w:val="en-US"/>
        </w:rPr>
        <w:t xml:space="preserve">Introduction: </w:t>
      </w:r>
      <w:r w:rsidR="00AF227A" w:rsidRPr="00DA6821">
        <w:rPr>
          <w:rStyle w:val="normaltextrun"/>
          <w:sz w:val="24"/>
          <w:szCs w:val="24"/>
          <w:lang w:val="en-US"/>
        </w:rPr>
        <w:t xml:space="preserve">Controlled ovarian stimulation (COS), in women treatment for in vitro fertilization (IVF), allows multiple follicular recruitment, for subsequent capture of oocytes that will be fertilized. The oral use of progesterone, effectively blocking the premature rise of luteinizing hormone (LH) in women undergoing COS for IVF. The progesterone protocol is more user-friendly and allows for a reduction in the cost of treatment. </w:t>
      </w:r>
      <w:r w:rsidRPr="00DA6821">
        <w:rPr>
          <w:rStyle w:val="eop"/>
          <w:b/>
          <w:bCs/>
          <w:sz w:val="24"/>
          <w:szCs w:val="24"/>
          <w:lang w:val="en-US"/>
        </w:rPr>
        <w:t xml:space="preserve">Objective: </w:t>
      </w:r>
      <w:r w:rsidR="00AF227A" w:rsidRPr="00DA6821">
        <w:rPr>
          <w:rStyle w:val="eop"/>
          <w:sz w:val="24"/>
          <w:szCs w:val="24"/>
          <w:lang w:val="en-US"/>
        </w:rPr>
        <w:t xml:space="preserve">To evaluate the embryos obtained in COS protocols with the use of gonadotropin-releasing hormone (GnRH) antagonist and with the use of </w:t>
      </w:r>
      <w:proofErr w:type="spellStart"/>
      <w:r w:rsidR="00AF227A" w:rsidRPr="00DA6821">
        <w:rPr>
          <w:rStyle w:val="eop"/>
          <w:sz w:val="24"/>
          <w:szCs w:val="24"/>
          <w:lang w:val="en-US"/>
        </w:rPr>
        <w:t>dydrogesterone</w:t>
      </w:r>
      <w:proofErr w:type="spellEnd"/>
      <w:r w:rsidR="00AF227A" w:rsidRPr="00DA6821">
        <w:rPr>
          <w:rStyle w:val="eop"/>
          <w:sz w:val="24"/>
          <w:szCs w:val="24"/>
          <w:lang w:val="en-US"/>
        </w:rPr>
        <w:t xml:space="preserve"> and compare them. The secondary objective was to compare the protocols in other reproductive outcomes, such as cycle length, gonadotropin dose, number of oocytes, fertilization rate and blastocyst rate</w:t>
      </w:r>
      <w:r w:rsidRPr="00DA6821">
        <w:rPr>
          <w:rStyle w:val="normaltextrun"/>
          <w:sz w:val="24"/>
          <w:szCs w:val="24"/>
          <w:lang w:val="en-US"/>
        </w:rPr>
        <w:t xml:space="preserve">. </w:t>
      </w:r>
      <w:r w:rsidR="001003AB" w:rsidRPr="00DA6821">
        <w:rPr>
          <w:rStyle w:val="normaltextrun"/>
          <w:b/>
          <w:bCs/>
          <w:sz w:val="24"/>
          <w:szCs w:val="24"/>
          <w:lang w:val="en-US"/>
        </w:rPr>
        <w:t>Materials and Methods</w:t>
      </w:r>
      <w:r w:rsidRPr="00DA6821">
        <w:rPr>
          <w:rStyle w:val="normaltextrun"/>
          <w:b/>
          <w:bCs/>
          <w:sz w:val="24"/>
          <w:szCs w:val="24"/>
          <w:lang w:val="en-US"/>
        </w:rPr>
        <w:t xml:space="preserve">: </w:t>
      </w:r>
      <w:r w:rsidR="00AF227A" w:rsidRPr="00DA6821">
        <w:rPr>
          <w:rStyle w:val="normaltextrun"/>
          <w:sz w:val="24"/>
          <w:szCs w:val="24"/>
          <w:lang w:val="en-US"/>
        </w:rPr>
        <w:t>A retrospective study was carried out through analysis of medical records of patients treated at a private reproductive medicine clinic (</w:t>
      </w:r>
      <w:proofErr w:type="spellStart"/>
      <w:r w:rsidR="00AF227A" w:rsidRPr="00DA6821">
        <w:rPr>
          <w:rStyle w:val="normaltextrun"/>
          <w:sz w:val="24"/>
          <w:szCs w:val="24"/>
          <w:lang w:val="en-US"/>
        </w:rPr>
        <w:t>Nilo</w:t>
      </w:r>
      <w:proofErr w:type="spellEnd"/>
      <w:r w:rsidR="00AF227A" w:rsidRPr="00DA6821">
        <w:rPr>
          <w:rStyle w:val="normaltextrun"/>
          <w:sz w:val="24"/>
          <w:szCs w:val="24"/>
          <w:lang w:val="en-US"/>
        </w:rPr>
        <w:t xml:space="preserve"> Frantz </w:t>
      </w:r>
      <w:proofErr w:type="spellStart"/>
      <w:r w:rsidR="00AF227A" w:rsidRPr="00DA6821">
        <w:rPr>
          <w:rStyle w:val="normaltextrun"/>
          <w:sz w:val="24"/>
          <w:szCs w:val="24"/>
          <w:lang w:val="en-US"/>
        </w:rPr>
        <w:t>Medicina</w:t>
      </w:r>
      <w:proofErr w:type="spellEnd"/>
      <w:r w:rsidR="00AF227A" w:rsidRPr="00DA6821">
        <w:rPr>
          <w:rStyle w:val="normaltextrun"/>
          <w:sz w:val="24"/>
          <w:szCs w:val="24"/>
          <w:lang w:val="en-US"/>
        </w:rPr>
        <w:t xml:space="preserve"> </w:t>
      </w:r>
      <w:proofErr w:type="spellStart"/>
      <w:r w:rsidR="00AF227A" w:rsidRPr="00DA6821">
        <w:rPr>
          <w:rStyle w:val="normaltextrun"/>
          <w:sz w:val="24"/>
          <w:szCs w:val="24"/>
          <w:lang w:val="en-US"/>
        </w:rPr>
        <w:t>Reproductiva</w:t>
      </w:r>
      <w:proofErr w:type="spellEnd"/>
      <w:r w:rsidR="00AF227A" w:rsidRPr="00DA6821">
        <w:rPr>
          <w:rStyle w:val="normaltextrun"/>
          <w:sz w:val="24"/>
          <w:szCs w:val="24"/>
          <w:lang w:val="en-US"/>
        </w:rPr>
        <w:t xml:space="preserve">), Brazil, São Paulo, undergoing COS treatment for IVF, with different COS regimens. Patients were divided into two groups: </w:t>
      </w:r>
      <w:proofErr w:type="spellStart"/>
      <w:r w:rsidR="00AF227A" w:rsidRPr="00DA6821">
        <w:rPr>
          <w:rStyle w:val="normaltextrun"/>
          <w:sz w:val="24"/>
          <w:szCs w:val="24"/>
          <w:lang w:val="en-US"/>
        </w:rPr>
        <w:t>Dydrogesterone</w:t>
      </w:r>
      <w:proofErr w:type="spellEnd"/>
      <w:r w:rsidR="00AF227A" w:rsidRPr="00DA6821">
        <w:rPr>
          <w:rStyle w:val="normaltextrun"/>
          <w:sz w:val="24"/>
          <w:szCs w:val="24"/>
          <w:lang w:val="en-US"/>
        </w:rPr>
        <w:t xml:space="preserve"> Group with 17 cycles, which used the pituitary block COS protocol with this medication and Antagonist Group with 35 cycles, which used the COS protocol with GnRH antagonist. No difference was found between the groups for embryonic quality and time for the embryo to reach the blastocyst stage. In the other outcomes analyzed, no difference was found between the groups.</w:t>
      </w:r>
      <w:r w:rsidRPr="00DA6821">
        <w:rPr>
          <w:rStyle w:val="normaltextrun"/>
          <w:i/>
          <w:iCs/>
          <w:sz w:val="24"/>
          <w:szCs w:val="24"/>
          <w:lang w:val="en-US"/>
        </w:rPr>
        <w:t xml:space="preserve"> </w:t>
      </w:r>
      <w:r w:rsidRPr="00DA6821">
        <w:rPr>
          <w:rStyle w:val="normaltextrun"/>
          <w:b/>
          <w:bCs/>
          <w:sz w:val="24"/>
          <w:szCs w:val="24"/>
          <w:lang w:val="en-US"/>
        </w:rPr>
        <w:t xml:space="preserve">Results: </w:t>
      </w:r>
      <w:r w:rsidR="001003AB" w:rsidRPr="00DA6821">
        <w:rPr>
          <w:rStyle w:val="normaltextrun"/>
          <w:sz w:val="24"/>
          <w:szCs w:val="24"/>
          <w:lang w:val="en-US"/>
        </w:rPr>
        <w:t>No difference was found between the groups for embryonic quality and time for the embryo to reach the blastocyst stage. In the other outcomes analyzed, no difference was found between the groups.</w:t>
      </w:r>
      <w:r w:rsidRPr="00DA6821">
        <w:rPr>
          <w:rStyle w:val="normaltextrun"/>
          <w:sz w:val="24"/>
          <w:szCs w:val="24"/>
          <w:lang w:val="en-US"/>
        </w:rPr>
        <w:t> </w:t>
      </w:r>
      <w:r w:rsidRPr="00DA6821">
        <w:rPr>
          <w:rStyle w:val="normaltextrun"/>
          <w:b/>
          <w:bCs/>
          <w:sz w:val="24"/>
          <w:szCs w:val="24"/>
          <w:lang w:val="en-US"/>
        </w:rPr>
        <w:t xml:space="preserve"> Conclusion: </w:t>
      </w:r>
      <w:r w:rsidR="001003AB" w:rsidRPr="00DA6821">
        <w:rPr>
          <w:rStyle w:val="eop"/>
          <w:sz w:val="24"/>
          <w:szCs w:val="24"/>
          <w:lang w:val="en-US"/>
        </w:rPr>
        <w:t xml:space="preserve">In this study, the </w:t>
      </w:r>
      <w:proofErr w:type="spellStart"/>
      <w:r w:rsidR="001003AB" w:rsidRPr="00DA6821">
        <w:rPr>
          <w:rStyle w:val="eop"/>
          <w:sz w:val="24"/>
          <w:szCs w:val="24"/>
          <w:lang w:val="en-US"/>
        </w:rPr>
        <w:t>dydrogesterone</w:t>
      </w:r>
      <w:proofErr w:type="spellEnd"/>
      <w:r w:rsidR="001003AB" w:rsidRPr="00DA6821">
        <w:rPr>
          <w:rStyle w:val="eop"/>
          <w:sz w:val="24"/>
          <w:szCs w:val="24"/>
          <w:lang w:val="en-US"/>
        </w:rPr>
        <w:t xml:space="preserve"> protocol in COS achieved embryological and clinical results comparable to those found in the GnRH antagonist protocol.</w:t>
      </w:r>
    </w:p>
    <w:p w14:paraId="743947DC" w14:textId="1ADDC68C" w:rsidR="004E3A87" w:rsidRPr="00F954EC" w:rsidRDefault="00435724" w:rsidP="007F0827">
      <w:pPr>
        <w:pStyle w:val="paragraph"/>
        <w:spacing w:line="360" w:lineRule="auto"/>
        <w:ind w:left="0" w:firstLine="0"/>
        <w:rPr>
          <w:rStyle w:val="eop"/>
          <w:rFonts w:ascii="Helvetica" w:hAnsi="Helvetica" w:cs="Segoe UI"/>
          <w:sz w:val="22"/>
          <w:lang w:val="en-US"/>
        </w:rPr>
      </w:pPr>
      <w:r w:rsidRPr="00F954EC">
        <w:rPr>
          <w:rStyle w:val="eop"/>
          <w:rFonts w:ascii="Helvetica" w:hAnsi="Helvetica" w:cs="Segoe UI"/>
          <w:b/>
          <w:bCs/>
          <w:lang w:val="en-US"/>
        </w:rPr>
        <w:t>Keywords:</w:t>
      </w:r>
      <w:r w:rsidRPr="00F954EC">
        <w:rPr>
          <w:rStyle w:val="eop"/>
          <w:rFonts w:ascii="Helvetica" w:hAnsi="Helvetica" w:cs="Segoe UI"/>
          <w:lang w:val="en-US"/>
        </w:rPr>
        <w:t xml:space="preserve"> </w:t>
      </w:r>
      <w:r w:rsidR="00F954EC" w:rsidRPr="00F954EC">
        <w:rPr>
          <w:rStyle w:val="eop"/>
          <w:rFonts w:ascii="Arial" w:hAnsi="Arial" w:cs="Arial"/>
          <w:lang w:val="en-US"/>
        </w:rPr>
        <w:t xml:space="preserve"> IVF, </w:t>
      </w:r>
      <w:proofErr w:type="spellStart"/>
      <w:r w:rsidR="00F954EC" w:rsidRPr="00F954EC">
        <w:rPr>
          <w:rStyle w:val="eop"/>
          <w:rFonts w:ascii="Arial" w:hAnsi="Arial" w:cs="Arial"/>
          <w:lang w:val="en-US"/>
        </w:rPr>
        <w:t>dydroge</w:t>
      </w:r>
      <w:r w:rsidR="00122A92">
        <w:rPr>
          <w:rStyle w:val="eop"/>
          <w:rFonts w:ascii="Arial" w:hAnsi="Arial" w:cs="Arial"/>
          <w:lang w:val="en-US"/>
        </w:rPr>
        <w:t>s</w:t>
      </w:r>
      <w:r w:rsidR="00F954EC" w:rsidRPr="00F954EC">
        <w:rPr>
          <w:rStyle w:val="eop"/>
          <w:rFonts w:ascii="Arial" w:hAnsi="Arial" w:cs="Arial"/>
          <w:lang w:val="en-US"/>
        </w:rPr>
        <w:t>terone</w:t>
      </w:r>
      <w:proofErr w:type="spellEnd"/>
      <w:r w:rsidR="00F954EC" w:rsidRPr="00F954EC">
        <w:rPr>
          <w:rStyle w:val="eop"/>
          <w:rFonts w:ascii="Arial" w:hAnsi="Arial" w:cs="Arial"/>
          <w:lang w:val="en-US"/>
        </w:rPr>
        <w:t>, ovarian stimulation, embryo.</w:t>
      </w:r>
    </w:p>
    <w:p w14:paraId="766BFA2A" w14:textId="27691D2A" w:rsidR="00760A57" w:rsidRPr="00F954EC" w:rsidRDefault="00760A57" w:rsidP="007F0827">
      <w:pPr>
        <w:rPr>
          <w:rFonts w:ascii="Helvetica" w:hAnsi="Helvetica"/>
          <w:lang w:val="en-US"/>
        </w:rPr>
      </w:pPr>
    </w:p>
    <w:p w14:paraId="06908A23" w14:textId="721004D4" w:rsidR="00760A57" w:rsidRPr="00F954EC" w:rsidRDefault="00760A57" w:rsidP="007F0827">
      <w:pPr>
        <w:rPr>
          <w:rFonts w:ascii="Helvetica" w:hAnsi="Helvetica"/>
          <w:lang w:val="en-US"/>
        </w:rPr>
      </w:pPr>
    </w:p>
    <w:p w14:paraId="6B9627FB" w14:textId="7A88C8D5" w:rsidR="00760A57" w:rsidRPr="00F954EC" w:rsidRDefault="00760A57" w:rsidP="007F0827">
      <w:pPr>
        <w:rPr>
          <w:rFonts w:ascii="Helvetica" w:hAnsi="Helvetica"/>
          <w:lang w:val="en-US"/>
        </w:rPr>
      </w:pPr>
    </w:p>
    <w:p w14:paraId="6C8D8EEF" w14:textId="0DB154E6" w:rsidR="00760A57" w:rsidRPr="00F954EC" w:rsidRDefault="00760A57" w:rsidP="007F0827">
      <w:pPr>
        <w:rPr>
          <w:rFonts w:ascii="Helvetica" w:hAnsi="Helvetica"/>
          <w:lang w:val="en-US"/>
        </w:rPr>
      </w:pPr>
    </w:p>
    <w:p w14:paraId="6712A896" w14:textId="51DA62B3" w:rsidR="00760A57" w:rsidRPr="00F954EC" w:rsidRDefault="00760A57" w:rsidP="007F0827">
      <w:pPr>
        <w:rPr>
          <w:rFonts w:ascii="Helvetica" w:hAnsi="Helvetica"/>
          <w:lang w:val="en-US"/>
        </w:rPr>
      </w:pPr>
    </w:p>
    <w:p w14:paraId="42094F8F" w14:textId="7A3DF551" w:rsidR="00760A57" w:rsidRPr="00F954EC" w:rsidRDefault="00760A57" w:rsidP="004E3A87">
      <w:pPr>
        <w:rPr>
          <w:rFonts w:ascii="Helvetica" w:hAnsi="Helvetica"/>
          <w:lang w:val="en-US"/>
        </w:rPr>
      </w:pPr>
    </w:p>
    <w:p w14:paraId="35F9127F" w14:textId="77777777" w:rsidR="00760A57" w:rsidRPr="00F954EC" w:rsidRDefault="00760A57" w:rsidP="004E3A87">
      <w:pPr>
        <w:rPr>
          <w:rFonts w:ascii="Helvetica" w:hAnsi="Helvetica"/>
          <w:lang w:val="en-US"/>
        </w:rPr>
      </w:pPr>
    </w:p>
    <w:p w14:paraId="1773F1A3" w14:textId="77777777" w:rsidR="00B94DB1" w:rsidRPr="00F954EC" w:rsidRDefault="00B94DB1" w:rsidP="00435724">
      <w:pPr>
        <w:ind w:left="0" w:firstLine="0"/>
        <w:rPr>
          <w:b/>
          <w:bCs/>
          <w:lang w:val="en-US"/>
        </w:rPr>
        <w:sectPr w:rsidR="00B94DB1" w:rsidRPr="00F954EC" w:rsidSect="00144286">
          <w:type w:val="continuous"/>
          <w:pgSz w:w="11900" w:h="16840"/>
          <w:pgMar w:top="1418" w:right="1134" w:bottom="1418" w:left="1134" w:header="711" w:footer="720" w:gutter="0"/>
          <w:cols w:space="720"/>
          <w:docGrid w:linePitch="299"/>
        </w:sectPr>
      </w:pPr>
    </w:p>
    <w:p w14:paraId="5EF58959" w14:textId="00390F5E" w:rsidR="000C7353" w:rsidRPr="00435724" w:rsidRDefault="00026A98" w:rsidP="00435724">
      <w:pPr>
        <w:ind w:left="0" w:firstLine="0"/>
        <w:rPr>
          <w:b/>
          <w:bCs/>
        </w:rPr>
      </w:pPr>
      <w:r w:rsidRPr="00435724">
        <w:rPr>
          <w:b/>
          <w:bCs/>
        </w:rPr>
        <w:lastRenderedPageBreak/>
        <w:t xml:space="preserve">ABREVIATURAS </w:t>
      </w:r>
    </w:p>
    <w:p w14:paraId="6D8BD4E5" w14:textId="77777777" w:rsidR="00760A57" w:rsidRDefault="00760A57" w:rsidP="00C81291"/>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142"/>
      </w:tblGrid>
      <w:tr w:rsidR="00144286" w14:paraId="253DF3A1" w14:textId="77777777" w:rsidTr="00C73373">
        <w:tc>
          <w:tcPr>
            <w:tcW w:w="1413" w:type="dxa"/>
          </w:tcPr>
          <w:p w14:paraId="30B38A03" w14:textId="21C7DC11" w:rsidR="00144286" w:rsidRPr="009217B4" w:rsidRDefault="00144286" w:rsidP="00144286">
            <w:pPr>
              <w:pStyle w:val="SemEspaamento"/>
            </w:pPr>
            <w:r w:rsidRPr="00BE5776">
              <w:t>OMS</w:t>
            </w:r>
          </w:p>
        </w:tc>
        <w:tc>
          <w:tcPr>
            <w:tcW w:w="7142" w:type="dxa"/>
          </w:tcPr>
          <w:p w14:paraId="72C25B85" w14:textId="4D21B4D0" w:rsidR="00144286" w:rsidRDefault="00144286" w:rsidP="00144286">
            <w:pPr>
              <w:rPr>
                <w:b/>
              </w:rPr>
            </w:pPr>
            <w:r w:rsidRPr="00BE5776">
              <w:t>Organização Mundial de Saúde</w:t>
            </w:r>
          </w:p>
        </w:tc>
      </w:tr>
      <w:tr w:rsidR="00144286" w14:paraId="69FF2652" w14:textId="77777777" w:rsidTr="00C73373">
        <w:tc>
          <w:tcPr>
            <w:tcW w:w="1413" w:type="dxa"/>
          </w:tcPr>
          <w:p w14:paraId="54B83A22" w14:textId="00D0FD10" w:rsidR="00144286" w:rsidRPr="009217B4" w:rsidRDefault="00144286" w:rsidP="00144286">
            <w:pPr>
              <w:pStyle w:val="SemEspaamento"/>
            </w:pPr>
            <w:r w:rsidRPr="00BE5776">
              <w:t>FIV</w:t>
            </w:r>
          </w:p>
        </w:tc>
        <w:tc>
          <w:tcPr>
            <w:tcW w:w="7142" w:type="dxa"/>
          </w:tcPr>
          <w:p w14:paraId="3A9B119A" w14:textId="42A3C06D" w:rsidR="00144286" w:rsidRDefault="00144286" w:rsidP="00144286">
            <w:pPr>
              <w:rPr>
                <w:b/>
              </w:rPr>
            </w:pPr>
            <w:r w:rsidRPr="00BE5776">
              <w:t xml:space="preserve">Fertilização </w:t>
            </w:r>
            <w:r w:rsidRPr="00BE5776">
              <w:rPr>
                <w:i/>
                <w:iCs/>
              </w:rPr>
              <w:t>in vitro</w:t>
            </w:r>
            <w:r w:rsidRPr="00BE5776">
              <w:t xml:space="preserve"> </w:t>
            </w:r>
          </w:p>
        </w:tc>
      </w:tr>
      <w:tr w:rsidR="00144286" w14:paraId="30A908D4" w14:textId="77777777" w:rsidTr="00C73373">
        <w:tc>
          <w:tcPr>
            <w:tcW w:w="1413" w:type="dxa"/>
          </w:tcPr>
          <w:p w14:paraId="7C6E0EC6" w14:textId="07BA098D" w:rsidR="00144286" w:rsidRPr="009217B4" w:rsidRDefault="00144286" w:rsidP="00144286">
            <w:pPr>
              <w:pStyle w:val="SemEspaamento"/>
            </w:pPr>
            <w:r w:rsidRPr="00BE5776">
              <w:t>ICSI</w:t>
            </w:r>
          </w:p>
        </w:tc>
        <w:tc>
          <w:tcPr>
            <w:tcW w:w="7142" w:type="dxa"/>
          </w:tcPr>
          <w:p w14:paraId="2539ACDB" w14:textId="25F15DCB" w:rsidR="00144286" w:rsidRDefault="00144286" w:rsidP="00144286">
            <w:pPr>
              <w:rPr>
                <w:b/>
              </w:rPr>
            </w:pPr>
            <w:r w:rsidRPr="00BE5776">
              <w:t xml:space="preserve">Injeção intracitoplasmática do espermatozoide </w:t>
            </w:r>
          </w:p>
        </w:tc>
      </w:tr>
      <w:tr w:rsidR="00144286" w14:paraId="6FB4DDDC" w14:textId="77777777" w:rsidTr="00C73373">
        <w:tc>
          <w:tcPr>
            <w:tcW w:w="1413" w:type="dxa"/>
          </w:tcPr>
          <w:p w14:paraId="5FC47A7D" w14:textId="6BF5C163" w:rsidR="00144286" w:rsidRPr="009217B4" w:rsidRDefault="00144286" w:rsidP="00144286">
            <w:pPr>
              <w:pStyle w:val="SemEspaamento"/>
              <w:spacing w:line="360" w:lineRule="auto"/>
            </w:pPr>
            <w:r w:rsidRPr="00BE5776">
              <w:t>EOC</w:t>
            </w:r>
          </w:p>
        </w:tc>
        <w:tc>
          <w:tcPr>
            <w:tcW w:w="7142" w:type="dxa"/>
          </w:tcPr>
          <w:p w14:paraId="0F9C0693" w14:textId="4C5CBB96" w:rsidR="00144286" w:rsidRPr="00DD32A7" w:rsidRDefault="00144286" w:rsidP="00144286">
            <w:pPr>
              <w:rPr>
                <w:bCs/>
              </w:rPr>
            </w:pPr>
            <w:r w:rsidRPr="00BE5776">
              <w:t>Estimulação ovariana controlada</w:t>
            </w:r>
          </w:p>
        </w:tc>
      </w:tr>
      <w:tr w:rsidR="00144286" w14:paraId="7349620E" w14:textId="77777777" w:rsidTr="00C73373">
        <w:tc>
          <w:tcPr>
            <w:tcW w:w="1413" w:type="dxa"/>
          </w:tcPr>
          <w:p w14:paraId="08B0446D" w14:textId="17FC08F0" w:rsidR="00144286" w:rsidRPr="009217B4" w:rsidRDefault="00144286" w:rsidP="00144286">
            <w:pPr>
              <w:pStyle w:val="SemEspaamento"/>
            </w:pPr>
            <w:r w:rsidRPr="00BE5776">
              <w:t>LH</w:t>
            </w:r>
          </w:p>
        </w:tc>
        <w:tc>
          <w:tcPr>
            <w:tcW w:w="7142" w:type="dxa"/>
          </w:tcPr>
          <w:p w14:paraId="6D3DB4AE" w14:textId="4585AA53" w:rsidR="00144286" w:rsidRDefault="00144286" w:rsidP="00144286">
            <w:pPr>
              <w:rPr>
                <w:b/>
              </w:rPr>
            </w:pPr>
            <w:r w:rsidRPr="00BE5776">
              <w:t>Hormônio luteinizante</w:t>
            </w:r>
          </w:p>
        </w:tc>
      </w:tr>
      <w:tr w:rsidR="00144286" w14:paraId="10DFCA8A" w14:textId="77777777" w:rsidTr="00C73373">
        <w:tc>
          <w:tcPr>
            <w:tcW w:w="1413" w:type="dxa"/>
          </w:tcPr>
          <w:p w14:paraId="6143B430" w14:textId="1A8641AD" w:rsidR="00144286" w:rsidRPr="009217B4" w:rsidRDefault="00144286" w:rsidP="00144286">
            <w:pPr>
              <w:pStyle w:val="SemEspaamento"/>
            </w:pPr>
            <w:proofErr w:type="spellStart"/>
            <w:r w:rsidRPr="00BE5776">
              <w:t>GnRH</w:t>
            </w:r>
            <w:proofErr w:type="spellEnd"/>
          </w:p>
        </w:tc>
        <w:tc>
          <w:tcPr>
            <w:tcW w:w="7142" w:type="dxa"/>
          </w:tcPr>
          <w:p w14:paraId="7D646E13" w14:textId="18B5C0CD" w:rsidR="00144286" w:rsidRDefault="00144286" w:rsidP="00144286">
            <w:pPr>
              <w:rPr>
                <w:b/>
              </w:rPr>
            </w:pPr>
            <w:r w:rsidRPr="00BE5776">
              <w:t xml:space="preserve">Hormônio liberador de gonadotrofina </w:t>
            </w:r>
          </w:p>
        </w:tc>
      </w:tr>
      <w:tr w:rsidR="00144286" w14:paraId="569B54B0" w14:textId="77777777" w:rsidTr="00C73373">
        <w:tc>
          <w:tcPr>
            <w:tcW w:w="1413" w:type="dxa"/>
          </w:tcPr>
          <w:p w14:paraId="15393503" w14:textId="038DB787" w:rsidR="00144286" w:rsidRPr="009217B4" w:rsidRDefault="00144286" w:rsidP="00144286">
            <w:pPr>
              <w:pStyle w:val="SemEspaamento"/>
            </w:pPr>
            <w:r w:rsidRPr="00BE5776">
              <w:t>MPA</w:t>
            </w:r>
          </w:p>
        </w:tc>
        <w:tc>
          <w:tcPr>
            <w:tcW w:w="7142" w:type="dxa"/>
          </w:tcPr>
          <w:p w14:paraId="4EB37BA5" w14:textId="7061F954" w:rsidR="00144286" w:rsidRDefault="00144286" w:rsidP="00144286">
            <w:pPr>
              <w:rPr>
                <w:b/>
              </w:rPr>
            </w:pPr>
            <w:r w:rsidRPr="00BE5776">
              <w:t>Acetato de medroxiprogesterona</w:t>
            </w:r>
          </w:p>
        </w:tc>
      </w:tr>
      <w:tr w:rsidR="00144286" w14:paraId="2B1CEB8F" w14:textId="77777777" w:rsidTr="00C73373">
        <w:tc>
          <w:tcPr>
            <w:tcW w:w="1413" w:type="dxa"/>
          </w:tcPr>
          <w:p w14:paraId="7B282432" w14:textId="20016650" w:rsidR="00144286" w:rsidRPr="009217B4" w:rsidRDefault="00144286" w:rsidP="00144286">
            <w:pPr>
              <w:pStyle w:val="SemEspaamento"/>
            </w:pPr>
            <w:r w:rsidRPr="00BE5776">
              <w:t>PPOS</w:t>
            </w:r>
          </w:p>
        </w:tc>
        <w:tc>
          <w:tcPr>
            <w:tcW w:w="7142" w:type="dxa"/>
          </w:tcPr>
          <w:p w14:paraId="4E018375" w14:textId="28276097" w:rsidR="00144286" w:rsidRDefault="00144286" w:rsidP="00144286">
            <w:pPr>
              <w:rPr>
                <w:b/>
              </w:rPr>
            </w:pPr>
            <w:r w:rsidRPr="00BE5776">
              <w:t>Protocolo de estimulação com progesterona</w:t>
            </w:r>
          </w:p>
        </w:tc>
      </w:tr>
      <w:tr w:rsidR="00144286" w14:paraId="589EFCCA" w14:textId="77777777" w:rsidTr="00C73373">
        <w:tc>
          <w:tcPr>
            <w:tcW w:w="1413" w:type="dxa"/>
          </w:tcPr>
          <w:p w14:paraId="251D92B7" w14:textId="12850486" w:rsidR="00144286" w:rsidRPr="009217B4" w:rsidRDefault="00144286" w:rsidP="00144286">
            <w:pPr>
              <w:pStyle w:val="SemEspaamento"/>
            </w:pPr>
            <w:r w:rsidRPr="00BE5776">
              <w:t>MCI</w:t>
            </w:r>
          </w:p>
        </w:tc>
        <w:tc>
          <w:tcPr>
            <w:tcW w:w="7142" w:type="dxa"/>
          </w:tcPr>
          <w:p w14:paraId="7A924647" w14:textId="24F5E289" w:rsidR="00144286" w:rsidRDefault="00144286" w:rsidP="00144286">
            <w:pPr>
              <w:rPr>
                <w:b/>
              </w:rPr>
            </w:pPr>
            <w:r w:rsidRPr="00BE5776">
              <w:t xml:space="preserve">Massa celular interna </w:t>
            </w:r>
          </w:p>
        </w:tc>
      </w:tr>
      <w:tr w:rsidR="00144286" w14:paraId="53BFE5FA" w14:textId="77777777" w:rsidTr="00C73373">
        <w:tc>
          <w:tcPr>
            <w:tcW w:w="1413" w:type="dxa"/>
          </w:tcPr>
          <w:p w14:paraId="6A923967" w14:textId="3E5D28C3" w:rsidR="00144286" w:rsidRPr="009217B4" w:rsidRDefault="00144286" w:rsidP="00144286">
            <w:pPr>
              <w:pStyle w:val="SemEspaamento"/>
            </w:pPr>
            <w:r w:rsidRPr="00BE5776">
              <w:t>TE</w:t>
            </w:r>
          </w:p>
        </w:tc>
        <w:tc>
          <w:tcPr>
            <w:tcW w:w="7142" w:type="dxa"/>
          </w:tcPr>
          <w:p w14:paraId="06B11D5B" w14:textId="38C7057E" w:rsidR="00144286" w:rsidRDefault="00144286" w:rsidP="00144286">
            <w:pPr>
              <w:rPr>
                <w:b/>
              </w:rPr>
            </w:pPr>
            <w:proofErr w:type="spellStart"/>
            <w:r w:rsidRPr="00BE5776">
              <w:t>Trofectoderma</w:t>
            </w:r>
            <w:proofErr w:type="spellEnd"/>
          </w:p>
        </w:tc>
      </w:tr>
      <w:tr w:rsidR="00144286" w14:paraId="08545C09" w14:textId="77777777" w:rsidTr="00C73373">
        <w:tc>
          <w:tcPr>
            <w:tcW w:w="1413" w:type="dxa"/>
          </w:tcPr>
          <w:p w14:paraId="04B8B4EE" w14:textId="38A109C9" w:rsidR="00144286" w:rsidRPr="009217B4" w:rsidRDefault="00144286" w:rsidP="00144286">
            <w:pPr>
              <w:pStyle w:val="SemEspaamento"/>
            </w:pPr>
            <w:r w:rsidRPr="00BE5776">
              <w:t>VG</w:t>
            </w:r>
          </w:p>
        </w:tc>
        <w:tc>
          <w:tcPr>
            <w:tcW w:w="7142" w:type="dxa"/>
          </w:tcPr>
          <w:p w14:paraId="3D01C7A2" w14:textId="00043BBD" w:rsidR="00144286" w:rsidRDefault="00144286" w:rsidP="00144286">
            <w:pPr>
              <w:rPr>
                <w:b/>
              </w:rPr>
            </w:pPr>
            <w:r w:rsidRPr="00BE5776">
              <w:t xml:space="preserve">Vesícula germinativa </w:t>
            </w:r>
          </w:p>
        </w:tc>
      </w:tr>
      <w:tr w:rsidR="00144286" w14:paraId="6F3A0E40" w14:textId="77777777" w:rsidTr="00C73373">
        <w:tc>
          <w:tcPr>
            <w:tcW w:w="1413" w:type="dxa"/>
          </w:tcPr>
          <w:p w14:paraId="112873C7" w14:textId="058FC492" w:rsidR="00144286" w:rsidRPr="009217B4" w:rsidRDefault="00144286" w:rsidP="00144286">
            <w:pPr>
              <w:pStyle w:val="SemEspaamento"/>
            </w:pPr>
            <w:r w:rsidRPr="006C4C94">
              <w:t>M1</w:t>
            </w:r>
          </w:p>
        </w:tc>
        <w:tc>
          <w:tcPr>
            <w:tcW w:w="7142" w:type="dxa"/>
          </w:tcPr>
          <w:p w14:paraId="57EE6232" w14:textId="1BBE659B" w:rsidR="00144286" w:rsidRPr="00BE5776" w:rsidRDefault="00144286" w:rsidP="00144286">
            <w:r w:rsidRPr="006C4C94">
              <w:t>Metáfase I</w:t>
            </w:r>
          </w:p>
        </w:tc>
      </w:tr>
      <w:tr w:rsidR="00144286" w14:paraId="407A9A62" w14:textId="77777777" w:rsidTr="00C73373">
        <w:tc>
          <w:tcPr>
            <w:tcW w:w="1413" w:type="dxa"/>
          </w:tcPr>
          <w:p w14:paraId="0E247132" w14:textId="2D336264" w:rsidR="00144286" w:rsidRPr="009217B4" w:rsidRDefault="00144286" w:rsidP="00144286">
            <w:pPr>
              <w:pStyle w:val="SemEspaamento"/>
            </w:pPr>
            <w:r w:rsidRPr="006C4C94">
              <w:t>M2</w:t>
            </w:r>
          </w:p>
        </w:tc>
        <w:tc>
          <w:tcPr>
            <w:tcW w:w="7142" w:type="dxa"/>
          </w:tcPr>
          <w:p w14:paraId="271735E0" w14:textId="4553017D" w:rsidR="00144286" w:rsidRPr="00BE5776" w:rsidRDefault="00144286" w:rsidP="00144286">
            <w:r w:rsidRPr="006C4C94">
              <w:t>Metáfase II</w:t>
            </w:r>
          </w:p>
        </w:tc>
      </w:tr>
      <w:tr w:rsidR="00144286" w14:paraId="7E8CA215" w14:textId="77777777" w:rsidTr="00C73373">
        <w:tc>
          <w:tcPr>
            <w:tcW w:w="1413" w:type="dxa"/>
          </w:tcPr>
          <w:p w14:paraId="577D6F9D" w14:textId="383080B0" w:rsidR="00144286" w:rsidRPr="009217B4" w:rsidRDefault="00144286" w:rsidP="00144286">
            <w:pPr>
              <w:pStyle w:val="SemEspaamento"/>
            </w:pPr>
            <w:r w:rsidRPr="006C4C94">
              <w:t>D5</w:t>
            </w:r>
          </w:p>
        </w:tc>
        <w:tc>
          <w:tcPr>
            <w:tcW w:w="7142" w:type="dxa"/>
          </w:tcPr>
          <w:p w14:paraId="022FCB08" w14:textId="3D8C6B5E" w:rsidR="00144286" w:rsidRPr="00BE5776" w:rsidRDefault="00144286" w:rsidP="00144286">
            <w:r w:rsidRPr="006C4C94">
              <w:t>Quinto dia de desenvolvimento embrionário</w:t>
            </w:r>
          </w:p>
        </w:tc>
      </w:tr>
      <w:tr w:rsidR="00144286" w14:paraId="11014480" w14:textId="77777777" w:rsidTr="00C73373">
        <w:tc>
          <w:tcPr>
            <w:tcW w:w="1413" w:type="dxa"/>
          </w:tcPr>
          <w:p w14:paraId="5B554BF9" w14:textId="560A3563" w:rsidR="00144286" w:rsidRPr="009217B4" w:rsidRDefault="00144286" w:rsidP="00144286">
            <w:pPr>
              <w:pStyle w:val="SemEspaamento"/>
            </w:pPr>
            <w:r w:rsidRPr="006C4C94">
              <w:t>D6</w:t>
            </w:r>
          </w:p>
        </w:tc>
        <w:tc>
          <w:tcPr>
            <w:tcW w:w="7142" w:type="dxa"/>
          </w:tcPr>
          <w:p w14:paraId="72506360" w14:textId="1E420056" w:rsidR="00144286" w:rsidRPr="00BE5776" w:rsidRDefault="00144286" w:rsidP="00144286">
            <w:r w:rsidRPr="006C4C94">
              <w:t>Sexto dia de desenvolvimento embrionário</w:t>
            </w:r>
          </w:p>
        </w:tc>
      </w:tr>
      <w:tr w:rsidR="00144286" w14:paraId="5B04130A" w14:textId="77777777" w:rsidTr="00C73373">
        <w:tc>
          <w:tcPr>
            <w:tcW w:w="1413" w:type="dxa"/>
          </w:tcPr>
          <w:p w14:paraId="4F59D36E" w14:textId="6D8A66BE" w:rsidR="00144286" w:rsidRPr="009217B4" w:rsidRDefault="00144286" w:rsidP="00144286">
            <w:pPr>
              <w:pStyle w:val="SemEspaamento"/>
            </w:pPr>
            <w:r w:rsidRPr="006C4C94">
              <w:t>D7</w:t>
            </w:r>
          </w:p>
        </w:tc>
        <w:tc>
          <w:tcPr>
            <w:tcW w:w="7142" w:type="dxa"/>
          </w:tcPr>
          <w:p w14:paraId="4410FE99" w14:textId="20EFFE90" w:rsidR="00144286" w:rsidRPr="00BE5776" w:rsidRDefault="00144286" w:rsidP="00144286">
            <w:r w:rsidRPr="006C4C94">
              <w:t>Sétimo dia de desenvolvimento embrionário</w:t>
            </w:r>
          </w:p>
        </w:tc>
      </w:tr>
      <w:tr w:rsidR="00144286" w14:paraId="20815862" w14:textId="77777777" w:rsidTr="00C73373">
        <w:tc>
          <w:tcPr>
            <w:tcW w:w="1413" w:type="dxa"/>
          </w:tcPr>
          <w:p w14:paraId="24EE24B8" w14:textId="75E6A26D" w:rsidR="00144286" w:rsidRPr="009217B4" w:rsidRDefault="00144286" w:rsidP="00144286">
            <w:pPr>
              <w:pStyle w:val="SemEspaamento"/>
            </w:pPr>
            <w:r w:rsidRPr="006C4C94">
              <w:t>IMC</w:t>
            </w:r>
          </w:p>
        </w:tc>
        <w:tc>
          <w:tcPr>
            <w:tcW w:w="7142" w:type="dxa"/>
          </w:tcPr>
          <w:p w14:paraId="5F036688" w14:textId="4D519DBB" w:rsidR="00144286" w:rsidRPr="00BE5776" w:rsidRDefault="00144286" w:rsidP="00144286">
            <w:r w:rsidRPr="006C4C94">
              <w:t xml:space="preserve">Índice de massa corpórea </w:t>
            </w:r>
          </w:p>
        </w:tc>
      </w:tr>
      <w:tr w:rsidR="00144286" w14:paraId="1A0C94F7" w14:textId="77777777" w:rsidTr="00C73373">
        <w:tc>
          <w:tcPr>
            <w:tcW w:w="1413" w:type="dxa"/>
          </w:tcPr>
          <w:p w14:paraId="30805971" w14:textId="4EF5D470" w:rsidR="00144286" w:rsidRPr="009217B4" w:rsidRDefault="00144286" w:rsidP="00144286">
            <w:pPr>
              <w:pStyle w:val="SemEspaamento"/>
            </w:pPr>
            <w:r w:rsidRPr="006C4C94">
              <w:t>HAM</w:t>
            </w:r>
          </w:p>
        </w:tc>
        <w:tc>
          <w:tcPr>
            <w:tcW w:w="7142" w:type="dxa"/>
          </w:tcPr>
          <w:p w14:paraId="46F40264" w14:textId="53919B43" w:rsidR="00144286" w:rsidRPr="00BE5776" w:rsidRDefault="00144286" w:rsidP="00144286">
            <w:r w:rsidRPr="006C4C94">
              <w:t xml:space="preserve">Hormônio </w:t>
            </w:r>
            <w:proofErr w:type="spellStart"/>
            <w:r w:rsidRPr="006C4C94">
              <w:t>anti-mulleriano</w:t>
            </w:r>
            <w:proofErr w:type="spellEnd"/>
          </w:p>
        </w:tc>
      </w:tr>
      <w:tr w:rsidR="00144286" w14:paraId="47EF4EE2" w14:textId="77777777" w:rsidTr="00C73373">
        <w:tc>
          <w:tcPr>
            <w:tcW w:w="1413" w:type="dxa"/>
          </w:tcPr>
          <w:p w14:paraId="677ACEED" w14:textId="43A3C5EB" w:rsidR="00144286" w:rsidRPr="009217B4" w:rsidRDefault="00144286" w:rsidP="00144286">
            <w:pPr>
              <w:pStyle w:val="SemEspaamento"/>
            </w:pPr>
            <w:r w:rsidRPr="006C4C94">
              <w:t>HMG</w:t>
            </w:r>
          </w:p>
        </w:tc>
        <w:tc>
          <w:tcPr>
            <w:tcW w:w="7142" w:type="dxa"/>
          </w:tcPr>
          <w:p w14:paraId="6D61470A" w14:textId="733ACB75" w:rsidR="00144286" w:rsidRPr="00BE5776" w:rsidRDefault="00144286" w:rsidP="00144286">
            <w:r w:rsidRPr="006C4C94">
              <w:t>Gonadotrofina menopáusica humana</w:t>
            </w:r>
          </w:p>
        </w:tc>
      </w:tr>
      <w:tr w:rsidR="00144286" w14:paraId="47D9AAE4" w14:textId="77777777" w:rsidTr="00C73373">
        <w:tc>
          <w:tcPr>
            <w:tcW w:w="1413" w:type="dxa"/>
          </w:tcPr>
          <w:p w14:paraId="20540E72" w14:textId="3C1E5847" w:rsidR="00144286" w:rsidRPr="009217B4" w:rsidRDefault="00144286" w:rsidP="00144286">
            <w:pPr>
              <w:pStyle w:val="SemEspaamento"/>
            </w:pPr>
            <w:r w:rsidRPr="006C4C94">
              <w:t>FSH-r</w:t>
            </w:r>
          </w:p>
        </w:tc>
        <w:tc>
          <w:tcPr>
            <w:tcW w:w="7142" w:type="dxa"/>
          </w:tcPr>
          <w:p w14:paraId="53BAFF1C" w14:textId="40042984" w:rsidR="00144286" w:rsidRPr="00BE5776" w:rsidRDefault="00144286" w:rsidP="00144286">
            <w:r w:rsidRPr="006C4C94">
              <w:t>Hormônio Folículo estimulante recombinante</w:t>
            </w:r>
          </w:p>
        </w:tc>
      </w:tr>
      <w:tr w:rsidR="00144286" w14:paraId="4BAD3928" w14:textId="77777777" w:rsidTr="00C73373">
        <w:tc>
          <w:tcPr>
            <w:tcW w:w="1413" w:type="dxa"/>
          </w:tcPr>
          <w:p w14:paraId="1B27EE74" w14:textId="419564E4" w:rsidR="00144286" w:rsidRPr="009217B4" w:rsidRDefault="00144286" w:rsidP="00144286">
            <w:pPr>
              <w:pStyle w:val="SemEspaamento"/>
            </w:pPr>
            <w:proofErr w:type="spellStart"/>
            <w:r>
              <w:t>GnRHa</w:t>
            </w:r>
            <w:proofErr w:type="spellEnd"/>
          </w:p>
        </w:tc>
        <w:tc>
          <w:tcPr>
            <w:tcW w:w="7142" w:type="dxa"/>
          </w:tcPr>
          <w:p w14:paraId="65F38E76" w14:textId="584C0850" w:rsidR="00144286" w:rsidRPr="00BE5776" w:rsidRDefault="00144286" w:rsidP="00144286">
            <w:pPr>
              <w:pStyle w:val="PargrafodaLista"/>
              <w:spacing w:after="0" w:line="240" w:lineRule="auto"/>
              <w:ind w:right="0" w:firstLine="0"/>
              <w:jc w:val="left"/>
            </w:pPr>
            <w:r>
              <w:t xml:space="preserve">Agonista do </w:t>
            </w:r>
            <w:proofErr w:type="spellStart"/>
            <w:r>
              <w:t>GnRH</w:t>
            </w:r>
            <w:proofErr w:type="spellEnd"/>
          </w:p>
        </w:tc>
      </w:tr>
    </w:tbl>
    <w:p w14:paraId="6C4B7CA0" w14:textId="3C9DCC72" w:rsidR="000C7353" w:rsidRDefault="002B22CA" w:rsidP="00C81291">
      <w:r>
        <w:t xml:space="preserve"> </w:t>
      </w:r>
    </w:p>
    <w:p w14:paraId="26F8F4CC" w14:textId="2645BD8D" w:rsidR="002B22CA" w:rsidRDefault="00026A98" w:rsidP="00C81291">
      <w:r>
        <w:t xml:space="preserve"> </w:t>
      </w:r>
    </w:p>
    <w:p w14:paraId="5C858C75" w14:textId="77777777" w:rsidR="002B22CA" w:rsidRDefault="002B22CA" w:rsidP="00C81291">
      <w:r>
        <w:br w:type="page"/>
      </w:r>
    </w:p>
    <w:p w14:paraId="37D3F487" w14:textId="4217F270" w:rsidR="000C7353" w:rsidRPr="00C73373" w:rsidRDefault="00026A98" w:rsidP="00C73373">
      <w:pPr>
        <w:jc w:val="center"/>
        <w:rPr>
          <w:b/>
          <w:bCs/>
          <w:sz w:val="24"/>
          <w:szCs w:val="24"/>
        </w:rPr>
      </w:pPr>
      <w:r w:rsidRPr="00C73373">
        <w:rPr>
          <w:b/>
          <w:bCs/>
          <w:sz w:val="24"/>
          <w:szCs w:val="24"/>
        </w:rPr>
        <w:lastRenderedPageBreak/>
        <w:t>SUMÁRIO</w:t>
      </w:r>
    </w:p>
    <w:p w14:paraId="1E8BE410" w14:textId="77777777" w:rsidR="009217B4" w:rsidRPr="00ED3A8A" w:rsidRDefault="00026A98" w:rsidP="00C81291">
      <w:pPr>
        <w:rPr>
          <w:sz w:val="24"/>
          <w:szCs w:val="24"/>
        </w:rPr>
      </w:pPr>
      <w:r w:rsidRPr="00ED3A8A">
        <w:rPr>
          <w:sz w:val="24"/>
          <w:szCs w:val="24"/>
        </w:rPr>
        <w:t xml:space="preserve"> </w:t>
      </w:r>
    </w:p>
    <w:p w14:paraId="3A46E0AB" w14:textId="19606608" w:rsidR="000131A3" w:rsidRPr="000131A3" w:rsidRDefault="009217B4">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r w:rsidRPr="000131A3">
        <w:rPr>
          <w:rFonts w:ascii="Arial" w:hAnsi="Arial" w:cs="Arial"/>
          <w:sz w:val="24"/>
          <w:szCs w:val="24"/>
        </w:rPr>
        <w:fldChar w:fldCharType="begin"/>
      </w:r>
      <w:r w:rsidRPr="000131A3">
        <w:rPr>
          <w:rFonts w:ascii="Arial" w:hAnsi="Arial" w:cs="Arial"/>
          <w:sz w:val="24"/>
          <w:szCs w:val="24"/>
        </w:rPr>
        <w:instrText xml:space="preserve"> TOC \o "1-3" \h \z \u </w:instrText>
      </w:r>
      <w:r w:rsidRPr="000131A3">
        <w:rPr>
          <w:rFonts w:ascii="Arial" w:hAnsi="Arial" w:cs="Arial"/>
          <w:sz w:val="24"/>
          <w:szCs w:val="24"/>
        </w:rPr>
        <w:fldChar w:fldCharType="separate"/>
      </w:r>
      <w:hyperlink w:anchor="_Toc152013923" w:history="1">
        <w:r w:rsidR="000131A3" w:rsidRPr="000131A3">
          <w:rPr>
            <w:rStyle w:val="Hyperlink"/>
            <w:rFonts w:ascii="Arial" w:hAnsi="Arial" w:cs="Arial"/>
            <w:noProof/>
            <w:sz w:val="24"/>
            <w:szCs w:val="24"/>
          </w:rPr>
          <w:t>1.</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INTRODUÇÃO</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_Toc152013923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F93E6E">
          <w:rPr>
            <w:rFonts w:ascii="Arial" w:hAnsi="Arial" w:cs="Arial"/>
            <w:noProof/>
            <w:webHidden/>
            <w:sz w:val="24"/>
            <w:szCs w:val="24"/>
          </w:rPr>
          <w:t>8</w:t>
        </w:r>
        <w:r w:rsidR="000131A3" w:rsidRPr="000131A3">
          <w:rPr>
            <w:rFonts w:ascii="Arial" w:hAnsi="Arial" w:cs="Arial"/>
            <w:noProof/>
            <w:webHidden/>
            <w:sz w:val="24"/>
            <w:szCs w:val="24"/>
          </w:rPr>
          <w:fldChar w:fldCharType="end"/>
        </w:r>
      </w:hyperlink>
    </w:p>
    <w:p w14:paraId="4C25C534" w14:textId="11B53946" w:rsidR="000131A3" w:rsidRPr="000131A3"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2013924" w:history="1">
        <w:r w:rsidR="000131A3" w:rsidRPr="000131A3">
          <w:rPr>
            <w:rStyle w:val="Hyperlink"/>
            <w:rFonts w:ascii="Arial" w:hAnsi="Arial" w:cs="Arial"/>
            <w:noProof/>
            <w:sz w:val="24"/>
            <w:szCs w:val="24"/>
          </w:rPr>
          <w:t>2.</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OBJETIVOS</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_Toc152013924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F93E6E">
          <w:rPr>
            <w:rFonts w:ascii="Arial" w:hAnsi="Arial" w:cs="Arial"/>
            <w:noProof/>
            <w:webHidden/>
            <w:sz w:val="24"/>
            <w:szCs w:val="24"/>
          </w:rPr>
          <w:t>11</w:t>
        </w:r>
        <w:r w:rsidR="000131A3" w:rsidRPr="000131A3">
          <w:rPr>
            <w:rFonts w:ascii="Arial" w:hAnsi="Arial" w:cs="Arial"/>
            <w:noProof/>
            <w:webHidden/>
            <w:sz w:val="24"/>
            <w:szCs w:val="24"/>
          </w:rPr>
          <w:fldChar w:fldCharType="end"/>
        </w:r>
      </w:hyperlink>
    </w:p>
    <w:p w14:paraId="600B47DC" w14:textId="2111794E" w:rsidR="000131A3" w:rsidRPr="000131A3"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25" w:history="1">
        <w:r w:rsidR="000131A3" w:rsidRPr="000131A3">
          <w:rPr>
            <w:rStyle w:val="Hyperlink"/>
            <w:rFonts w:ascii="Arial" w:eastAsiaTheme="minorHAnsi" w:hAnsi="Arial" w:cs="Arial"/>
            <w:noProof/>
            <w:sz w:val="24"/>
            <w:szCs w:val="24"/>
          </w:rPr>
          <w:t>2.1.</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Objetivo geral</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_Toc152013925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F93E6E">
          <w:rPr>
            <w:rFonts w:ascii="Arial" w:hAnsi="Arial" w:cs="Arial"/>
            <w:noProof/>
            <w:webHidden/>
            <w:sz w:val="24"/>
            <w:szCs w:val="24"/>
          </w:rPr>
          <w:t>11</w:t>
        </w:r>
        <w:r w:rsidR="000131A3" w:rsidRPr="000131A3">
          <w:rPr>
            <w:rFonts w:ascii="Arial" w:hAnsi="Arial" w:cs="Arial"/>
            <w:noProof/>
            <w:webHidden/>
            <w:sz w:val="24"/>
            <w:szCs w:val="24"/>
          </w:rPr>
          <w:fldChar w:fldCharType="end"/>
        </w:r>
      </w:hyperlink>
    </w:p>
    <w:p w14:paraId="2BD0B94F" w14:textId="362E7094" w:rsidR="000131A3" w:rsidRPr="000131A3"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26" w:history="1">
        <w:r w:rsidR="000131A3" w:rsidRPr="000131A3">
          <w:rPr>
            <w:rStyle w:val="Hyperlink"/>
            <w:rFonts w:ascii="Arial" w:hAnsi="Arial" w:cs="Arial"/>
            <w:noProof/>
            <w:sz w:val="24"/>
            <w:szCs w:val="24"/>
          </w:rPr>
          <w:t>2.2.</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Objetivos específicos</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_Toc152013926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F93E6E">
          <w:rPr>
            <w:rFonts w:ascii="Arial" w:hAnsi="Arial" w:cs="Arial"/>
            <w:noProof/>
            <w:webHidden/>
            <w:sz w:val="24"/>
            <w:szCs w:val="24"/>
          </w:rPr>
          <w:t>11</w:t>
        </w:r>
        <w:r w:rsidR="000131A3" w:rsidRPr="000131A3">
          <w:rPr>
            <w:rFonts w:ascii="Arial" w:hAnsi="Arial" w:cs="Arial"/>
            <w:noProof/>
            <w:webHidden/>
            <w:sz w:val="24"/>
            <w:szCs w:val="24"/>
          </w:rPr>
          <w:fldChar w:fldCharType="end"/>
        </w:r>
      </w:hyperlink>
    </w:p>
    <w:p w14:paraId="0161E53E" w14:textId="0DBFBEF7" w:rsidR="000131A3" w:rsidRPr="000131A3"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2013927" w:history="1">
        <w:r w:rsidR="000131A3" w:rsidRPr="000131A3">
          <w:rPr>
            <w:rStyle w:val="Hyperlink"/>
            <w:rFonts w:ascii="Arial" w:hAnsi="Arial" w:cs="Arial"/>
            <w:noProof/>
            <w:sz w:val="24"/>
            <w:szCs w:val="24"/>
          </w:rPr>
          <w:t>3.</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MATERIAIS E MÉTODOS</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_Toc152013927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F93E6E">
          <w:rPr>
            <w:rFonts w:ascii="Arial" w:hAnsi="Arial" w:cs="Arial"/>
            <w:noProof/>
            <w:webHidden/>
            <w:sz w:val="24"/>
            <w:szCs w:val="24"/>
          </w:rPr>
          <w:t>11</w:t>
        </w:r>
        <w:r w:rsidR="000131A3" w:rsidRPr="000131A3">
          <w:rPr>
            <w:rFonts w:ascii="Arial" w:hAnsi="Arial" w:cs="Arial"/>
            <w:noProof/>
            <w:webHidden/>
            <w:sz w:val="24"/>
            <w:szCs w:val="24"/>
          </w:rPr>
          <w:fldChar w:fldCharType="end"/>
        </w:r>
      </w:hyperlink>
    </w:p>
    <w:p w14:paraId="23A43153" w14:textId="7C035632" w:rsidR="000131A3" w:rsidRPr="000131A3"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28" w:history="1">
        <w:r w:rsidR="000131A3" w:rsidRPr="000131A3">
          <w:rPr>
            <w:rStyle w:val="Hyperlink"/>
            <w:rFonts w:ascii="Arial" w:hAnsi="Arial" w:cs="Arial"/>
            <w:noProof/>
            <w:sz w:val="24"/>
            <w:szCs w:val="24"/>
          </w:rPr>
          <w:t>3.1.</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Desenho do estudo</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_Toc152013928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F93E6E">
          <w:rPr>
            <w:rFonts w:ascii="Arial" w:hAnsi="Arial" w:cs="Arial"/>
            <w:noProof/>
            <w:webHidden/>
            <w:sz w:val="24"/>
            <w:szCs w:val="24"/>
          </w:rPr>
          <w:t>11</w:t>
        </w:r>
        <w:r w:rsidR="000131A3" w:rsidRPr="000131A3">
          <w:rPr>
            <w:rFonts w:ascii="Arial" w:hAnsi="Arial" w:cs="Arial"/>
            <w:noProof/>
            <w:webHidden/>
            <w:sz w:val="24"/>
            <w:szCs w:val="24"/>
          </w:rPr>
          <w:fldChar w:fldCharType="end"/>
        </w:r>
      </w:hyperlink>
    </w:p>
    <w:p w14:paraId="6D0500A9" w14:textId="7B06F7C6" w:rsidR="000131A3" w:rsidRPr="000131A3"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29" w:history="1">
        <w:r w:rsidR="000131A3" w:rsidRPr="000131A3">
          <w:rPr>
            <w:rStyle w:val="Hyperlink"/>
            <w:rFonts w:ascii="Arial" w:hAnsi="Arial" w:cs="Arial"/>
            <w:noProof/>
            <w:sz w:val="24"/>
            <w:szCs w:val="24"/>
          </w:rPr>
          <w:t>3.2.</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Contexto</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_Toc152013929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F93E6E">
          <w:rPr>
            <w:rFonts w:ascii="Arial" w:hAnsi="Arial" w:cs="Arial"/>
            <w:noProof/>
            <w:webHidden/>
            <w:sz w:val="24"/>
            <w:szCs w:val="24"/>
          </w:rPr>
          <w:t>11</w:t>
        </w:r>
        <w:r w:rsidR="000131A3" w:rsidRPr="000131A3">
          <w:rPr>
            <w:rFonts w:ascii="Arial" w:hAnsi="Arial" w:cs="Arial"/>
            <w:noProof/>
            <w:webHidden/>
            <w:sz w:val="24"/>
            <w:szCs w:val="24"/>
          </w:rPr>
          <w:fldChar w:fldCharType="end"/>
        </w:r>
      </w:hyperlink>
    </w:p>
    <w:p w14:paraId="73F751FC" w14:textId="516F5D3E" w:rsidR="000131A3" w:rsidRPr="000131A3"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0" w:history="1">
        <w:r w:rsidR="000131A3" w:rsidRPr="000131A3">
          <w:rPr>
            <w:rStyle w:val="Hyperlink"/>
            <w:rFonts w:ascii="Arial" w:hAnsi="Arial" w:cs="Arial"/>
            <w:noProof/>
            <w:sz w:val="24"/>
            <w:szCs w:val="24"/>
          </w:rPr>
          <w:t>3.3.</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Participantes</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_Toc152013930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F93E6E">
          <w:rPr>
            <w:rFonts w:ascii="Arial" w:hAnsi="Arial" w:cs="Arial"/>
            <w:noProof/>
            <w:webHidden/>
            <w:sz w:val="24"/>
            <w:szCs w:val="24"/>
          </w:rPr>
          <w:t>12</w:t>
        </w:r>
        <w:r w:rsidR="000131A3" w:rsidRPr="000131A3">
          <w:rPr>
            <w:rFonts w:ascii="Arial" w:hAnsi="Arial" w:cs="Arial"/>
            <w:noProof/>
            <w:webHidden/>
            <w:sz w:val="24"/>
            <w:szCs w:val="24"/>
          </w:rPr>
          <w:fldChar w:fldCharType="end"/>
        </w:r>
      </w:hyperlink>
    </w:p>
    <w:p w14:paraId="72111912" w14:textId="48DE6034" w:rsidR="000131A3" w:rsidRPr="000131A3"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1" w:history="1">
        <w:r w:rsidR="000131A3" w:rsidRPr="000131A3">
          <w:rPr>
            <w:rStyle w:val="Hyperlink"/>
            <w:rFonts w:ascii="Arial" w:hAnsi="Arial" w:cs="Arial"/>
            <w:noProof/>
            <w:sz w:val="24"/>
            <w:szCs w:val="24"/>
          </w:rPr>
          <w:t>3.4.</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Variáveis</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_Toc152013931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F93E6E">
          <w:rPr>
            <w:rFonts w:ascii="Arial" w:hAnsi="Arial" w:cs="Arial"/>
            <w:noProof/>
            <w:webHidden/>
            <w:sz w:val="24"/>
            <w:szCs w:val="24"/>
          </w:rPr>
          <w:t>12</w:t>
        </w:r>
        <w:r w:rsidR="000131A3" w:rsidRPr="000131A3">
          <w:rPr>
            <w:rFonts w:ascii="Arial" w:hAnsi="Arial" w:cs="Arial"/>
            <w:noProof/>
            <w:webHidden/>
            <w:sz w:val="24"/>
            <w:szCs w:val="24"/>
          </w:rPr>
          <w:fldChar w:fldCharType="end"/>
        </w:r>
      </w:hyperlink>
    </w:p>
    <w:p w14:paraId="14FBB05E" w14:textId="06851F95" w:rsidR="000131A3" w:rsidRPr="000131A3"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2" w:history="1">
        <w:r w:rsidR="000131A3" w:rsidRPr="000131A3">
          <w:rPr>
            <w:rStyle w:val="Hyperlink"/>
            <w:rFonts w:ascii="Arial" w:hAnsi="Arial" w:cs="Arial"/>
            <w:noProof/>
            <w:sz w:val="24"/>
            <w:szCs w:val="24"/>
          </w:rPr>
          <w:t>3.5.</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Fonte dos dados/mensuração dos dados</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_Toc152013932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F93E6E">
          <w:rPr>
            <w:rFonts w:ascii="Arial" w:hAnsi="Arial" w:cs="Arial"/>
            <w:noProof/>
            <w:webHidden/>
            <w:sz w:val="24"/>
            <w:szCs w:val="24"/>
          </w:rPr>
          <w:t>13</w:t>
        </w:r>
        <w:r w:rsidR="000131A3" w:rsidRPr="000131A3">
          <w:rPr>
            <w:rFonts w:ascii="Arial" w:hAnsi="Arial" w:cs="Arial"/>
            <w:noProof/>
            <w:webHidden/>
            <w:sz w:val="24"/>
            <w:szCs w:val="24"/>
          </w:rPr>
          <w:fldChar w:fldCharType="end"/>
        </w:r>
      </w:hyperlink>
    </w:p>
    <w:p w14:paraId="16A9BE1F" w14:textId="314D0E1C" w:rsidR="000131A3" w:rsidRPr="000131A3"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3" w:history="1">
        <w:r w:rsidR="000131A3" w:rsidRPr="000131A3">
          <w:rPr>
            <w:rStyle w:val="Hyperlink"/>
            <w:rFonts w:ascii="Arial" w:hAnsi="Arial" w:cs="Arial"/>
            <w:noProof/>
            <w:sz w:val="24"/>
            <w:szCs w:val="24"/>
          </w:rPr>
          <w:t>3.6.</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Vieses</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_Toc152013933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F93E6E">
          <w:rPr>
            <w:rFonts w:ascii="Arial" w:hAnsi="Arial" w:cs="Arial"/>
            <w:noProof/>
            <w:webHidden/>
            <w:sz w:val="24"/>
            <w:szCs w:val="24"/>
          </w:rPr>
          <w:t>13</w:t>
        </w:r>
        <w:r w:rsidR="000131A3" w:rsidRPr="000131A3">
          <w:rPr>
            <w:rFonts w:ascii="Arial" w:hAnsi="Arial" w:cs="Arial"/>
            <w:noProof/>
            <w:webHidden/>
            <w:sz w:val="24"/>
            <w:szCs w:val="24"/>
          </w:rPr>
          <w:fldChar w:fldCharType="end"/>
        </w:r>
      </w:hyperlink>
    </w:p>
    <w:p w14:paraId="08EF790A" w14:textId="0369786E" w:rsidR="000131A3" w:rsidRPr="000131A3"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4" w:history="1">
        <w:r w:rsidR="000131A3" w:rsidRPr="000131A3">
          <w:rPr>
            <w:rStyle w:val="Hyperlink"/>
            <w:rFonts w:ascii="Arial" w:hAnsi="Arial" w:cs="Arial"/>
            <w:noProof/>
            <w:sz w:val="24"/>
            <w:szCs w:val="24"/>
          </w:rPr>
          <w:t>3.7.</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Tamanho do estudo</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_Toc152013934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F93E6E">
          <w:rPr>
            <w:rFonts w:ascii="Arial" w:hAnsi="Arial" w:cs="Arial"/>
            <w:noProof/>
            <w:webHidden/>
            <w:sz w:val="24"/>
            <w:szCs w:val="24"/>
          </w:rPr>
          <w:t>13</w:t>
        </w:r>
        <w:r w:rsidR="000131A3" w:rsidRPr="000131A3">
          <w:rPr>
            <w:rFonts w:ascii="Arial" w:hAnsi="Arial" w:cs="Arial"/>
            <w:noProof/>
            <w:webHidden/>
            <w:sz w:val="24"/>
            <w:szCs w:val="24"/>
          </w:rPr>
          <w:fldChar w:fldCharType="end"/>
        </w:r>
      </w:hyperlink>
    </w:p>
    <w:p w14:paraId="66033CF0" w14:textId="5B867777" w:rsidR="000131A3" w:rsidRPr="000131A3"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5" w:history="1">
        <w:r w:rsidR="000131A3" w:rsidRPr="000131A3">
          <w:rPr>
            <w:rStyle w:val="Hyperlink"/>
            <w:rFonts w:ascii="Arial" w:hAnsi="Arial" w:cs="Arial"/>
            <w:noProof/>
            <w:sz w:val="24"/>
            <w:szCs w:val="24"/>
          </w:rPr>
          <w:t>3.8.</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Variáveis quantitativas</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_Toc152013935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F93E6E">
          <w:rPr>
            <w:rFonts w:ascii="Arial" w:hAnsi="Arial" w:cs="Arial"/>
            <w:noProof/>
            <w:webHidden/>
            <w:sz w:val="24"/>
            <w:szCs w:val="24"/>
          </w:rPr>
          <w:t>13</w:t>
        </w:r>
        <w:r w:rsidR="000131A3" w:rsidRPr="000131A3">
          <w:rPr>
            <w:rFonts w:ascii="Arial" w:hAnsi="Arial" w:cs="Arial"/>
            <w:noProof/>
            <w:webHidden/>
            <w:sz w:val="24"/>
            <w:szCs w:val="24"/>
          </w:rPr>
          <w:fldChar w:fldCharType="end"/>
        </w:r>
      </w:hyperlink>
    </w:p>
    <w:p w14:paraId="2545A7E5" w14:textId="6EC5D2C9" w:rsidR="000131A3" w:rsidRPr="000131A3"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6" w:history="1">
        <w:r w:rsidR="000131A3" w:rsidRPr="000131A3">
          <w:rPr>
            <w:rStyle w:val="Hyperlink"/>
            <w:rFonts w:ascii="Arial" w:hAnsi="Arial" w:cs="Arial"/>
            <w:noProof/>
            <w:sz w:val="24"/>
            <w:szCs w:val="24"/>
          </w:rPr>
          <w:t>3.9.</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Métodos estatísticos</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_Toc152013936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F93E6E">
          <w:rPr>
            <w:rFonts w:ascii="Arial" w:hAnsi="Arial" w:cs="Arial"/>
            <w:noProof/>
            <w:webHidden/>
            <w:sz w:val="24"/>
            <w:szCs w:val="24"/>
          </w:rPr>
          <w:t>14</w:t>
        </w:r>
        <w:r w:rsidR="000131A3" w:rsidRPr="000131A3">
          <w:rPr>
            <w:rFonts w:ascii="Arial" w:hAnsi="Arial" w:cs="Arial"/>
            <w:noProof/>
            <w:webHidden/>
            <w:sz w:val="24"/>
            <w:szCs w:val="24"/>
          </w:rPr>
          <w:fldChar w:fldCharType="end"/>
        </w:r>
      </w:hyperlink>
    </w:p>
    <w:p w14:paraId="7C46B476" w14:textId="1006ABE0" w:rsidR="000131A3" w:rsidRPr="000131A3"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2013937" w:history="1">
        <w:r w:rsidR="000131A3" w:rsidRPr="000131A3">
          <w:rPr>
            <w:rStyle w:val="Hyperlink"/>
            <w:rFonts w:ascii="Arial" w:hAnsi="Arial" w:cs="Arial"/>
            <w:noProof/>
            <w:sz w:val="24"/>
            <w:szCs w:val="24"/>
          </w:rPr>
          <w:t>4.</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RESULTADOS</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_Toc152013937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F93E6E">
          <w:rPr>
            <w:rFonts w:ascii="Arial" w:hAnsi="Arial" w:cs="Arial"/>
            <w:noProof/>
            <w:webHidden/>
            <w:sz w:val="24"/>
            <w:szCs w:val="24"/>
          </w:rPr>
          <w:t>14</w:t>
        </w:r>
        <w:r w:rsidR="000131A3" w:rsidRPr="000131A3">
          <w:rPr>
            <w:rFonts w:ascii="Arial" w:hAnsi="Arial" w:cs="Arial"/>
            <w:noProof/>
            <w:webHidden/>
            <w:sz w:val="24"/>
            <w:szCs w:val="24"/>
          </w:rPr>
          <w:fldChar w:fldCharType="end"/>
        </w:r>
      </w:hyperlink>
    </w:p>
    <w:p w14:paraId="3F85FC84" w14:textId="71E27918" w:rsidR="000131A3" w:rsidRPr="000131A3"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2013938" w:history="1">
        <w:r w:rsidR="000131A3" w:rsidRPr="000131A3">
          <w:rPr>
            <w:rStyle w:val="Hyperlink"/>
            <w:rFonts w:ascii="Arial" w:hAnsi="Arial" w:cs="Arial"/>
            <w:noProof/>
            <w:sz w:val="24"/>
            <w:szCs w:val="24"/>
          </w:rPr>
          <w:t>5.</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DISCUSSÃO</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_Toc152013938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F93E6E">
          <w:rPr>
            <w:rFonts w:ascii="Arial" w:hAnsi="Arial" w:cs="Arial"/>
            <w:noProof/>
            <w:webHidden/>
            <w:sz w:val="24"/>
            <w:szCs w:val="24"/>
          </w:rPr>
          <w:t>16</w:t>
        </w:r>
        <w:r w:rsidR="000131A3" w:rsidRPr="000131A3">
          <w:rPr>
            <w:rFonts w:ascii="Arial" w:hAnsi="Arial" w:cs="Arial"/>
            <w:noProof/>
            <w:webHidden/>
            <w:sz w:val="24"/>
            <w:szCs w:val="24"/>
          </w:rPr>
          <w:fldChar w:fldCharType="end"/>
        </w:r>
      </w:hyperlink>
    </w:p>
    <w:p w14:paraId="1235324A" w14:textId="4A8338C7" w:rsidR="000131A3" w:rsidRPr="000131A3"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2013939" w:history="1">
        <w:r w:rsidR="000131A3" w:rsidRPr="000131A3">
          <w:rPr>
            <w:rStyle w:val="Hyperlink"/>
            <w:rFonts w:ascii="Arial" w:hAnsi="Arial" w:cs="Arial"/>
            <w:noProof/>
            <w:sz w:val="24"/>
            <w:szCs w:val="24"/>
          </w:rPr>
          <w:t>6.</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CONCLUSÃO</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_Toc152013939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F93E6E">
          <w:rPr>
            <w:rFonts w:ascii="Arial" w:hAnsi="Arial" w:cs="Arial"/>
            <w:noProof/>
            <w:webHidden/>
            <w:sz w:val="24"/>
            <w:szCs w:val="24"/>
          </w:rPr>
          <w:t>19</w:t>
        </w:r>
        <w:r w:rsidR="000131A3" w:rsidRPr="000131A3">
          <w:rPr>
            <w:rFonts w:ascii="Arial" w:hAnsi="Arial" w:cs="Arial"/>
            <w:noProof/>
            <w:webHidden/>
            <w:sz w:val="24"/>
            <w:szCs w:val="24"/>
          </w:rPr>
          <w:fldChar w:fldCharType="end"/>
        </w:r>
      </w:hyperlink>
    </w:p>
    <w:p w14:paraId="1DD70EA9" w14:textId="76C7518C" w:rsidR="000131A3" w:rsidRPr="000131A3"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2013940" w:history="1">
        <w:r w:rsidR="000131A3" w:rsidRPr="000131A3">
          <w:rPr>
            <w:rStyle w:val="Hyperlink"/>
            <w:rFonts w:ascii="Arial" w:hAnsi="Arial" w:cs="Arial"/>
            <w:noProof/>
            <w:sz w:val="24"/>
            <w:szCs w:val="24"/>
          </w:rPr>
          <w:t>7.</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REFERÊNCIAS BIBLIOGRÁFICAS</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_Toc152013940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F93E6E">
          <w:rPr>
            <w:rFonts w:ascii="Arial" w:hAnsi="Arial" w:cs="Arial"/>
            <w:noProof/>
            <w:webHidden/>
            <w:sz w:val="24"/>
            <w:szCs w:val="24"/>
          </w:rPr>
          <w:t>20</w:t>
        </w:r>
        <w:r w:rsidR="000131A3" w:rsidRPr="000131A3">
          <w:rPr>
            <w:rFonts w:ascii="Arial" w:hAnsi="Arial" w:cs="Arial"/>
            <w:noProof/>
            <w:webHidden/>
            <w:sz w:val="24"/>
            <w:szCs w:val="24"/>
          </w:rPr>
          <w:fldChar w:fldCharType="end"/>
        </w:r>
      </w:hyperlink>
    </w:p>
    <w:p w14:paraId="5D1A3804" w14:textId="5E5A31B3" w:rsidR="00894484" w:rsidRDefault="009217B4" w:rsidP="00C81291">
      <w:pPr>
        <w:rPr>
          <w:sz w:val="24"/>
          <w:szCs w:val="24"/>
        </w:rPr>
        <w:sectPr w:rsidR="00894484" w:rsidSect="00894484">
          <w:pgSz w:w="11900" w:h="16840"/>
          <w:pgMar w:top="1418" w:right="1134" w:bottom="1418" w:left="1134" w:header="711" w:footer="720" w:gutter="0"/>
          <w:cols w:space="720"/>
          <w:docGrid w:linePitch="299"/>
        </w:sectPr>
      </w:pPr>
      <w:r w:rsidRPr="000131A3">
        <w:rPr>
          <w:sz w:val="24"/>
          <w:szCs w:val="24"/>
        </w:rPr>
        <w:fldChar w:fldCharType="end"/>
      </w:r>
    </w:p>
    <w:p w14:paraId="2C95F882" w14:textId="22F95DA2" w:rsidR="000C7353" w:rsidRDefault="00026A98" w:rsidP="000E5AF0">
      <w:pPr>
        <w:pStyle w:val="Ttulo1"/>
      </w:pPr>
      <w:bookmarkStart w:id="0" w:name="_Toc152013923"/>
      <w:r>
        <w:lastRenderedPageBreak/>
        <w:t>INTRODUÇÃO</w:t>
      </w:r>
      <w:bookmarkEnd w:id="0"/>
      <w:r>
        <w:t xml:space="preserve"> </w:t>
      </w:r>
    </w:p>
    <w:p w14:paraId="623757DD" w14:textId="6B0C1983" w:rsidR="002B7D66" w:rsidRPr="00576425" w:rsidRDefault="002B7D66" w:rsidP="002B7D66">
      <w:r w:rsidRPr="00576425">
        <w:t xml:space="preserve">A </w:t>
      </w:r>
      <w:r>
        <w:t>O</w:t>
      </w:r>
      <w:r w:rsidRPr="00576425">
        <w:t xml:space="preserve">rganização </w:t>
      </w:r>
      <w:r>
        <w:t>M</w:t>
      </w:r>
      <w:r w:rsidRPr="00576425">
        <w:t xml:space="preserve">undial de Saúde (OMS), define infertilidade como a incapacidade de </w:t>
      </w:r>
      <w:r>
        <w:t>se obter</w:t>
      </w:r>
      <w:r w:rsidRPr="00576425">
        <w:t xml:space="preserve"> uma gravidez ou a impossibilidade de mant</w:t>
      </w:r>
      <w:r>
        <w:t xml:space="preserve">ê-la </w:t>
      </w:r>
      <w:r w:rsidRPr="00576425">
        <w:t>até o parto</w:t>
      </w:r>
      <w:r>
        <w:t xml:space="preserve"> </w:t>
      </w:r>
      <w:r w:rsidRPr="00576425">
        <w:t xml:space="preserve">depois de, pelo menos, </w:t>
      </w:r>
      <w:r>
        <w:t>doze meses</w:t>
      </w:r>
      <w:r w:rsidRPr="00576425">
        <w:t xml:space="preserve"> de atividade sexual regular sem proteção, considerando como proteção o uso de qualquer método contraceptivo</w:t>
      </w:r>
      <w:r w:rsidR="00EC38E4">
        <w:fldChar w:fldCharType="begin"/>
      </w:r>
      <w:r w:rsidR="00A7413B">
        <w:instrText xml:space="preserve"> ADDIN ZOTERO_ITEM CSL_CITATION {"citationID":"mIxY04SK","properties":{"formattedCitation":"(1)","plainCitation":"(1)","noteIndex":0},"citationItems":[{"id":3004,"uris":["http://zotero.org/users/10339151/items/E54LURJS"],"itemData":{"id":3004,"type":"book","publisher":"World Health Organization","source":"Google Scholar","title":"Current practices and controversies in assisted reproduction: report of a meeting on medical, ethical and social aspects of assisted reproduction, held at WHO Headquarters in Geneva, Switzerland","title-short":"Current practices and controversies in assisted reproduction","URL":"https://apps.who.int/iris/bitstream/handle/10665/42576/92?sequence=1","author":[{"family":"Vayena","given":"Effy"},{"family":"Rowe","given":"Patrick J."},{"family":"Griffin","given":"P. David"}],"accessed":{"date-parts":[["2023",11,27]]},"issued":{"date-parts":[["2002"]]}}}],"schema":"https://github.com/citation-style-language/schema/raw/master/csl-citation.json"} </w:instrText>
      </w:r>
      <w:r w:rsidR="00EC38E4">
        <w:fldChar w:fldCharType="separate"/>
      </w:r>
      <w:r w:rsidR="00A7413B" w:rsidRPr="00A7413B">
        <w:t>(1)</w:t>
      </w:r>
      <w:r w:rsidR="00EC38E4">
        <w:fldChar w:fldCharType="end"/>
      </w:r>
      <w:r w:rsidRPr="00576425">
        <w:t>. A infertilidade é uma condição que afeta milhões de pessoas em todo o mundo. Segundo dados publicados pela OMS em 2023, cerca de 17,5% da população mundial adulta tem este diagnóstico ao longo de suas vidas. Sendo, portanto, considerada como doença de grande relevância</w:t>
      </w:r>
      <w:r>
        <w:t xml:space="preserve"> e</w:t>
      </w:r>
      <w:r w:rsidRPr="00576425">
        <w:t xml:space="preserve"> </w:t>
      </w:r>
      <w:r>
        <w:t xml:space="preserve">que </w:t>
      </w:r>
      <w:r w:rsidRPr="00576425">
        <w:t>compromete o bem-estar individual e familiar dos casais</w:t>
      </w:r>
      <w:r w:rsidR="00EC38E4">
        <w:fldChar w:fldCharType="begin"/>
      </w:r>
      <w:r w:rsidR="00A7413B">
        <w:instrText xml:space="preserve"> ADDIN ZOTERO_ITEM CSL_CITATION {"citationID":"mei9Wfya","properties":{"formattedCitation":"(2)","plainCitation":"(2)","noteIndex":0},"citationItems":[{"id":3012,"uris":["http://zotero.org/users/10339151/items/FNQEYTUJ"],"itemData":{"id":3012,"type":"article-journal","note":"publisher: World Health Organization","source":"Google Scholar","title":"Infertility prevalence estimates: 1990–2021","title-short":"Infertility prevalence estimates","URL":"https://apps.who.int/iris/bitstream/handle/10665/366700/9789240068315-eng.pdf","author":[{"family":"Organization","given":"World Health"}],"accessed":{"date-parts":[["2023",11,27]]},"issued":{"date-parts":[["2023"]]}}}],"schema":"https://github.com/citation-style-language/schema/raw/master/csl-citation.json"} </w:instrText>
      </w:r>
      <w:r w:rsidR="00EC38E4">
        <w:fldChar w:fldCharType="separate"/>
      </w:r>
      <w:r w:rsidR="00A7413B" w:rsidRPr="00A7413B">
        <w:t>(2)</w:t>
      </w:r>
      <w:r w:rsidR="00EC38E4">
        <w:fldChar w:fldCharType="end"/>
      </w:r>
      <w:r>
        <w:t>.</w:t>
      </w:r>
      <w:r w:rsidRPr="00576425">
        <w:tab/>
        <w:t xml:space="preserve"> </w:t>
      </w:r>
    </w:p>
    <w:p w14:paraId="0032A423" w14:textId="04E25C17" w:rsidR="002B7D66" w:rsidRDefault="002B7D66" w:rsidP="002B7D66">
      <w:r w:rsidRPr="00576425">
        <w:t xml:space="preserve">A introdução das técnicas de reprodução assistida foi um avanço significativo na assistência aos casais inférteis. </w:t>
      </w:r>
      <w:r>
        <w:t>O</w:t>
      </w:r>
      <w:r w:rsidRPr="00576425">
        <w:t xml:space="preserve"> primeiro registro de um nascido vivo </w:t>
      </w:r>
      <w:r>
        <w:t>com o uso da técnica de</w:t>
      </w:r>
      <w:r w:rsidRPr="00576425">
        <w:t xml:space="preserve"> </w:t>
      </w:r>
      <w:r>
        <w:t>f</w:t>
      </w:r>
      <w:r w:rsidRPr="00576425">
        <w:t xml:space="preserve">ertilização </w:t>
      </w:r>
      <w:r w:rsidRPr="00AA68AB">
        <w:rPr>
          <w:i/>
          <w:iCs/>
        </w:rPr>
        <w:t>in vitro</w:t>
      </w:r>
      <w:r w:rsidRPr="00576425">
        <w:t xml:space="preserve"> (FIV) </w:t>
      </w:r>
      <w:r>
        <w:t>foi</w:t>
      </w:r>
      <w:r w:rsidRPr="00576425">
        <w:t xml:space="preserve"> em 1978 na Inglaterra</w:t>
      </w:r>
      <w:r>
        <w:t xml:space="preserve">, realizada em ciclo natural com a obtenção de um único </w:t>
      </w:r>
      <w:proofErr w:type="spellStart"/>
      <w:r>
        <w:t>oócito</w:t>
      </w:r>
      <w:proofErr w:type="spellEnd"/>
      <w:r>
        <w:t>, que foi fertilizado e o embrião obtido foi transferido para o útero de uma mulher com sucesso</w:t>
      </w:r>
      <w:r w:rsidR="007C5BB6">
        <w:t xml:space="preserve">. </w:t>
      </w:r>
      <w:r>
        <w:t>Desde então</w:t>
      </w:r>
      <w:r w:rsidRPr="00576425">
        <w:t>, houve sucessivos avanços tecnológicos, a fim de aprimorar os resultados no tratamento da infertilidade, tais como, o uso de hormônios para a estimulação dos ovários, a possibilidade de monitorizar a resposta ovariana com ecografia, o desenvolvimento da FIV</w:t>
      </w:r>
      <w:r>
        <w:t xml:space="preserve"> com</w:t>
      </w:r>
      <w:r w:rsidRPr="00576425">
        <w:t xml:space="preserve"> injeção intracitoplasmática </w:t>
      </w:r>
      <w:r>
        <w:t xml:space="preserve">do espermatozoide </w:t>
      </w:r>
      <w:r w:rsidRPr="00576425">
        <w:t>(ICSI), a possibilidade</w:t>
      </w:r>
      <w:r>
        <w:t xml:space="preserve"> do</w:t>
      </w:r>
      <w:r w:rsidRPr="00576425">
        <w:t xml:space="preserve"> diagnóstico genético dos embriões, entre outros</w:t>
      </w:r>
      <w:r w:rsidR="00EC38E4">
        <w:fldChar w:fldCharType="begin"/>
      </w:r>
      <w:r w:rsidR="00A7413B">
        <w:instrText xml:space="preserve"> ADDIN ZOTERO_ITEM CSL_CITATION {"citationID":"gmaZnzug","properties":{"formattedCitation":"(3)","plainCitation":"(3)","noteIndex":0},"citationItems":[{"id":3006,"uris":["http://zotero.org/users/10339151/items/SI36JGCN"],"itemData":{"id":3006,"type":"article-journal","container-title":"Journal of reproduction &amp; infertility","issue":"3","note":"publisher: Avicenna Research Institute","page":"96","source":"Google Scholar","title":"Assisted reproductive technology after the birth of Louise Brown","volume":"14","author":[{"family":"Kamel","given":"Remah Moustafa"}],"issued":{"date-parts":[["2013"]]}}}],"schema":"https://github.com/citation-style-language/schema/raw/master/csl-citation.json"} </w:instrText>
      </w:r>
      <w:r w:rsidR="00EC38E4">
        <w:fldChar w:fldCharType="separate"/>
      </w:r>
      <w:r w:rsidR="00A7413B" w:rsidRPr="00A7413B">
        <w:t>(3)</w:t>
      </w:r>
      <w:r w:rsidR="00EC38E4">
        <w:fldChar w:fldCharType="end"/>
      </w:r>
      <w:r>
        <w:t>.</w:t>
      </w:r>
    </w:p>
    <w:p w14:paraId="31CF86F1" w14:textId="670DADF9" w:rsidR="002B7D66" w:rsidRDefault="002B7D66" w:rsidP="002B7D66">
      <w:r w:rsidRPr="005C7C54">
        <w:t>A</w:t>
      </w:r>
      <w:r>
        <w:t xml:space="preserve"> </w:t>
      </w:r>
      <w:r w:rsidRPr="005C7C54">
        <w:t>estimulação ovariana</w:t>
      </w:r>
      <w:r>
        <w:t xml:space="preserve"> controlada </w:t>
      </w:r>
      <w:r w:rsidRPr="005C7C54">
        <w:t>(</w:t>
      </w:r>
      <w:r>
        <w:t>EOC</w:t>
      </w:r>
      <w:r w:rsidRPr="005C7C54">
        <w:t xml:space="preserve">) </w:t>
      </w:r>
      <w:r>
        <w:t xml:space="preserve">é </w:t>
      </w:r>
      <w:r w:rsidRPr="00E16B50">
        <w:t xml:space="preserve">uma etapa fundamental no tratamento </w:t>
      </w:r>
      <w:r>
        <w:t>das mulheres com indicação de FIV</w:t>
      </w:r>
      <w:r w:rsidRPr="00E16B50">
        <w:t xml:space="preserve">, </w:t>
      </w:r>
      <w:r>
        <w:t xml:space="preserve">pois </w:t>
      </w:r>
      <w:r w:rsidRPr="00E16B50">
        <w:t>permit</w:t>
      </w:r>
      <w:r>
        <w:t>e</w:t>
      </w:r>
      <w:r w:rsidRPr="00E16B50">
        <w:t xml:space="preserve"> </w:t>
      </w:r>
      <w:r>
        <w:t xml:space="preserve">a </w:t>
      </w:r>
      <w:proofErr w:type="spellStart"/>
      <w:r>
        <w:t>hiperestimulação</w:t>
      </w:r>
      <w:proofErr w:type="spellEnd"/>
      <w:r>
        <w:t xml:space="preserve"> ovariana com o recrutamento e maturação de </w:t>
      </w:r>
      <w:r w:rsidRPr="00E16B50">
        <w:t>múltiplo</w:t>
      </w:r>
      <w:r>
        <w:t>s</w:t>
      </w:r>
      <w:r w:rsidRPr="00E16B50">
        <w:t xml:space="preserve"> </w:t>
      </w:r>
      <w:r>
        <w:t xml:space="preserve">folículos e </w:t>
      </w:r>
      <w:proofErr w:type="spellStart"/>
      <w:r>
        <w:t>o</w:t>
      </w:r>
      <w:r w:rsidR="00122A92">
        <w:t>ó</w:t>
      </w:r>
      <w:r>
        <w:t>citos</w:t>
      </w:r>
      <w:proofErr w:type="spellEnd"/>
      <w:r>
        <w:t>. O processo otimiza o número de</w:t>
      </w:r>
      <w:r w:rsidRPr="00E16B50">
        <w:t xml:space="preserve"> </w:t>
      </w:r>
      <w:proofErr w:type="spellStart"/>
      <w:r w:rsidRPr="00E16B50">
        <w:t>oócitos</w:t>
      </w:r>
      <w:proofErr w:type="spellEnd"/>
      <w:r>
        <w:t xml:space="preserve"> que serão captados e destinados para a fertilização, sendo dessa forma obtidos consequentemente mais</w:t>
      </w:r>
      <w:r w:rsidRPr="005C7C54">
        <w:t xml:space="preserve"> embriões </w:t>
      </w:r>
      <w:r>
        <w:t>e</w:t>
      </w:r>
      <w:r w:rsidRPr="005C7C54">
        <w:t xml:space="preserve"> aumentando</w:t>
      </w:r>
      <w:r>
        <w:t>,</w:t>
      </w:r>
      <w:r w:rsidRPr="005C7C54">
        <w:t xml:space="preserve"> assim</w:t>
      </w:r>
      <w:r>
        <w:t>,</w:t>
      </w:r>
      <w:r w:rsidRPr="005C7C54">
        <w:t xml:space="preserve"> a eficácia do</w:t>
      </w:r>
      <w:r>
        <w:t xml:space="preserve"> t</w:t>
      </w:r>
      <w:r w:rsidRPr="005C7C54">
        <w:t>ratamento</w:t>
      </w:r>
      <w:r w:rsidR="0003214C">
        <w:fldChar w:fldCharType="begin"/>
      </w:r>
      <w:r w:rsidR="00A7413B">
        <w:instrText xml:space="preserve"> ADDIN ZOTERO_ITEM CSL_CITATION {"citationID":"Ntzae2hg","properties":{"formattedCitation":"(4,5)","plainCitation":"(4,5)","noteIndex":0},"citationItems":[{"id":3007,"uris":["http://zotero.org/users/10339151/items/Y5QY8MAW"],"itemData":{"id":3007,"type":"article-journal","container-title":"Human Reproduction Update","issue":"1","note":"publisher: Oxford University Press","page":"48–66","source":"Google Scholar","title":"Progestins for pituitary suppression during ovarian stimulation for ART: a comprehensive and systematic review including meta-analyses","title-short":"Progestins for pituitary suppression during ovarian stimulation for ART","volume":"27","author":[{"family":"Ata","given":"Baris"},{"family":"Capuzzo","given":"Martina"},{"family":"Turkgeldi","given":"Engin"},{"family":"Yildiz","given":"Sule"},{"family":"La Marca","given":"Antonio"}],"issued":{"date-parts":[["2021"]]}},"label":"page"},{"id":3009,"uris":["http://zotero.org/users/10339151/items/L8764CLT"],"itemData":{"id":3009,"type":"article-journal","container-title":"Endocrine reviews","issue":"2","note":"publisher: Oxford University Press","page":"170–207","source":"Google Scholar","title":"The science behind 25 years of ovarian stimulation for in vitro fertilization","volume":"27","author":[{"family":"Macklon","given":"Nick S."},{"family":"Stouffer","given":"Richard L."},{"family":"Giudice","given":"Linda C."},{"family":"Fauser","given":"Bart CJM"}],"issued":{"date-parts":[["2006"]]}},"label":"page"}],"schema":"https://github.com/citation-style-language/schema/raw/master/csl-citation.json"} </w:instrText>
      </w:r>
      <w:r w:rsidR="0003214C">
        <w:fldChar w:fldCharType="separate"/>
      </w:r>
      <w:r w:rsidR="00A7413B" w:rsidRPr="00A7413B">
        <w:t>(4,5)</w:t>
      </w:r>
      <w:r w:rsidR="0003214C">
        <w:fldChar w:fldCharType="end"/>
      </w:r>
      <w:r w:rsidRPr="00E16B50">
        <w:t>.</w:t>
      </w:r>
    </w:p>
    <w:p w14:paraId="26B0E0F8" w14:textId="77777777" w:rsidR="00B96847" w:rsidRDefault="002B7D66" w:rsidP="002B7D66">
      <w:r>
        <w:t>Em um</w:t>
      </w:r>
      <w:r w:rsidRPr="00B6244C">
        <w:t xml:space="preserve"> ciclo menstrual espontâneo são produzidos cerca de 10 a 20 folículos </w:t>
      </w:r>
      <w:proofErr w:type="spellStart"/>
      <w:r w:rsidRPr="00B6244C">
        <w:t>antrais</w:t>
      </w:r>
      <w:proofErr w:type="spellEnd"/>
      <w:r w:rsidRPr="00B6244C">
        <w:t xml:space="preserve"> pelo</w:t>
      </w:r>
      <w:r>
        <w:t>s</w:t>
      </w:r>
      <w:r w:rsidRPr="00B6244C">
        <w:t xml:space="preserve"> ovário</w:t>
      </w:r>
      <w:r>
        <w:t>s</w:t>
      </w:r>
      <w:r w:rsidRPr="00B6244C">
        <w:t xml:space="preserve">. Desta coorte de folículos, apenas um deles se torna dominante em relação aos </w:t>
      </w:r>
      <w:r>
        <w:t>demais</w:t>
      </w:r>
      <w:r w:rsidRPr="00B6244C">
        <w:t xml:space="preserve"> e demonstra um crescimento contínuo até ocorrer a ovulação</w:t>
      </w:r>
      <w:r w:rsidR="0003214C">
        <w:fldChar w:fldCharType="begin"/>
      </w:r>
      <w:r w:rsidR="00A7413B">
        <w:instrText xml:space="preserve"> ADDIN ZOTERO_ITEM CSL_CITATION {"citationID":"PdP8EWWG","properties":{"formattedCitation":"(6)","plainCitation":"(6)","noteIndex":0},"citationItems":[{"id":3014,"uris":["http://zotero.org/users/10339151/items/886MCTC5"],"itemData":{"id":3014,"type":"article-journal","abstract":"Key content\n              \n                \n                  \n                    Assisted reproductive technology (ART) is an effective treatment option for couples and individuals with fertility problems.\n                  \n                  \n                    A number of key steps, including pituitary downregulation, controlled ovarian stimulation, final follicular maturation trigger, oocyte retrieval, fertilisation, embryo transfer and luteal support constitute a conventional ART cycle.\n                  \n                  \n                    Individualised treatment protocols according to each couple's specific characteristics may optimise treatment outcome and reduce safety concerns.\n                  \n                  \n                    Multidisciplinary team management is essential when managing patients with complex medical and ethical issues.\n                  \n                \n              \n            \n            \n              Learning objectives\n              \n                \n                  \n                    To learn what is meant by ART and the available evidence in managing various steps involved in an ART cycle.\n                  \n                  \n                    To appreciate the need for pituitary downregulation and understand the various downregulation protocols.\n                  \n                  \n                    To understand the importance of ovarian reserve assessment to determine the appropriate controlled ovarian stimulation protocol and to learn about the most accepted methods to monitor controlled ovarian stimulation.\n                  \n                  \n                    To understand the use of hormonal agents for luteal phase support.","container-title":"The Obstetrician &amp; Gynaecologist","DOI":"10.1111/tog.12509","ISSN":"1467-2561, 1744-4667","issue":"3","journalAbbreviation":"The Obstetric &amp;amp; Gynaecologis","language":"en","page":"167-176","source":"DOI.org (Crossref)","title":"An overview of assisted reproductive technology procedures","volume":"20","author":[{"family":"Bhandari","given":"Harish M"},{"family":"Choudhary","given":"Meenakshi K"},{"family":"Stewart","given":"Jane A"}],"issued":{"date-parts":[["2018",7]]}}}],"schema":"https://github.com/citation-style-language/schema/raw/master/csl-citation.json"} </w:instrText>
      </w:r>
      <w:r w:rsidR="0003214C">
        <w:fldChar w:fldCharType="separate"/>
      </w:r>
      <w:r w:rsidR="00A7413B" w:rsidRPr="00A7413B">
        <w:t>(6)</w:t>
      </w:r>
      <w:r w:rsidR="0003214C">
        <w:fldChar w:fldCharType="end"/>
      </w:r>
      <w:r w:rsidRPr="00B6244C">
        <w:t>.</w:t>
      </w:r>
      <w:r>
        <w:t xml:space="preserve"> </w:t>
      </w:r>
      <w:r w:rsidRPr="00B6244C">
        <w:t>A EO</w:t>
      </w:r>
      <w:r>
        <w:t>C</w:t>
      </w:r>
      <w:r w:rsidRPr="00B6244C">
        <w:t xml:space="preserve"> é um tratamento farmacológico</w:t>
      </w:r>
      <w:r>
        <w:t>, no qual administra-se</w:t>
      </w:r>
      <w:r w:rsidRPr="00B6244C">
        <w:t xml:space="preserve"> gonadotrofinas exógenas</w:t>
      </w:r>
      <w:r>
        <w:t xml:space="preserve"> acima de um limiar necessário</w:t>
      </w:r>
      <w:r w:rsidRPr="00B6244C">
        <w:t xml:space="preserve"> para induzir o desenvolvimento </w:t>
      </w:r>
      <w:r>
        <w:t>dos f</w:t>
      </w:r>
      <w:r w:rsidRPr="00B6244C">
        <w:t>olículos</w:t>
      </w:r>
      <w:r>
        <w:t xml:space="preserve">. </w:t>
      </w:r>
      <w:r w:rsidRPr="00B6244C">
        <w:t xml:space="preserve">Este tipo de procedimento </w:t>
      </w:r>
      <w:r>
        <w:t>é</w:t>
      </w:r>
      <w:r w:rsidRPr="00B6244C">
        <w:t xml:space="preserve"> utilizado </w:t>
      </w:r>
      <w:r>
        <w:t>n</w:t>
      </w:r>
      <w:r w:rsidRPr="00B6244C">
        <w:t>a FIV/ICSI</w:t>
      </w:r>
      <w:r>
        <w:t>, tendo como objetivo</w:t>
      </w:r>
      <w:r w:rsidRPr="00B6244C">
        <w:t xml:space="preserve"> </w:t>
      </w:r>
      <w:r>
        <w:t xml:space="preserve">principal, </w:t>
      </w:r>
      <w:r w:rsidRPr="00B6244C">
        <w:t xml:space="preserve">o </w:t>
      </w:r>
      <w:r>
        <w:t>recrutamento e crescimento</w:t>
      </w:r>
      <w:r w:rsidRPr="00B6244C">
        <w:t xml:space="preserve"> </w:t>
      </w:r>
      <w:proofErr w:type="spellStart"/>
      <w:r w:rsidRPr="00B6244C">
        <w:t>multifolicular</w:t>
      </w:r>
      <w:proofErr w:type="spellEnd"/>
      <w:r>
        <w:t xml:space="preserve"> e com isso obter </w:t>
      </w:r>
      <w:r w:rsidRPr="00B6244C">
        <w:t>a maximizaçã</w:t>
      </w:r>
      <w:r>
        <w:t>o do número de</w:t>
      </w:r>
      <w:r w:rsidRPr="00B6244C">
        <w:t xml:space="preserve"> </w:t>
      </w:r>
      <w:proofErr w:type="spellStart"/>
      <w:r w:rsidRPr="00B6244C">
        <w:t>oócitos</w:t>
      </w:r>
      <w:proofErr w:type="spellEnd"/>
      <w:r w:rsidRPr="00B6244C">
        <w:t xml:space="preserve"> disponíveis para serem </w:t>
      </w:r>
      <w:r>
        <w:t>captados</w:t>
      </w:r>
      <w:r w:rsidR="0003214C">
        <w:fldChar w:fldCharType="begin"/>
      </w:r>
      <w:r w:rsidR="00A7413B">
        <w:instrText xml:space="preserve"> ADDIN ZOTERO_ITEM CSL_CITATION {"citationID":"p0euUere","properties":{"formattedCitation":"(7)","plainCitation":"(7)","noteIndex":0},"citationItems":[{"id":3015,"uris":["http://zotero.org/users/10339151/items/2U3TUAMF"],"itemData":{"id":3015,"type":"article-journal","container-title":"Human reproduction open","issue":"2","note":"publisher: Oxford University Press","page":"hoaa009","source":"Google Scholar","title":"ESHRE guideline: ovarian stimulation for IVF/ICSI","title-short":"ESHRE guideline","volume":"2020","author":[{"family":"Stimulation","given":"ESHRE Guideline Group on Ovarian"},{"family":"Bosch","given":"Ernesto"},{"family":"Broer","given":"Simone"},{"family":"Griesinger","given":"Georg"},{"family":"Grynberg","given":"Michael"},{"family":"Humaidan","given":"Peter"},{"family":"Kolibianakis","given":"Estratios"},{"family":"Kunicki","given":"Michal"},{"family":"La Marca","given":"Antonio"},{"family":"Lainas","given":"George"}],"issued":{"date-parts":[["2020"]]}}}],"schema":"https://github.com/citation-style-language/schema/raw/master/csl-citation.json"} </w:instrText>
      </w:r>
      <w:r w:rsidR="0003214C">
        <w:fldChar w:fldCharType="separate"/>
      </w:r>
      <w:r w:rsidR="00A7413B" w:rsidRPr="00A7413B">
        <w:t>(7)</w:t>
      </w:r>
      <w:r w:rsidR="0003214C">
        <w:fldChar w:fldCharType="end"/>
      </w:r>
      <w:r w:rsidR="007C5BB6">
        <w:t xml:space="preserve">. </w:t>
      </w:r>
    </w:p>
    <w:p w14:paraId="0178962F" w14:textId="67104D70" w:rsidR="002B7D66" w:rsidRPr="00AA68AB" w:rsidRDefault="002B7D66" w:rsidP="002B7D66">
      <w:pPr>
        <w:rPr>
          <w:color w:val="FF0000"/>
        </w:rPr>
      </w:pPr>
      <w:r w:rsidRPr="00B9018C">
        <w:t xml:space="preserve">No entanto, o crescimento </w:t>
      </w:r>
      <w:proofErr w:type="spellStart"/>
      <w:r w:rsidRPr="00B9018C">
        <w:t>multifolicular</w:t>
      </w:r>
      <w:proofErr w:type="spellEnd"/>
      <w:r w:rsidRPr="00B9018C">
        <w:t xml:space="preserve"> resulta em </w:t>
      </w:r>
      <w:r>
        <w:t>elevada</w:t>
      </w:r>
      <w:r w:rsidRPr="00B9018C">
        <w:t xml:space="preserve"> produção de</w:t>
      </w:r>
      <w:r>
        <w:t xml:space="preserve"> </w:t>
      </w:r>
      <w:proofErr w:type="spellStart"/>
      <w:r w:rsidRPr="00B9018C">
        <w:t>esteróides</w:t>
      </w:r>
      <w:proofErr w:type="spellEnd"/>
      <w:r w:rsidRPr="00B9018C">
        <w:t xml:space="preserve"> sexuais, que podem levar a um aumento extemporâneo d</w:t>
      </w:r>
      <w:r>
        <w:t>o hormônio luteinizante (LH)</w:t>
      </w:r>
      <w:r w:rsidRPr="00B9018C">
        <w:t xml:space="preserve"> e</w:t>
      </w:r>
      <w:r>
        <w:t xml:space="preserve"> provocar uma </w:t>
      </w:r>
      <w:r w:rsidRPr="00B9018C">
        <w:t xml:space="preserve">ovulação espontânea antes da coleta de </w:t>
      </w:r>
      <w:proofErr w:type="spellStart"/>
      <w:r w:rsidRPr="00B9018C">
        <w:t>oócitos</w:t>
      </w:r>
      <w:proofErr w:type="spellEnd"/>
      <w:r w:rsidRPr="00B9018C">
        <w:t xml:space="preserve">. </w:t>
      </w:r>
      <w:r>
        <w:t>Sendo assim, durante a EOC é fundamental que haja a s</w:t>
      </w:r>
      <w:r w:rsidRPr="00B9018C">
        <w:t>upressão hipofisária para prevenir</w:t>
      </w:r>
      <w:r>
        <w:t xml:space="preserve"> a </w:t>
      </w:r>
      <w:r w:rsidRPr="00B9018C">
        <w:t>ovulação prematura</w:t>
      </w:r>
      <w:r w:rsidR="0003214C">
        <w:fldChar w:fldCharType="begin"/>
      </w:r>
      <w:r w:rsidR="00A7413B">
        <w:instrText xml:space="preserve"> ADDIN ZOTERO_ITEM CSL_CITATION {"citationID":"EAc8X9GC","properties":{"formattedCitation":"(4)","plainCitation":"(4)","noteIndex":0},"citationItems":[{"id":3007,"uris":["http://zotero.org/users/10339151/items/Y5QY8MAW"],"itemData":{"id":3007,"type":"article-journal","container-title":"Human Reproduction Update","issue":"1","note":"publisher: Oxford University Press","page":"48–66","source":"Google Scholar","title":"Progestins for pituitary suppression during ovarian stimulation for ART: a comprehensive and systematic review including meta-analyses","title-short":"Progestins for pituitary suppression during ovarian stimulation for ART","volume":"27","author":[{"family":"Ata","given":"Baris"},{"family":"Capuzzo","given":"Martina"},{"family":"Turkgeldi","given":"Engin"},{"family":"Yildiz","given":"Sule"},{"family":"La Marca","given":"Antonio"}],"issued":{"date-parts":[["2021"]]}}}],"schema":"https://github.com/citation-style-language/schema/raw/master/csl-citation.json"} </w:instrText>
      </w:r>
      <w:r w:rsidR="0003214C">
        <w:fldChar w:fldCharType="separate"/>
      </w:r>
      <w:r w:rsidR="00A7413B" w:rsidRPr="00A7413B">
        <w:t>(4)</w:t>
      </w:r>
      <w:r w:rsidR="0003214C">
        <w:fldChar w:fldCharType="end"/>
      </w:r>
      <w:r w:rsidRPr="00B9018C">
        <w:t>.</w:t>
      </w:r>
      <w:r>
        <w:t xml:space="preserve"> </w:t>
      </w:r>
      <w:r w:rsidRPr="00CF0E70">
        <w:t>Os agonistas e antagonistas do hormônio liberador de gonadotro</w:t>
      </w:r>
      <w:r>
        <w:t>f</w:t>
      </w:r>
      <w:r w:rsidRPr="00CF0E70">
        <w:t>ina (</w:t>
      </w:r>
      <w:proofErr w:type="spellStart"/>
      <w:r w:rsidRPr="00CF0E70">
        <w:t>GnRH</w:t>
      </w:r>
      <w:proofErr w:type="spellEnd"/>
      <w:r w:rsidRPr="00CF0E70">
        <w:t>) têm sido tradicionalmente usados em ciclos de estimulação ovariana para suprimir</w:t>
      </w:r>
      <w:r>
        <w:t xml:space="preserve"> o</w:t>
      </w:r>
      <w:r w:rsidRPr="00CF0E70">
        <w:t xml:space="preserve"> pico d</w:t>
      </w:r>
      <w:r>
        <w:t>o</w:t>
      </w:r>
      <w:r w:rsidRPr="00CF0E70">
        <w:t xml:space="preserve"> LH e ovulação</w:t>
      </w:r>
      <w:r w:rsidR="0003214C">
        <w:fldChar w:fldCharType="begin"/>
      </w:r>
      <w:r w:rsidR="00A7413B">
        <w:instrText xml:space="preserve"> ADDIN ZOTERO_ITEM CSL_CITATION {"citationID":"xK4dbSpB","properties":{"formattedCitation":"(5)","plainCitation":"(5)","noteIndex":0},"citationItems":[{"id":3009,"uris":["http://zotero.org/users/10339151/items/L8764CLT"],"itemData":{"id":3009,"type":"article-journal","container-title":"Endocrine reviews","issue":"2","note":"publisher: Oxford University Press","page":"170–207","source":"Google Scholar","title":"The science behind 25 years of ovarian stimulation for in vitro fertilization","volume":"27","author":[{"family":"Macklon","given":"Nick S."},{"family":"Stouffer","given":"Richard L."},{"family":"Giudice","given":"Linda C."},{"family":"Fauser","given":"Bart CJM"}],"issued":{"date-parts":[["2006"]]}}}],"schema":"https://github.com/citation-style-language/schema/raw/master/csl-citation.json"} </w:instrText>
      </w:r>
      <w:r w:rsidR="0003214C">
        <w:fldChar w:fldCharType="separate"/>
      </w:r>
      <w:r w:rsidR="00A7413B" w:rsidRPr="00A7413B">
        <w:t>(5)</w:t>
      </w:r>
      <w:r w:rsidR="0003214C">
        <w:fldChar w:fldCharType="end"/>
      </w:r>
      <w:r w:rsidR="007C5BB6" w:rsidRPr="007C5BB6">
        <w:t xml:space="preserve">. </w:t>
      </w:r>
      <w:r w:rsidRPr="006B67C6">
        <w:t>Entretanto, os antagonistas</w:t>
      </w:r>
      <w:r w:rsidR="00122A92">
        <w:t xml:space="preserve"> e agonistas</w:t>
      </w:r>
      <w:r w:rsidRPr="006B67C6">
        <w:t xml:space="preserve"> </w:t>
      </w:r>
      <w:r w:rsidR="00B3053C">
        <w:t>possuem</w:t>
      </w:r>
      <w:r w:rsidRPr="006B67C6">
        <w:t xml:space="preserve"> um custo elevado</w:t>
      </w:r>
      <w:r w:rsidR="00122A92">
        <w:t>,</w:t>
      </w:r>
      <w:r w:rsidRPr="006B67C6">
        <w:t xml:space="preserve"> o que encarece o tratamento de FIV, além de aumentar o </w:t>
      </w:r>
      <w:r w:rsidRPr="006B67C6">
        <w:lastRenderedPageBreak/>
        <w:t>número de injeções diárias e consequentemente aumentando o desgaste da paciente com o tratamento.</w:t>
      </w:r>
    </w:p>
    <w:p w14:paraId="0A2647A5" w14:textId="3ECE7B25" w:rsidR="002B7D66" w:rsidRPr="00A7413B" w:rsidRDefault="002B7D66" w:rsidP="002B7D66">
      <w:r w:rsidRPr="00CF0E70">
        <w:t xml:space="preserve">Em 2015, </w:t>
      </w:r>
      <w:proofErr w:type="spellStart"/>
      <w:r w:rsidRPr="00CF0E70">
        <w:t>Kuang</w:t>
      </w:r>
      <w:proofErr w:type="spellEnd"/>
      <w:r w:rsidRPr="00CF0E70">
        <w:t xml:space="preserve"> Y e colaboradores forneceram evidências inéditas </w:t>
      </w:r>
      <w:r>
        <w:t xml:space="preserve">com </w:t>
      </w:r>
      <w:r w:rsidRPr="00CF0E70">
        <w:t>o uso oral do acetato de medroxiprogesterona (MPA)</w:t>
      </w:r>
      <w:r>
        <w:t>, como</w:t>
      </w:r>
      <w:r w:rsidRPr="00CF0E70">
        <w:t xml:space="preserve"> bloqueio </w:t>
      </w:r>
      <w:r>
        <w:t xml:space="preserve">eficaz </w:t>
      </w:r>
      <w:r w:rsidRPr="00CF0E70">
        <w:t xml:space="preserve">da elevação prematura do LH em mulheres submetidas a </w:t>
      </w:r>
      <w:r>
        <w:t>EOC</w:t>
      </w:r>
      <w:r w:rsidRPr="00CF0E70">
        <w:t xml:space="preserve"> para </w:t>
      </w:r>
      <w:r>
        <w:t>FIV</w:t>
      </w:r>
      <w:r w:rsidR="0003214C">
        <w:fldChar w:fldCharType="begin"/>
      </w:r>
      <w:r w:rsidR="00A7413B">
        <w:instrText xml:space="preserve"> ADDIN ZOTERO_ITEM CSL_CITATION {"citationID":"6ZZoQjtz","properties":{"formattedCitation":"(8)","plainCitation":"(8)","noteIndex":0},"citationItems":[{"id":3017,"uris":["http://zotero.org/users/10339151/items/IDV3ZG33"],"itemData":{"id":3017,"type":"article-journal","container-title":"Fertility and sterility","issue":"1","note":"publisher: Elsevier","page":"62–70","source":"Google Scholar","title":"Medroxyprogesterone acetate is an effective oral alternative for preventing premature luteinizing hormone surges in women undergoing controlled ovarian hyperstimulation for in vitro fertilization","volume":"104","author":[{"family":"Kuang","given":"Yanping"},{"family":"Chen","given":"Qiuju"},{"family":"Fu","given":"Yonglun"},{"family":"Wang","given":"Yun"},{"family":"Hong","given":"Qingqing"},{"family":"Lyu","given":"Qifeng"},{"family":"Ai","given":"Ai"},{"family":"Shoham","given":"Zeev"}],"issued":{"date-parts":[["2015"]]}}}],"schema":"https://github.com/citation-style-language/schema/raw/master/csl-citation.json"} </w:instrText>
      </w:r>
      <w:r w:rsidR="0003214C">
        <w:fldChar w:fldCharType="separate"/>
      </w:r>
      <w:r w:rsidR="00A7413B" w:rsidRPr="00A7413B">
        <w:t>(8)</w:t>
      </w:r>
      <w:r w:rsidR="0003214C">
        <w:fldChar w:fldCharType="end"/>
      </w:r>
      <w:r w:rsidR="007C5BB6">
        <w:t>.</w:t>
      </w:r>
      <w:r w:rsidRPr="00CF0E70">
        <w:t xml:space="preserve"> A partir deste estudo</w:t>
      </w:r>
      <w:r>
        <w:t>,</w:t>
      </w:r>
      <w:r w:rsidRPr="00CF0E70">
        <w:t xml:space="preserve"> surgiram </w:t>
      </w:r>
      <w:r>
        <w:t>muitos outros</w:t>
      </w:r>
      <w:r w:rsidRPr="00CF0E70">
        <w:t xml:space="preserve"> </w:t>
      </w:r>
      <w:r>
        <w:t>avaliando</w:t>
      </w:r>
      <w:r w:rsidRPr="00CF0E70">
        <w:t xml:space="preserve"> </w:t>
      </w:r>
      <w:r>
        <w:t>este</w:t>
      </w:r>
      <w:r w:rsidRPr="00CF0E70">
        <w:t xml:space="preserve"> protocolo de estimulação com progesterona (PPOS)</w:t>
      </w:r>
      <w:r>
        <w:t>, que se apresentou como</w:t>
      </w:r>
      <w:r w:rsidRPr="00CF0E70">
        <w:t xml:space="preserve"> alternativa aos ciclos com análogos do </w:t>
      </w:r>
      <w:proofErr w:type="spellStart"/>
      <w:r w:rsidRPr="00CF0E70">
        <w:t>GnRH</w:t>
      </w:r>
      <w:proofErr w:type="spellEnd"/>
      <w:r>
        <w:t>.</w:t>
      </w:r>
      <w:r w:rsidRPr="00CF0E70">
        <w:t xml:space="preserve"> </w:t>
      </w:r>
      <w:r>
        <w:t>O protocolo proposto mostrou</w:t>
      </w:r>
      <w:r w:rsidRPr="00CF0E70">
        <w:t xml:space="preserve"> ter várias vantagens para </w:t>
      </w:r>
      <w:r>
        <w:t xml:space="preserve">as </w:t>
      </w:r>
      <w:r w:rsidRPr="00CF0E70">
        <w:t>pacientes, incluindo custos mais baixos, menos injeções e flexibilidade na escolha da progestina, da gonadotro</w:t>
      </w:r>
      <w:r>
        <w:t>f</w:t>
      </w:r>
      <w:r w:rsidRPr="00CF0E70">
        <w:t>ina e medicamento de gatilho</w:t>
      </w:r>
      <w:r w:rsidR="0003214C">
        <w:fldChar w:fldCharType="begin"/>
      </w:r>
      <w:r w:rsidR="00A7413B">
        <w:instrText xml:space="preserve"> ADDIN ZOTERO_ITEM CSL_CITATION {"citationID":"aryPj5NG","properties":{"formattedCitation":"(9\\uc0\\u8211{}12)","plainCitation":"(9–12)","noteIndex":0},"citationItems":[{"id":3019,"uris":["http://zotero.org/users/10339151/items/9DE3GDTZ"],"itemData":{"id":3019,"type":"article-journal","abstract":"Abstract\n            Utilizing corifollitropin alfa in GnRH antagonist (GnRHant) protocol in conjunction with GnRH agonist trigger/freeze-all strategy (corifollitropin alfa/GnRHant protocol) was reported to have satisfactory outcomes in women with polycystic ovary syndrome (PCOS). Although lessening in gonadotropin injections, GnRHant were still needed. In addition to using corifollitropin alfa, GnRHant was replaced with an oral progestin as in progestin primed ovarian stimulation (PPOS) to further reduce the injection burden in this study. We try to investigate whether this regimen (corifollitropin alfa/PPOS protocol) could effectively reduce GnRHant injections and prevent premature LH surge in PCOS patients undergoing IVF/ICSI cycles. This is a retrospective cohort study recruiting 333 women with PCOS, with body weight between 50 and 70 kg, undergoing first IVF/ICSI cycle between August 2015 and July 2018. We used corifollitropin alfa/GnRHant protocol prior to Jan 2017 (n = 160), then changed to corifollitropin alfa/PPOS protocol (n = 173). All patients received corifollitropin alfa 100 μg on menstruation day 2/3 (S1). Additional rFSH was administered daily from S8. In corifollitropin alfa/GnRHant group, cetrorelix 0.25 mg/day was administered from S5 till the trigger day. In corifollitropin alfa/PPOS group, dydrogesterone 20 mg/day was given from S1 till the trigger day. GnRH agonist was used to trigger maturation of oocyte. All good quality day 5/6 embryos were frozen, and frozen-thawed embryo transfer (FET) was performed on subsequent cycle. A comparison of clinical outcomes was made between the two protocols. The primary endpoint was the incidence of premature LH surge and none of the patients occurred. Dydrogesterone successfully replace GnRHant to block LH surge while an average of 6.8 days of GnRHant injections were needed in the corifollitropin alfa/GnRHant group. No patients suffered from ovarian hyperstimulation syndrome (OHSS). The other clinical outcomes including additional duration/dose of daily gonadotropin administration, number of oocytes retrieved, and fertilization rate were similar between the two groups. The implantation rate, clinical pregnancy rate, and live birth rate in the first FET cycle were also similar between the two groups. In women with PCOS undergoing IVF/ICSI treatment, corifollitropin alfa/PPOS protocol could minimize the injections burden with comparable outcomes to corifollitropin alfa/GnRHant protocol.","container-title":"Scientific Reports","DOI":"10.1038/s41598-021-02227-w","ISSN":"2045-2322","issue":"1","journalAbbreviation":"Sci Rep","language":"en","page":"22732","source":"DOI.org (Crossref)","title":"Progestin primed ovarian stimulation using corifollitropin alfa in PCOS women effectively prevents LH surge and reduces injection burden compared to GnRH antagonist protocol","volume":"11","author":[{"family":"Huang","given":"Ting-Chi"},{"family":"Huang","given":"Mei-Zen"},{"family":"Seow","given":"Kok-Min"},{"family":"Yang","given":"Ih-Jane"},{"family":"Pan","given":"Song-Po"},{"family":"Chen","given":"Mei-Jou"},{"family":"Hwang","given":"Jiann-Loung"},{"family":"Chen","given":"Shee-Uan"}],"issued":{"date-parts":[["2021",11,23]]}},"label":"page"},{"id":3021,"uris":["http://zotero.org/users/10339151/items/IDCJ5PTA"],"itemData":{"id":3021,"type":"article-journal","container-title":"Reproductive biomedicine online","issue":"5","note":"publisher: Elsevier","page":"691–698","source":"Google Scholar","title":"Evaluation of the cost-effectiveness of ovulation suppression with progestins compared with GnRH analogs in assisted reproduction cycles","volume":"38","author":[{"family":"Evans","given":"M. Blake"},{"family":"Parikh","given":"Toral"},{"family":"DeCherney","given":"Alan H."},{"family":"Csokmay","given":"John M."},{"family":"Healy","given":"Mae W."},{"family":"Hill","given":"Micah J."}],"issued":{"date-parts":[["2019"]]}},"label":"page"},{"id":3023,"uris":["http://zotero.org/users/10339151/items/RCNHKWMZ"],"itemData":{"id":3023,"type":"article-journal","abstract":"Abstract\n            \n              Purpose\n              Progestin-primed ovarian stimulation (PPOS) is a new ovarian stimulation protocol that has been used over the last decade to enhance reproductive function. The purpose of this study is to evaluate whether PPOS is as effective as conventional protocols (without GnRHa downregulation).\n            \n            \n              Method\n              Search terms included “medroxyprogesterone”, “dydrogesterone”, “progestin-primed ovarian stimulation”, “PPOS”, “oocyte retrieval”, “in vitro fertilization”, “IVF”, “ICSI”, “ART”, and “reproductive”. The selection criteria were nonrandomized studies and randomized controlled studies. For data collection and analysis, the Review Manager software, Newcastle–Ottowa Quality Assessment Scale and GRADE approach were used.\n            \n            \n              Results\n              \n                The clinical pregnancy rates were not significantly different in either RCTs or NRCTs [RR 0.96, 95% CI (0.69–1.33),\n                I\n                2\n                 = 71%,\n                P\n                 = 0.81]; [RR 0.99, 95% CI (0.83–1.17),\n                I\n                2\n                 = 38%,\n                P\n                 = 0.88]. The live birth rates of RCTs and NRCTs did not differ [RCT: RR 1.08, 95% CI (0.74, 1.57),\n                I\n                2\n                 = 66%,\n                P\n                 = 0.69; NRCT: OR 1.03 95% CI 0.84–1.26),\n                I\n                2\n                 = 50%,\n                P\n                 = 0.79]. The PPOS protocol had a lower rate of OHSS [RR 0.52, 95% CI (0.36–0.75),\n                I\n                2\n                 = 0%,\n                P\n                 = 0.0006]. The secondary results showed that compared to the control protocol, the endometrium was thicker [95% CI (0.00–0.78),\n                I\n                2\n                 = 0%,\n                P\n                 = 0.05], the number of obtained embryos was higher [95% CI (0.04–0.65),\n                I\n                2\n                 = 17%,\n                P\n                 = 0.03] and more hMG was needed [in NRCT: 95% CI (307.44, 572.73),\n                I\n                2\n                 = 0%,\n                P\n                 &lt; 0.00001] with the PPOS protocol.\n              \n            \n            \n              Conclusion\n              The PPOS protocol produces more obtained embryos and a thicker endometrium than the control protocol, with a lower rate of OHSS and an equal live birth rate. The PPOS protocol could be a safe option as a personalized protocol for infertile patients.\n            \n            \n              Trial registration\n              Registration at PROSPERO: CRD42020176577.","container-title":"Archives of Gynecology and Obstetrics","DOI":"10.1007/s00404-020-05939-y","ISSN":"0932-0067, 1432-0711","issue":"3","journalAbbreviation":"Arch Gynecol Obstet","language":"en","page":"615-630","source":"DOI.org (Crossref)","title":"Effectiveness of progesterone-primed ovarian stimulation in assisted reproductive technology: a systematic review and meta-analysis","title-short":"Effectiveness of progesterone-primed ovarian stimulation in assisted reproductive technology","volume":"303","author":[{"family":"Cui","given":"Ling"},{"family":"Lin","given":"Yonghong"},{"family":"Wang","given":"Fang"},{"family":"Chen","given":"Chen"}],"issued":{"date-parts":[["2021",3]]}},"label":"page"},{"id":3029,"uris":["http://zotero.org/users/10339151/items/6NKIKHQW"],"itemData":{"id":3029,"type":"article-journal","container-title":"Reproductive biomedicine online","issue":"6","note":"publisher: Elsevier","page":"894–903","source":"Google Scholar","title":"Progestins versus GnRH analogues for pituitary suppression during ovarian stimulation for assisted reproductive technology: a systematic review and meta-analysis","title-short":"Progestins versus GnRH analogues for pituitary suppression during ovarian stimulation for assisted reproductive technology","volume":"40","author":[{"family":"Alexandru","given":"Polexa"},{"family":"Cekic","given":"Sebile Guler"},{"family":"Yildiz","given":"Sule"},{"family":"Turkgeldi","given":"Engin"},{"family":"Ata","given":"Baris"}],"issued":{"date-parts":[["2020"]]}},"label":"page"}],"schema":"https://github.com/citation-style-language/schema/raw/master/csl-citation.json"} </w:instrText>
      </w:r>
      <w:r w:rsidR="0003214C">
        <w:fldChar w:fldCharType="separate"/>
      </w:r>
      <w:r w:rsidR="00A7413B" w:rsidRPr="00A7413B">
        <w:rPr>
          <w:szCs w:val="24"/>
        </w:rPr>
        <w:t>(9–12)</w:t>
      </w:r>
      <w:r w:rsidR="0003214C">
        <w:fldChar w:fldCharType="end"/>
      </w:r>
      <w:r w:rsidR="007C5BB6">
        <w:t>.</w:t>
      </w:r>
      <w:r w:rsidRPr="00A7413B">
        <w:t xml:space="preserve"> </w:t>
      </w:r>
    </w:p>
    <w:p w14:paraId="79972BC1" w14:textId="4417CB81" w:rsidR="002B7D66" w:rsidRDefault="002B7D66" w:rsidP="002B7D66">
      <w:r>
        <w:t>E</w:t>
      </w:r>
      <w:r w:rsidRPr="009B4B3B">
        <w:t>studos</w:t>
      </w:r>
      <w:r>
        <w:t xml:space="preserve"> que avaliaram o PPOS</w:t>
      </w:r>
      <w:r w:rsidRPr="009B4B3B">
        <w:t xml:space="preserve"> demonstraram supressão consistente de LH com </w:t>
      </w:r>
      <w:r>
        <w:t xml:space="preserve">a </w:t>
      </w:r>
      <w:r w:rsidRPr="009B4B3B">
        <w:t>progesterona</w:t>
      </w:r>
      <w:r>
        <w:t xml:space="preserve"> oral em diversos grupos de pacientes,</w:t>
      </w:r>
      <w:r w:rsidRPr="00CF0E70">
        <w:t xml:space="preserve"> incluindo mulheres com função ovariana norma</w:t>
      </w:r>
      <w:r>
        <w:t>l</w:t>
      </w:r>
      <w:r w:rsidR="0003214C">
        <w:fldChar w:fldCharType="begin"/>
      </w:r>
      <w:r w:rsidR="00A7413B">
        <w:instrText xml:space="preserve"> ADDIN ZOTERO_ITEM CSL_CITATION {"citationID":"raj82pvz","properties":{"formattedCitation":"(13,14)","plainCitation":"(13,14)","noteIndex":0},"citationItems":[{"id":3031,"uris":["http://zotero.org/users/10339151/items/TSYC693Z"],"itemData":{"id":3031,"type":"article-journal","abstract":"Background: In vitro fertilization is an important therapy for women with polycystic ovarian syndrome (PCOS). The use of new ways of improving clinical results is yet required. \nObjective: This study was aimed to investigate the efficacy of progesterone primed ovarian stimulation (PPOS) and compare with conventional antagonist protocol in PCOS. \nMaterials and Methods: A total of 120 PCOS women who were candidates for assisted reproductive technology treatment from August to January 2019 were enrolled in this RCT and were placed into two groups, randomly (n = 60/each). The PPOS group received 20 mg/day Dydrogesterone orally since the second day of the cycle and the control group received antagonist protocol. The pregnancy outcomes including the chemical and clinical pregnancy, the miscarriage rate, and the percent of gestational sacs/transferred embryos was compared in two groups. \nResults: Number of MII oocyte, maturity rate, Number of 2 pronuclei (2PN) and serum estradiol levels on trigger day were statistically lower in PPOS group (p = 0.019, p = 0.035, p = 0.032, p = 0.030), respectively. Serum LH level on trigger day in PPOS group was higher than antagonist group (p = 0.005). Although there wasn’t sever ovarian hyper simulation syndrome in any participants, mild and moderate ovarian hyper simulation syndrome was less in PPOS group (p = 0.001). Also, the chemical and clinical pregnancy rate were higher in the antagonist group, althoughit was not statistically significant (p = 0.136, p = 0.093 respectively). \nConclusion: Our study demonstrate that PPOS does not improve chemical and clinical pregnancy rate of the infertile women with PCOS. \nKey words: Progesterone, Polycystic ovarian syndrome, Controlled ovarian stimulation, Frozen-thawed embryo transfer, Pregnancy rate.","container-title":"International Journal of Reproductive BioMedicine","DOI":"10.18502/ijrm.v17i9.5103","ISSN":"2476-3772, 2476-4108","journalAbbreviation":"IJRM","source":"DOI.org (Crossref)","title":"Progesterone- primed ovarian stimulation in polycystic ovarian syndrome: An RCT","title-short":"Progesterone- primed ovarian stimulation in polycystic ovarian syndrome","URL":"https://knepublishing.com/index.php/ijrm/article/view/5103","author":[{"family":"Eftekhar","given":"Maryam"},{"family":"Hoseini","given":"Masrooreh"},{"family":"Saeed","given":"Lida"}],"accessed":{"date-parts":[["2023",11,27]]},"issued":{"date-parts":[["2019",9,22]]}},"label":"page"},{"id":3033,"uris":["http://zotero.org/users/10339151/items/J4A62WAP"],"itemData":{"id":3033,"type":"article-journal","container-title":"Medicine","DOI":"10.1097/MD.0000000000002939","ISSN":"0025-7974","issue":"9","language":"en","page":"e2939","source":"DOI.org (Crossref)","title":"Controlled Ovarian Stimulation Using Medroxyprogesterone Acetate and hMG in Patients With Polycystic Ovary Syndrome Treated for IVF: A Double-Blind Randomized Crossover Clinical Trial","title-short":"Controlled Ovarian Stimulation Using Medroxyprogesterone Acetate and hMG in Patients With Polycystic Ovary Syndrome Treated for IVF","volume":"95","author":[{"family":"Wang","given":"Yun"},{"family":"Chen","given":"Qiuju"},{"family":"Wang","given":"NingLing"},{"family":"Chen","given":"Hong"},{"family":"Lyu","given":"Qifeng"},{"family":"Kuang","given":"Yanping"}],"issued":{"date-parts":[["2016",3]]}},"label":"page"}],"schema":"https://github.com/citation-style-language/schema/raw/master/csl-citation.json"} </w:instrText>
      </w:r>
      <w:r w:rsidR="0003214C">
        <w:fldChar w:fldCharType="separate"/>
      </w:r>
      <w:r w:rsidR="00A7413B" w:rsidRPr="00A7413B">
        <w:t>(13,14)</w:t>
      </w:r>
      <w:r w:rsidR="0003214C">
        <w:fldChar w:fldCharType="end"/>
      </w:r>
      <w:r w:rsidRPr="00CF0E70">
        <w:t>, pobre respondedoras</w:t>
      </w:r>
      <w:r w:rsidR="0003214C">
        <w:fldChar w:fldCharType="begin"/>
      </w:r>
      <w:r w:rsidR="00A7413B">
        <w:instrText xml:space="preserve"> ADDIN ZOTERO_ITEM CSL_CITATION {"citationID":"W5J9okOx","properties":{"formattedCitation":"(15)","plainCitation":"(15)","noteIndex":0},"citationItems":[{"id":3052,"uris":["http://zotero.org/users/10339151/items/4MJRDTQ4"],"itemData":{"id":3052,"type":"article-journal","container-title":"Frontiers in Endocrinology","DOI":"10.3389/fendo.2019.00796","ISSN":"1664-2392","journalAbbreviation":"Front. Endocrinol.","page":"796","source":"DOI.org (Crossref)","title":"Progestin vs. Gonadotropin-Releasing Hormone Antagonist for the Prevention of Premature Luteinizing Hormone Surges in Poor Responders Undergoing in vitro Fertilization Treatment: A Randomized Controlled Trial","title-short":"Progestin vs. Gonadotropin-Releasing Hormone Antagonist for the Prevention of Premature Luteinizing Hormone Surges in Poor Responders Undergoing in vitro Fertilization Treatment","volume":"10","author":[{"family":"Chen","given":"Qiuju"},{"family":"Chai","given":"Weiran"},{"family":"Wang","given":"Yun"},{"family":"Cai","given":"Renfei"},{"family":"Zhang","given":"Shaozhen"},{"family":"Lu","given":"Xuefeng"},{"family":"Zeng","given":"Xiaojing"},{"family":"Sun","given":"Lihua"},{"family":"Kuang","given":"Yanping"}],"issued":{"date-parts":[["2019",11,22]]}}}],"schema":"https://github.com/citation-style-language/schema/raw/master/csl-citation.json"} </w:instrText>
      </w:r>
      <w:r w:rsidR="0003214C">
        <w:fldChar w:fldCharType="separate"/>
      </w:r>
      <w:r w:rsidR="00A7413B" w:rsidRPr="00A7413B">
        <w:t>(15)</w:t>
      </w:r>
      <w:r w:rsidR="0003214C">
        <w:fldChar w:fldCharType="end"/>
      </w:r>
      <w:r w:rsidRPr="00CF0E70">
        <w:t>, com idade materna avançada</w:t>
      </w:r>
      <w:r w:rsidR="0003214C">
        <w:fldChar w:fldCharType="begin"/>
      </w:r>
      <w:r w:rsidR="00A7413B">
        <w:instrText xml:space="preserve"> ADDIN ZOTERO_ITEM CSL_CITATION {"citationID":"LznyeEGZ","properties":{"formattedCitation":"(16)","plainCitation":"(16)","noteIndex":0},"citationItems":[{"id":3037,"uris":["http://zotero.org/users/10339151/items/9MKRQR4C"],"itemData":{"id":3037,"type":"article-journal","abstract":"Abstract\n            \n              Background\n              Previous studies have demonstrated that progestin-primed ovarian stimulation (PPOS) protocol was a feasible and efficient method in in vitro fertilization (IVF) cycle. However, its application in women with advanced age has not been determined yet. The purpose of this study was to investigate its efficacy in women aged ≥40 years old.\n            \n            \n              Methods\n              This retrospective cohort study included patients with ages of ≥40 years old at the time of ovarian stimulation. The embryonic and clinical outcome of mild stimulation and PPOS were compared. Primary outcome was top-quality embryo rate on day 3, and secondary outcome was clinical pregnancy rate.\n            \n            \n              Results\n              \n                Baseline characteristics of patients was similar in mild stimulation (122 cycles) and PPOS (47 cycles). No significant difference was found in the number of retrieved and mature oocytes and the fertilization and cleavage rates. Of interest, the rate of top-quality embryos was significantly higher in PPOS group (50.08% vs 33.29%,\n                p\n                 = 0.015), with an increasing trend of viable embryo rate (73.55% vs 61.16%). A greater amount of gonadotropin was observed in PPOS group (2061.17 ± 1254.63 IU vs 1518.14 ± 547.25 IU,\n                p\n                 &lt; 0.05) in spite of comparable duration of stimulation. After FET cycle, no significant difference was found in the clinical pregnancy rates between mild stimulation (12.5%) and PPOS group (16.7%).\n              \n            \n            \n              Conclusions\n              Higher percentage of top-quality embryos on Day 3 and comparable clinical pregnancy rate was obtained in PPOS protocol, which could be considered as a feasible ovarian stimulation protocol in women aged above 40 years old.","container-title":"Reproductive Biology and Endocrinology","DOI":"10.1186/s12958-019-0518-3","ISSN":"1477-7827","issue":"1","journalAbbreviation":"Reprod Biol Endocrinol","language":"en","page":"91","source":"DOI.org (Crossref)","title":"Progestin-primed ovarian stimulation vs mild stimulation in women with advanced age above 40: a retrospective cohort study","title-short":"Progestin-primed ovarian stimulation vs mild stimulation in women with advanced age above 40","volume":"17","author":[{"family":"Peng","given":"Qian"},{"family":"Cao","given":"Xiang"},{"family":"Wang","given":"Jing"},{"family":"Wang","given":"Lin"},{"family":"Xu","given":"Jun"},{"family":"Ji","given":"Xiaowei"},{"family":"Liu","given":"Suying"},{"family":"Zhu","given":"Jin"},{"family":"Dong","given":"Xi"}],"issued":{"date-parts":[["2019",12]]}}}],"schema":"https://github.com/citation-style-language/schema/raw/master/csl-citation.json"} </w:instrText>
      </w:r>
      <w:r w:rsidR="0003214C">
        <w:fldChar w:fldCharType="separate"/>
      </w:r>
      <w:r w:rsidR="00A7413B" w:rsidRPr="00A7413B">
        <w:t>(16)</w:t>
      </w:r>
      <w:r w:rsidR="0003214C">
        <w:fldChar w:fldCharType="end"/>
      </w:r>
      <w:r w:rsidRPr="00CF0E70">
        <w:t>,</w:t>
      </w:r>
      <w:r w:rsidR="00B96847">
        <w:t xml:space="preserve"> </w:t>
      </w:r>
      <w:r w:rsidRPr="00CF0E70">
        <w:t>com endometriose</w:t>
      </w:r>
      <w:r w:rsidR="0003214C">
        <w:fldChar w:fldCharType="begin"/>
      </w:r>
      <w:r w:rsidR="00A7413B">
        <w:instrText xml:space="preserve"> ADDIN ZOTERO_ITEM CSL_CITATION {"citationID":"BsHlUy31","properties":{"formattedCitation":"(17)","plainCitation":"(17)","noteIndex":0},"citationItems":[{"id":3039,"uris":["http://zotero.org/users/10339151/items/S5TB42ID"],"itemData":{"id":3039,"type":"article-journal","abstract":"Abstract\n            \n              Background\n              PPOS protocols, initially described for FP in women with cancer, have many advantages compared to antagonist protocols. PPOS protocols were not evaluated for women with endometriosis. The objective of the study was to describe fertility preservation outcomes in women with endometriosis and to compare an antagonist protocol with a Progestin-Primed Ovarian Stimulation (PPOS) protocol.\n            \n            \n              Method\n              We conducted a prospective cohort study associated with a cost-effectiveness analysis in a tertiary-care university hospital. The measured outcomes included the numbers of retrieved and vitrified oocytes, and direct medical costs. In the whole population, unique and multiple linear regressions analysis were performed to search for a correlation between individual characteristics and the number of retrieved oocyte.\n            \n            \n              Results\n              \n                We included 108 women with endometriosis who had a single stimulation cycle performed with either an antagonist or a PPOS protocol. Overall, 8.1 ± 6.6 oocytes were retrieved and 6.4 ± 5.6 oocytes vitrified per patient. In the multiple regression model, age (\n                p\n                 = 0.001), prior ovarian surgery (\n                p\n                 = 0.035), and anti-Mullerian hormone level (\n                p\n                 = 0.001) were associated with the number of retrieved oocytes. Fifty-four women were stimulated with an antagonist protocol, and 54 with a PPOS protocol. A mean of 7.9 ± 7.4 oocytes were retrieved in the antagonist group and 8.2 ± 5.6 in the PPOS group (\n                p\n                 = 0.78). A mean of 6.4 ± 6.4 oocytes were vitrified in the antagonist group and 6.4 ± 4.7 in the PPOS group (\n                p\n                 = 1). In the cost-effectiveness analysis, the PPOS protocol was strongly dominant over the antagonist protocol.\n              \n            \n            \n              Conclusion\n              Fertility preservation procedures are feasible and effective for patients affected by endometriosis. Antagonist and PPOS protocols were associated with similar results but the medico-economic analysis was in favor of PPOS protocols.","container-title":"Journal of Ovarian Research","DOI":"10.1186/s13048-020-00620-z","ISSN":"1757-2215","issue":"1","journalAbbreviation":"J Ovarian Res","language":"en","page":"18","source":"DOI.org (Crossref)","title":"Outcomes of fertility preservation in women with endometriosis: comparison of progestin-primed ovarian stimulation versus antagonist protocols","title-short":"Outcomes of fertility preservation in women with endometriosis","volume":"13","author":[{"family":"Mathieu d’Argent","given":"Emmanuelle"},{"family":"Ferrier","given":"Clément"},{"family":"Zacharopoulou","given":"Chrysoula"},{"family":"Ahdad-Yata","given":"Naouel"},{"family":"Boudy","given":"Anne-Sophie"},{"family":"Cantalloube","given":"Adèle"},{"family":"Levy","given":"Rachel"},{"family":"Antoine","given":"Jean-Marie"},{"family":"Daraï","given":"Emile"},{"family":"Bendifallah","given":"Sofiane"}],"issued":{"date-parts":[["2020",12]]}}}],"schema":"https://github.com/citation-style-language/schema/raw/master/csl-citation.json"} </w:instrText>
      </w:r>
      <w:r w:rsidR="0003214C">
        <w:fldChar w:fldCharType="separate"/>
      </w:r>
      <w:r w:rsidR="00A7413B" w:rsidRPr="00A7413B">
        <w:t>(17)</w:t>
      </w:r>
      <w:r w:rsidR="0003214C">
        <w:fldChar w:fldCharType="end"/>
      </w:r>
      <w:r w:rsidRPr="00CF0E70">
        <w:t>, com síndrome dos ovários policísticos</w:t>
      </w:r>
      <w:r w:rsidRPr="00827469">
        <w:rPr>
          <w:vertAlign w:val="superscript"/>
        </w:rPr>
        <w:t xml:space="preserve"> </w:t>
      </w:r>
      <w:r>
        <w:t>e</w:t>
      </w:r>
      <w:r w:rsidRPr="00CF0E70">
        <w:t xml:space="preserve"> em ciclos para </w:t>
      </w:r>
      <w:proofErr w:type="spellStart"/>
      <w:r w:rsidRPr="00CF0E70">
        <w:t>ov</w:t>
      </w:r>
      <w:r>
        <w:t>o</w:t>
      </w:r>
      <w:r w:rsidRPr="00CF0E70">
        <w:t>doação</w:t>
      </w:r>
      <w:proofErr w:type="spellEnd"/>
      <w:r w:rsidR="00312609">
        <w:fldChar w:fldCharType="begin"/>
      </w:r>
      <w:r w:rsidR="00A7413B">
        <w:instrText xml:space="preserve"> ADDIN ZOTERO_ITEM CSL_CITATION {"citationID":"sCgtk1zN","properties":{"formattedCitation":"(18)","plainCitation":"(18)","noteIndex":0},"citationItems":[{"id":3043,"uris":["http://zotero.org/users/10339151/items/FU4RICBQ"],"itemData":{"id":3043,"type":"article-journal","container-title":"Human Reproduction","DOI":"10.1093/humrep/dez034","ISSN":"0268-1161, 1460-2350","issue":"5","language":"en","page":"872-880","source":"DOI.org (Crossref)","title":"Medroxyprogesterone acetate versus ganirelix in oocyte donation: a randomized controlled trial","title-short":"Medroxyprogesterone acetate versus ganirelix in oocyte donation","volume":"34","author":[{"family":"Beguería","given":"R"},{"family":"García","given":"D"},{"family":"Vassena","given":"R"},{"family":"Rodríguez","given":"A"}],"issued":{"date-parts":[["2019",5,1]]}}}],"schema":"https://github.com/citation-style-language/schema/raw/master/csl-citation.json"} </w:instrText>
      </w:r>
      <w:r w:rsidR="00312609">
        <w:fldChar w:fldCharType="separate"/>
      </w:r>
      <w:r w:rsidR="00A7413B" w:rsidRPr="00A7413B">
        <w:t>(18)</w:t>
      </w:r>
      <w:r w:rsidR="00312609">
        <w:fldChar w:fldCharType="end"/>
      </w:r>
      <w:r>
        <w:t>.</w:t>
      </w:r>
      <w:r w:rsidR="00312609">
        <w:t xml:space="preserve"> </w:t>
      </w:r>
      <w:r>
        <w:t>Entretanto</w:t>
      </w:r>
      <w:r w:rsidRPr="00CF0E70">
        <w:t xml:space="preserve"> </w:t>
      </w:r>
      <w:r>
        <w:t>o</w:t>
      </w:r>
      <w:r w:rsidRPr="00CF0E70">
        <w:t>s achados relatados na literatura são variáveis</w:t>
      </w:r>
      <w:r>
        <w:t>, e</w:t>
      </w:r>
      <w:r w:rsidRPr="00CF0E70">
        <w:t>nquanto alguns estudos mostraram melhores desfechos, outros não mostraram diferença</w:t>
      </w:r>
      <w:r>
        <w:t>s</w:t>
      </w:r>
      <w:r w:rsidRPr="00CF0E70">
        <w:t xml:space="preserve"> ou ainda menores taxas de gravidez</w:t>
      </w:r>
      <w:r>
        <w:t xml:space="preserve"> com o uso do PPOS.</w:t>
      </w:r>
    </w:p>
    <w:p w14:paraId="377673E7" w14:textId="3B9F777A" w:rsidR="002B7D66" w:rsidRPr="000D386B" w:rsidRDefault="002B7D66" w:rsidP="002B7D66">
      <w:r w:rsidRPr="00CF0E70">
        <w:t xml:space="preserve">Os aspectos clínicos cruciais nos tratamentos de </w:t>
      </w:r>
      <w:r>
        <w:t xml:space="preserve">FIV </w:t>
      </w:r>
      <w:r w:rsidRPr="00CF0E70">
        <w:t xml:space="preserve">são eficácia e segurança dos protocolos. Alguns estudos mostraram que o PPOS pode ser econômico em comparação com o antagonista de </w:t>
      </w:r>
      <w:proofErr w:type="spellStart"/>
      <w:r w:rsidRPr="00CF0E70">
        <w:t>GnRH</w:t>
      </w:r>
      <w:proofErr w:type="spellEnd"/>
      <w:r w:rsidRPr="00CF0E70">
        <w:t xml:space="preserve"> e com menores incidências de </w:t>
      </w:r>
      <w:r>
        <w:t>s</w:t>
      </w:r>
      <w:r w:rsidRPr="00CF0E70">
        <w:t xml:space="preserve">índrome de </w:t>
      </w:r>
      <w:proofErr w:type="spellStart"/>
      <w:r>
        <w:t>h</w:t>
      </w:r>
      <w:r w:rsidRPr="00CF0E70">
        <w:t>iperestímulo</w:t>
      </w:r>
      <w:proofErr w:type="spellEnd"/>
      <w:r w:rsidRPr="00CF0E70">
        <w:t xml:space="preserve"> ovariano</w:t>
      </w:r>
      <w:r w:rsidR="00312609">
        <w:fldChar w:fldCharType="begin"/>
      </w:r>
      <w:r w:rsidR="00A7413B">
        <w:instrText xml:space="preserve"> ADDIN ZOTERO_ITEM CSL_CITATION {"citationID":"MiC5GFMu","properties":{"formattedCitation":"(13)","plainCitation":"(13)","noteIndex":0},"citationItems":[{"id":3031,"uris":["http://zotero.org/users/10339151/items/TSYC693Z"],"itemData":{"id":3031,"type":"article-journal","abstract":"Background: In vitro fertilization is an important therapy for women with polycystic ovarian syndrome (PCOS). The use of new ways of improving clinical results is yet required. \nObjective: This study was aimed to investigate the efficacy of progesterone primed ovarian stimulation (PPOS) and compare with conventional antagonist protocol in PCOS. \nMaterials and Methods: A total of 120 PCOS women who were candidates for assisted reproductive technology treatment from August to January 2019 were enrolled in this RCT and were placed into two groups, randomly (n = 60/each). The PPOS group received 20 mg/day Dydrogesterone orally since the second day of the cycle and the control group received antagonist protocol. The pregnancy outcomes including the chemical and clinical pregnancy, the miscarriage rate, and the percent of gestational sacs/transferred embryos was compared in two groups. \nResults: Number of MII oocyte, maturity rate, Number of 2 pronuclei (2PN) and serum estradiol levels on trigger day were statistically lower in PPOS group (p = 0.019, p = 0.035, p = 0.032, p = 0.030), respectively. Serum LH level on trigger day in PPOS group was higher than antagonist group (p = 0.005). Although there wasn’t sever ovarian hyper simulation syndrome in any participants, mild and moderate ovarian hyper simulation syndrome was less in PPOS group (p = 0.001). Also, the chemical and clinical pregnancy rate were higher in the antagonist group, althoughit was not statistically significant (p = 0.136, p = 0.093 respectively). \nConclusion: Our study demonstrate that PPOS does not improve chemical and clinical pregnancy rate of the infertile women with PCOS. \nKey words: Progesterone, Polycystic ovarian syndrome, Controlled ovarian stimulation, Frozen-thawed embryo transfer, Pregnancy rate.","container-title":"International Journal of Reproductive BioMedicine","DOI":"10.18502/ijrm.v17i9.5103","ISSN":"2476-3772, 2476-4108","journalAbbreviation":"IJRM","source":"DOI.org (Crossref)","title":"Progesterone- primed ovarian stimulation in polycystic ovarian syndrome: An RCT","title-short":"Progesterone- primed ovarian stimulation in polycystic ovarian syndrome","URL":"https://knepublishing.com/index.php/ijrm/article/view/5103","author":[{"family":"Eftekhar","given":"Maryam"},{"family":"Hoseini","given":"Masrooreh"},{"family":"Saeed","given":"Lida"}],"accessed":{"date-parts":[["2023",11,27]]},"issued":{"date-parts":[["2019",9,22]]}}}],"schema":"https://github.com/citation-style-language/schema/raw/master/csl-citation.json"} </w:instrText>
      </w:r>
      <w:r w:rsidR="00312609">
        <w:fldChar w:fldCharType="separate"/>
      </w:r>
      <w:r w:rsidR="00A7413B" w:rsidRPr="00A7413B">
        <w:t>(13)</w:t>
      </w:r>
      <w:r w:rsidR="00312609">
        <w:fldChar w:fldCharType="end"/>
      </w:r>
      <w:r>
        <w:t xml:space="preserve"> </w:t>
      </w:r>
      <w:r w:rsidRPr="00CF0E70">
        <w:t>.</w:t>
      </w:r>
      <w:r>
        <w:t xml:space="preserve"> Além disso, m</w:t>
      </w:r>
      <w:r w:rsidRPr="000A0569">
        <w:t xml:space="preserve">ostraram que </w:t>
      </w:r>
      <w:r>
        <w:t>este protocolo</w:t>
      </w:r>
      <w:r w:rsidRPr="000A0569">
        <w:t xml:space="preserve"> poderia produzir </w:t>
      </w:r>
      <w:proofErr w:type="spellStart"/>
      <w:r w:rsidRPr="000A0569">
        <w:t>oócitos</w:t>
      </w:r>
      <w:proofErr w:type="spellEnd"/>
      <w:r w:rsidRPr="000A0569">
        <w:t xml:space="preserve"> e embriões competentes comparáveis ​​</w:t>
      </w:r>
      <w:r>
        <w:t xml:space="preserve">àqueles </w:t>
      </w:r>
      <w:r w:rsidRPr="000A0569">
        <w:t xml:space="preserve">com agonista de </w:t>
      </w:r>
      <w:proofErr w:type="spellStart"/>
      <w:r w:rsidRPr="000A0569">
        <w:t>GnRH</w:t>
      </w:r>
      <w:proofErr w:type="spellEnd"/>
      <w:r w:rsidR="00312609">
        <w:fldChar w:fldCharType="begin"/>
      </w:r>
      <w:r w:rsidR="00A7413B">
        <w:instrText xml:space="preserve"> ADDIN ZOTERO_ITEM CSL_CITATION {"citationID":"9rSMoeti","properties":{"formattedCitation":"(14,19)","plainCitation":"(14,19)","noteIndex":0},"citationItems":[{"id":3048,"uris":["http://zotero.org/users/10339151/items/8YC2EEFY"],"itemData":{"id":3048,"type":"article-journal","abstract":"Abstract\n            This study investigated the use of medroxyprogesterone acetate (MPA) or a short protocol for controlled ovarian hyperstimulation (COH) in patients with advanced endometriosis who have normal ovarian function, and to compare cycle characteristics and pregnancy outcomes after frozen-thawed embryo transfer (FET). This was a retrospective case-control study of 244 patients with advanced endometriosis undering COH. The patients were allocated to three groups: the surgery group with MPA COH (62 patients, 71 IVF/ICSI cycles, 78 FET cycles); the aspiration group with MPA COH (85 patients had ovarian “chocolate” cysts (&gt;3 cm) aspirated, 90 IVF/ICSI cycles, 76 FET cycles); and the short protocol group (97 patients, 101 IVF/ICSI cycles, 51 FET cycles). The results showed that higher rates of mature oocyte, D3 high quality embryo, hMG dose were observed in the two study groups using MPA compared with the short protocol. The number of &gt;10–14 mm follicles on the trigger day, D3 top-quality embryos, viable embryos, rates of cancellation, fertilization, implantation, pregnancy outcomes were similar among the three groups. The oocytes, embryos, and pregnancy outcomes were not influenced by endometrioma surgery or presence of endometrioma. MPA COH could be effective for women with ovarian advanced endometriosis who had normal ovarian function.","container-title":"Scientific Reports","DOI":"10.1038/s41598-017-12151-7","ISSN":"2045-2322","issue":"1","journalAbbreviation":"Sci Rep","language":"en","page":"11927","source":"DOI.org (Crossref)","title":"Use of medroxyprogesterone acetate in women with ovarian endometriosis undergoing controlled ovarian hyperstimulation for in vitro fertilization","volume":"7","author":[{"family":"Guo","given":"Haiyan"},{"family":"Wang","given":"Yun"},{"family":"Chen","given":"Qiuju"},{"family":"Chai","given":"Weiran"},{"family":"Sun","given":"Lihua"},{"family":"Ai","given":"Ai"},{"family":"Fu","given":"Yonglun"},{"family":"Lyu","given":"Qifeng"},{"family":"Kuang","given":"Yanping"}],"issued":{"date-parts":[["2017",9,20]]}},"label":"page"},{"id":3033,"uris":["http://zotero.org/users/10339151/items/J4A62WAP"],"itemData":{"id":3033,"type":"article-journal","container-title":"Medicine","DOI":"10.1097/MD.0000000000002939","ISSN":"0025-7974","issue":"9","language":"en","page":"e2939","source":"DOI.org (Crossref)","title":"Controlled Ovarian Stimulation Using Medroxyprogesterone Acetate and hMG in Patients With Polycystic Ovary Syndrome Treated for IVF: A Double-Blind Randomized Crossover Clinical Trial","title-short":"Controlled Ovarian Stimulation Using Medroxyprogesterone Acetate and hMG in Patients With Polycystic Ovary Syndrome Treated for IVF","volume":"95","author":[{"family":"Wang","given":"Yun"},{"family":"Chen","given":"Qiuju"},{"family":"Wang","given":"NingLing"},{"family":"Chen","given":"Hong"},{"family":"Lyu","given":"Qifeng"},{"family":"Kuang","given":"Yanping"}],"issued":{"date-parts":[["2016",3]]}},"label":"page"}],"schema":"https://github.com/citation-style-language/schema/raw/master/csl-citation.json"} </w:instrText>
      </w:r>
      <w:r w:rsidR="00312609">
        <w:fldChar w:fldCharType="separate"/>
      </w:r>
      <w:r w:rsidR="00A7413B" w:rsidRPr="00A7413B">
        <w:t>(14,19)</w:t>
      </w:r>
      <w:r w:rsidR="00312609">
        <w:fldChar w:fldCharType="end"/>
      </w:r>
      <w:r w:rsidR="0022712C">
        <w:t>.</w:t>
      </w:r>
      <w:r w:rsidRPr="000A0569">
        <w:t xml:space="preserve"> E</w:t>
      </w:r>
      <w:r>
        <w:t>m</w:t>
      </w:r>
      <w:r w:rsidRPr="000A0569">
        <w:t xml:space="preserve"> coorte comparando PPOS e protocolo de estimulação ovariana mínima, </w:t>
      </w:r>
      <w:r>
        <w:t xml:space="preserve">foram </w:t>
      </w:r>
      <w:r w:rsidRPr="000A0569">
        <w:t>analis</w:t>
      </w:r>
      <w:r>
        <w:t>ados</w:t>
      </w:r>
      <w:r w:rsidRPr="000A0569">
        <w:t xml:space="preserve"> os embriões quanto ao número</w:t>
      </w:r>
      <w:r>
        <w:t>,</w:t>
      </w:r>
      <w:r w:rsidRPr="000A0569">
        <w:t xml:space="preserve"> regularidade dos blastômeros</w:t>
      </w:r>
      <w:r>
        <w:t>,</w:t>
      </w:r>
      <w:r w:rsidRPr="000A0569">
        <w:t xml:space="preserve"> grau de fragmentação</w:t>
      </w:r>
      <w:r>
        <w:t xml:space="preserve"> e </w:t>
      </w:r>
      <w:r w:rsidRPr="000A0569">
        <w:t>classifica</w:t>
      </w:r>
      <w:r>
        <w:t>ção morfológica embrionária. Neste estudo, n</w:t>
      </w:r>
      <w:r w:rsidRPr="000A0569">
        <w:t xml:space="preserve">ão </w:t>
      </w:r>
      <w:r>
        <w:t xml:space="preserve">foi </w:t>
      </w:r>
      <w:r w:rsidRPr="000A0569">
        <w:t>encontra</w:t>
      </w:r>
      <w:r>
        <w:t>do</w:t>
      </w:r>
      <w:r w:rsidRPr="000A0569">
        <w:t xml:space="preserve"> diferença significativa na taxa de embriões considerados como </w:t>
      </w:r>
      <w:r w:rsidRPr="00AA68AB">
        <w:rPr>
          <w:i/>
          <w:iCs/>
        </w:rPr>
        <w:t xml:space="preserve">top </w:t>
      </w:r>
      <w:proofErr w:type="spellStart"/>
      <w:r w:rsidRPr="00AA68AB">
        <w:rPr>
          <w:i/>
          <w:iCs/>
        </w:rPr>
        <w:t>quality</w:t>
      </w:r>
      <w:proofErr w:type="spellEnd"/>
      <w:r w:rsidR="00312609">
        <w:rPr>
          <w:i/>
          <w:iCs/>
        </w:rPr>
        <w:fldChar w:fldCharType="begin"/>
      </w:r>
      <w:r w:rsidR="00A7413B">
        <w:rPr>
          <w:i/>
          <w:iCs/>
        </w:rPr>
        <w:instrText xml:space="preserve"> ADDIN ZOTERO_ITEM CSL_CITATION {"citationID":"DkK4Ak8J","properties":{"formattedCitation":"(20)","plainCitation":"(20)","noteIndex":0},"citationItems":[{"id":3054,"uris":["http://zotero.org/users/10339151/items/DVH6D4FA"],"itemData":{"id":3054,"type":"article-journal","abstract":"Objective\n              \n                To assess and compare the feasibility of progestin-primed ovarian stimulation (PPOS) protocol with mild stimulation protocol for advanced age women with diminished ovarian reserve (DOR) undergoing their first\n                in vitro\n                fertilization (IVF)/intracytoplasmic sperm injection (ICSI) cycle.\n              \n            \n            \n              Methods\n              Patients aged ≥35 years and DOR undergoing their first IVF/ICSI cycle were enrolled in this retrospective cohort study: 139 and 600 patients underwent the PPOS and mild stimulation protocols, respectively. The primary outcomes were cumulative clinical pregnancy rate (CCPR) and cumulative live birth rate (CLBR). The secondary outcomes were the number of oocytes retrieved and top-quality embryos.\n            \n            \n              Results\n              \n                There was nearly no significant difference of baseline characteristics between the two groups. Although a greater amount of total gonadotropin (1906.61 ± 631.04 IU vs. 997.72 ± 705.73 IU,\n                P\n                &amp;lt;0.001) and longer duration of stimulation (9 (10–7) vs. 6 (8–4),\n                P\n                &amp;lt;0.001) were observed in the PPOS group, the number of retrieved oocytes (3 (6–2) vs. 2 (4–1),\n                P\n                &amp;lt;0.001) and top-quality embryos (1 (2–0) vs. 1 (2–0),\n                P\n                =0.038) was greater in the PPOS group than the mild stimulation group. Meanwhile, the incidence of premature luteinizing hormone (LH) surge rate was significantly lower in the PPOS group (0.7% vs.8.3%,\n                P\n                =0.001) than the mild stimulation group. However, there was no significant difference in conservative CCPR, conservative CLBR, optimistic CCPR, and optimistic CLBR between the two groups (all\n                P\n                &amp;gt;0.05). A multivariate logistic regression model showed significant positive effects of the number of retrieved oocytes and number of top-quality embryos on conservative CCPR (OR=1.236, 95%CI: 1.048–1.456,\n                P\n                =0.012, OR=2.313, 95%CI: 1.676–3.194,\n                P\n                &amp;lt;0.001) and conservative CLBR (OR=1.250, 95%CI: 1.036–1.508,\n                P\n                =0.020, OR=2.634, 95%CI: 1.799–3.857,\n                P\n                &amp;lt;0.001) respectively, while significant negative effects of age were identified for conservative CCPR (OR=0.805, 95%CI: 0.739–0.877,\n                P\n                &amp;lt;0.001) and conservative CLBR (OR=0.797, 95%CI: 0.723–0.879,\n                P\n                &amp;lt;0.001).\n              \n            \n            \n              Conclusion\n              The PPOS protocol is an effective alternative to the mild stimulation protocol for advanced age patients with DOR, as it provides comparable reproductive outcomes and better control of premature LH surge. Further, more oocytes and top-quality embryos were obtained in the PPOS group, which had a positive association with conservative CCPR and CLBR.","container-title":"Frontiers in Endocrinology","DOI":"10.3389/fendo.2021.801026","ISSN":"1664-2392","journalAbbreviation":"Front. Endocrinol.","page":"801026","source":"DOI.org (Crossref)","title":"Progestin-Primed Ovarian Stimulation Versus Mild Stimulation Protocol in Advanced Age Women With Diminished Ovarian Reserve Undergoing Their First In Vitro Fertilization Cycle: A Retrospective Cohort Study","title-short":"Progestin-Primed Ovarian Stimulation Versus Mild Stimulation Protocol in Advanced Age Women With Diminished Ovarian Reserve Undergoing Their First In Vitro Fertilization Cycle","volume":"12","author":[{"family":"Tu","given":"Xiaoyu"},{"family":"You","given":"Bingbing"},{"family":"Jing","given":"Miaomiao"},{"family":"Lin","given":"Chenxi"},{"family":"Zhang","given":"Runju"}],"issued":{"date-parts":[["2022",1,24]]}}}],"schema":"https://github.com/citation-style-language/schema/raw/master/csl-citation.json"} </w:instrText>
      </w:r>
      <w:r w:rsidR="00312609">
        <w:rPr>
          <w:i/>
          <w:iCs/>
        </w:rPr>
        <w:fldChar w:fldCharType="separate"/>
      </w:r>
      <w:r w:rsidR="00A7413B" w:rsidRPr="00A7413B">
        <w:t>(20)</w:t>
      </w:r>
      <w:r w:rsidR="00312609">
        <w:rPr>
          <w:i/>
          <w:iCs/>
        </w:rPr>
        <w:fldChar w:fldCharType="end"/>
      </w:r>
      <w:r w:rsidR="00E85269">
        <w:t>.</w:t>
      </w:r>
      <w:r w:rsidRPr="000A0569">
        <w:rPr>
          <w:highlight w:val="yellow"/>
        </w:rPr>
        <w:t xml:space="preserve"> </w:t>
      </w:r>
    </w:p>
    <w:p w14:paraId="56492CA0" w14:textId="2519E63A" w:rsidR="002B7D66" w:rsidRDefault="002B7D66" w:rsidP="002B7D66">
      <w:r w:rsidRPr="000D386B">
        <w:t xml:space="preserve">Sabe-se que os hormônios </w:t>
      </w:r>
      <w:proofErr w:type="spellStart"/>
      <w:r w:rsidRPr="000D386B">
        <w:t>esteróides</w:t>
      </w:r>
      <w:proofErr w:type="spellEnd"/>
      <w:r w:rsidRPr="000D386B">
        <w:t xml:space="preserve"> são um dos fatores que controlam a maturação </w:t>
      </w:r>
      <w:proofErr w:type="spellStart"/>
      <w:r w:rsidRPr="000D386B">
        <w:t>oocitária</w:t>
      </w:r>
      <w:proofErr w:type="spellEnd"/>
      <w:r w:rsidRPr="000D386B">
        <w:t xml:space="preserve"> e o desenvolvimento embrionário. A progesterona está presente no flu</w:t>
      </w:r>
      <w:r>
        <w:t>í</w:t>
      </w:r>
      <w:r w:rsidRPr="000D386B">
        <w:t xml:space="preserve">do folicular e desempenha um papel crítico durante o desenvolvimento embrionário. </w:t>
      </w:r>
      <w:r w:rsidRPr="000D386B">
        <w:rPr>
          <w:i/>
          <w:iCs/>
        </w:rPr>
        <w:t>In vivo,</w:t>
      </w:r>
      <w:r w:rsidRPr="000D386B">
        <w:t xml:space="preserve"> de acordo com estágio do desenvolvimento </w:t>
      </w:r>
      <w:proofErr w:type="spellStart"/>
      <w:r>
        <w:t>oocitário</w:t>
      </w:r>
      <w:proofErr w:type="spellEnd"/>
      <w:r>
        <w:t>,</w:t>
      </w:r>
      <w:r w:rsidRPr="000D386B">
        <w:t xml:space="preserve"> ocorre uma mudança nas concentrações dos hormônios </w:t>
      </w:r>
      <w:proofErr w:type="spellStart"/>
      <w:r w:rsidRPr="000D386B">
        <w:t>esteróides</w:t>
      </w:r>
      <w:proofErr w:type="spellEnd"/>
      <w:r w:rsidRPr="000D386B">
        <w:t xml:space="preserve"> no conteúdo do líquido folicular. Portanto, a razão da progesterona e do estradiol está relacionado com o estágio de maturação dos </w:t>
      </w:r>
      <w:proofErr w:type="spellStart"/>
      <w:r w:rsidRPr="000D386B">
        <w:t>oócitos</w:t>
      </w:r>
      <w:proofErr w:type="spellEnd"/>
      <w:r w:rsidR="00E86BBC">
        <w:fldChar w:fldCharType="begin"/>
      </w:r>
      <w:r w:rsidR="00A7413B">
        <w:instrText xml:space="preserve"> ADDIN ZOTERO_ITEM CSL_CITATION {"citationID":"2T7WDRo4","properties":{"formattedCitation":"(21)","plainCitation":"(21)","noteIndex":0},"citationItems":[{"id":3056,"uris":["http://zotero.org/users/10339151/items/N383U3ZD"],"itemData":{"id":3056,"type":"article-journal","container-title":"The Journal of Clinical Endocrinology &amp; Metabolism","issue":"5","note":"publisher: Oxford University Press","page":"1375–1381","source":"Google Scholar","title":"Levels of steroid-binding proteins and steroids in human preovulatory follicle fluid and serum as predictors of success in in vitro fertilization-embryo transfer treatment","volume":"71","author":[{"family":"Andersen","given":"C. Yding"}],"issued":{"date-parts":[["1990"]]}}}],"schema":"https://github.com/citation-style-language/schema/raw/master/csl-citation.json"} </w:instrText>
      </w:r>
      <w:r w:rsidR="00E86BBC">
        <w:fldChar w:fldCharType="separate"/>
      </w:r>
      <w:r w:rsidR="00A7413B" w:rsidRPr="00A7413B">
        <w:t>(21)</w:t>
      </w:r>
      <w:r w:rsidR="00E86BBC">
        <w:fldChar w:fldCharType="end"/>
      </w:r>
      <w:r w:rsidRPr="000D386B">
        <w:t xml:space="preserve">. A progesterona é o principal hormônio </w:t>
      </w:r>
      <w:proofErr w:type="spellStart"/>
      <w:r w:rsidRPr="000D386B">
        <w:t>esteróide</w:t>
      </w:r>
      <w:proofErr w:type="spellEnd"/>
      <w:r w:rsidRPr="000D386B">
        <w:t xml:space="preserve"> encontrado dentro do líquido folicular dos folículos </w:t>
      </w:r>
      <w:proofErr w:type="spellStart"/>
      <w:r w:rsidRPr="00E86BBC">
        <w:t>pré-ovul</w:t>
      </w:r>
      <w:r w:rsidR="00E86BBC" w:rsidRPr="00E86BBC">
        <w:t>a</w:t>
      </w:r>
      <w:r w:rsidRPr="00E86BBC">
        <w:t>tórios</w:t>
      </w:r>
      <w:proofErr w:type="spellEnd"/>
      <w:r w:rsidR="00E86BBC">
        <w:fldChar w:fldCharType="begin"/>
      </w:r>
      <w:r w:rsidR="00A7413B">
        <w:instrText xml:space="preserve"> ADDIN ZOTERO_ITEM CSL_CITATION {"citationID":"FIINVVuk","properties":{"formattedCitation":"(22)","plainCitation":"(22)","noteIndex":0},"citationItems":[{"id":3061,"uris":["http://zotero.org/users/10339151/items/XX3TTBYU"],"itemData":{"id":3061,"type":"article-journal","container-title":"International journal of fertility &amp; sterility","issue":"2","note":"publisher: Royan Institute","page":"74","source":"Google Scholar","title":"The effects of progesterone on oocyte maturation and embryo development","volume":"7","author":[{"family":"Salehnia","given":"Mojdeh"},{"family":"Zavareh","given":"Saeed"}],"issued":{"date-parts":[["2013"]]}}}],"schema":"https://github.com/citation-style-language/schema/raw/master/csl-citation.json"} </w:instrText>
      </w:r>
      <w:r w:rsidR="00E86BBC">
        <w:fldChar w:fldCharType="separate"/>
      </w:r>
      <w:r w:rsidR="00A7413B" w:rsidRPr="00A7413B">
        <w:t>(22)</w:t>
      </w:r>
      <w:r w:rsidR="00E86BBC">
        <w:fldChar w:fldCharType="end"/>
      </w:r>
      <w:r w:rsidRPr="000D386B">
        <w:t xml:space="preserve">. Receptores de membrana para progesterona estão expressos nas células da granulosa na fase </w:t>
      </w:r>
      <w:proofErr w:type="spellStart"/>
      <w:r w:rsidRPr="000D386B">
        <w:t>pré</w:t>
      </w:r>
      <w:r>
        <w:t>-</w:t>
      </w:r>
      <w:r w:rsidRPr="000D386B">
        <w:t>ovulatória</w:t>
      </w:r>
      <w:proofErr w:type="spellEnd"/>
      <w:r w:rsidR="00E86BBC">
        <w:fldChar w:fldCharType="begin"/>
      </w:r>
      <w:r w:rsidR="00A7413B">
        <w:instrText xml:space="preserve"> ADDIN ZOTERO_ITEM CSL_CITATION {"citationID":"oOlj5Cz2","properties":{"formattedCitation":"(23,24)","plainCitation":"(23,24)","noteIndex":0},"citationItems":[{"id":3065,"uris":["http://zotero.org/users/10339151/items/C9NDVISD"],"itemData":{"id":3065,"type":"article-journal","container-title":"Steroids","issue":"1-2","note":"publisher: Elsevier","page":"11–17","source":"Google Scholar","title":"Membrane progesterone receptor expression in mammalian tissues: a review of regulation and physiological implications","title-short":"Membrane progesterone receptor expression in mammalian tissues","volume":"76","author":[{"family":"Dressing","given":"Gwen E."},{"family":"Goldberg","given":"Jodi E."},{"family":"Charles","given":"Nathan J."},{"family":"Schwertfeger","given":"Kathryn L."},{"family":"Lange","given":"Carol A."}],"issued":{"date-parts":[["2011"]]}},"label":"page"},{"id":3063,"uris":["http://zotero.org/users/10339151/items/4WVDEKYP"],"itemData":{"id":3063,"type":"article-journal","container-title":"Polish journal of veterinary sciences","note":"publisher: Polish Academy of Sciences Committee of Veterinary Sciences","source":"Google Scholar","title":"Nuclear progesterone receptor isoforms and their functions in the female reproductive tract","URL":"https://journals.pan.pl/dlibra/show-content?id=98917","author":[{"family":"Rękawiecki","given":"R."},{"family":"Kowalik","given":"M."},{"family":"Kotwica","given":"J."}],"accessed":{"date-parts":[["2023",11,27]]},"issued":{"date-parts":[["2011"]]}},"label":"page"}],"schema":"https://github.com/citation-style-language/schema/raw/master/csl-citation.json"} </w:instrText>
      </w:r>
      <w:r w:rsidR="00E86BBC">
        <w:fldChar w:fldCharType="separate"/>
      </w:r>
      <w:r w:rsidR="00A7413B" w:rsidRPr="00A7413B">
        <w:t>(23,24)</w:t>
      </w:r>
      <w:r w:rsidR="00E86BBC">
        <w:fldChar w:fldCharType="end"/>
      </w:r>
      <w:r w:rsidR="00E85269">
        <w:t xml:space="preserve">. </w:t>
      </w:r>
      <w:r>
        <w:t xml:space="preserve">No entanto, não existem dados consistentes avaliando se a progesterona utilizada no PPOS terá algum efeito sobre o </w:t>
      </w:r>
      <w:proofErr w:type="spellStart"/>
      <w:r>
        <w:t>oócito</w:t>
      </w:r>
      <w:proofErr w:type="spellEnd"/>
      <w:r>
        <w:t xml:space="preserve"> e, consequentemente desenvolvimento embrionário.</w:t>
      </w:r>
    </w:p>
    <w:p w14:paraId="5041C972" w14:textId="77777777" w:rsidR="002B7D66" w:rsidRDefault="002B7D66" w:rsidP="002B7D66">
      <w:r>
        <w:t xml:space="preserve">Já é consolidado na literatura que as taxas de sucesso das técnicas de reprodução assistida são dependentes de inúmeros fatores, dentre eles, destaca-se a importância na qualidade dos </w:t>
      </w:r>
      <w:r>
        <w:lastRenderedPageBreak/>
        <w:t xml:space="preserve">embriões transferidos. A análise da qualidade de embriões em blastocisto, através de um sistema de classificação específico é utilizado para identificar os embriões com maior viabilidade para transferência e assim reduzir o número de embriões transferidos sem comprometer as taxas de gestação. A qualidade embrionária é primeiramente determinada através da qualidade morfológica do blastocisto. </w:t>
      </w:r>
    </w:p>
    <w:p w14:paraId="06D9F3A8" w14:textId="14E914CF" w:rsidR="002B7D66" w:rsidRPr="00A7413B" w:rsidRDefault="002B7D66" w:rsidP="002B7D66">
      <w:r>
        <w:t>A avaliação morfológica é técnica clássica de avaliação embrionária sendo vastamente utilizada para predizer taxas de aneuploidia, implantação, gestação e nascidos vivos, sendo considerado preditor de sucesso em ciclos de FIV</w:t>
      </w:r>
      <w:r w:rsidR="00E86BBC">
        <w:fldChar w:fldCharType="begin"/>
      </w:r>
      <w:r w:rsidR="00A7413B">
        <w:instrText xml:space="preserve"> ADDIN ZOTERO_ITEM CSL_CITATION {"citationID":"BjmqAXqc","properties":{"formattedCitation":"(25,26)","plainCitation":"(25,26)","noteIndex":0},"citationItems":[{"id":3068,"uris":["http://zotero.org/users/10339151/items/TQASDBH3"],"itemData":{"id":3068,"type":"article-journal","container-title":"Towards reproductive certainty: fertility and genetics beyond 1999","note":"publisher: Parthenon Press","page":"378–388","source":"Google Scholar","title":"In-vitro culture of human blastocysts","author":[{"family":"Gardner","given":"David K."}],"issued":{"date-parts":[["1999"]]}},"label":"page"},{"id":3067,"uris":["http://zotero.org/users/10339151/items/3VKHHRGE"],"itemData":{"id":3067,"type":"article-journal","container-title":"Fertility and Sterility","DOI":"10.1016/S0015-0282(00)00518-5","ISSN":"00150282","issue":"6","journalAbbreviation":"Fertility and Sterility","language":"en","page":"1155-1158","source":"DOI.org (Crossref)","title":"Blastocyst score affects implantation and pregnancy outcome: towards a single blastocyst transfer","title-short":"Blastocyst score affects implantation and pregnancy outcome","volume":"73","author":[{"family":"Gardner","given":"David K"},{"family":"Lane","given":"Michelle"},{"family":"Stevens","given":"John"},{"family":"Schlenker","given":"Terry"},{"family":"Schoolcraft","given":"William B"}],"issued":{"date-parts":[["2000",6]]}},"label":"page"}],"schema":"https://github.com/citation-style-language/schema/raw/master/csl-citation.json"} </w:instrText>
      </w:r>
      <w:r w:rsidR="00E86BBC">
        <w:fldChar w:fldCharType="separate"/>
      </w:r>
      <w:r w:rsidR="00A7413B" w:rsidRPr="00A7413B">
        <w:t>(25,26)</w:t>
      </w:r>
      <w:r w:rsidR="00E86BBC">
        <w:fldChar w:fldCharType="end"/>
      </w:r>
      <w:r w:rsidR="00E85269">
        <w:t>.</w:t>
      </w:r>
      <w:r>
        <w:t xml:space="preserve">  Nos últimos anos, diversos sistemas de classificação morfológica foram testados. O sistema de classificação morfológica mais aceito e utilizado entre laboratório de FIV tem base na classificação de Gardner e </w:t>
      </w:r>
      <w:proofErr w:type="spellStart"/>
      <w:r>
        <w:t>Schoolcraft</w:t>
      </w:r>
      <w:proofErr w:type="spellEnd"/>
      <w:r>
        <w:t xml:space="preserve">, 1999, que foi desenvolvida levando em consideração um sistema de </w:t>
      </w:r>
      <w:r w:rsidRPr="00AA68AB">
        <w:rPr>
          <w:i/>
          <w:iCs/>
        </w:rPr>
        <w:t>score</w:t>
      </w:r>
      <w:r>
        <w:t xml:space="preserve"> em 3 vias, na qualidade da massa celular interna (MCI) e na qualidade do </w:t>
      </w:r>
      <w:proofErr w:type="spellStart"/>
      <w:r>
        <w:t>trofectoderma</w:t>
      </w:r>
      <w:proofErr w:type="spellEnd"/>
      <w:r>
        <w:t xml:space="preserve"> (TE). </w:t>
      </w:r>
      <w:r w:rsidRPr="000D6167">
        <w:t>Para cada estrutura em desenvolvimento</w:t>
      </w:r>
      <w:r>
        <w:t>,</w:t>
      </w:r>
      <w:r w:rsidRPr="000D6167">
        <w:t xml:space="preserve"> é dado uma nota de A-C considerando a qualidade morfológica do </w:t>
      </w:r>
      <w:r>
        <w:t>MCI</w:t>
      </w:r>
      <w:r w:rsidRPr="000D6167">
        <w:t xml:space="preserve"> e TE.  </w:t>
      </w:r>
      <w:r>
        <w:t>No sistema e em suas variações, os blastocistos são classificados em 3 grupos: Alta qualidade (3AA, 4AA, 5AA), boa qualidade (3/4/5 AB, BA e BB) e baixa qualidade ( 3/4/5 AC, CA, BC, CB e CC)</w:t>
      </w:r>
      <w:r w:rsidR="00E86BBC">
        <w:fldChar w:fldCharType="begin"/>
      </w:r>
      <w:r w:rsidR="00A7413B">
        <w:instrText xml:space="preserve"> ADDIN ZOTERO_ITEM CSL_CITATION {"citationID":"5XoKjyHZ","properties":{"formattedCitation":"(27)","plainCitation":"(27)","noteIndex":0},"citationItems":[{"id":3069,"uris":["http://zotero.org/users/10339151/items/CZJPU37G"],"itemData":{"id":3069,"type":"article-journal","container-title":"Human Reproduction","DOI":"10.1093/humrep/der037","ISSN":"0268-1161, 1460-2350","issue":"6","journalAbbreviation":"Human Reproduction","language":"en","page":"1270-1283","source":"DOI.org (Crossref)","title":"The Istanbul consensus workshop on embryo assessment: proceedings of an expert meeting","title-short":"The Istanbul consensus workshop on embryo assessment","volume":"26","author":[{"literal":"Alpha Scientists in Reproductive Medicine and ESHRE Special Interest Group of Embryology"},{"family":"Balaban","given":"B."},{"family":"Brison","given":"D."},{"family":"Calderon","given":"G."},{"family":"Catt","given":"J."},{"family":"Conaghan","given":"J."},{"family":"Cowan","given":"L."},{"family":"Ebner","given":"T."},{"family":"Gardner","given":"D."},{"family":"Hardarson","given":"T."},{"family":"Lundin","given":"K."},{"family":"Cristina Magli","given":"M."},{"family":"Mortimer","given":"D."},{"family":"Mortimer","given":"S."},{"family":"Munne","given":"S."},{"family":"Royere","given":"D."},{"family":"Scott","given":"L."},{"family":"Smitz","given":"J."},{"family":"Thornhill","given":"A."},{"family":"Van Blerkom","given":"J."},{"family":"Van Den Abbeel","given":"E."}],"issued":{"date-parts":[["2011",6,1]]}}}],"schema":"https://github.com/citation-style-language/schema/raw/master/csl-citation.json"} </w:instrText>
      </w:r>
      <w:r w:rsidR="00E86BBC">
        <w:fldChar w:fldCharType="separate"/>
      </w:r>
      <w:r w:rsidR="00A7413B" w:rsidRPr="00A7413B">
        <w:t>(27)</w:t>
      </w:r>
      <w:r w:rsidR="00E86BBC">
        <w:fldChar w:fldCharType="end"/>
      </w:r>
      <w:r w:rsidRPr="00A7413B">
        <w:t xml:space="preserve">. </w:t>
      </w:r>
    </w:p>
    <w:p w14:paraId="1567DC78" w14:textId="72653451" w:rsidR="000C7353" w:rsidRDefault="002B7D66" w:rsidP="002B7D66">
      <w:r>
        <w:t>Entretanto a qualidade embrionária é altamente dependente da qualidade dos gametas e o protocolo de estimulação pode desempenhar um papel neste quesito. Sendo assim, é fundamental saber se os medicamentos escolhidos na EOC para FIV irão comprometer a qualidade embrionária.</w:t>
      </w:r>
      <w:r w:rsidR="00026A98">
        <w:tab/>
      </w:r>
      <w:r w:rsidR="00026A98">
        <w:tab/>
      </w:r>
      <w:r w:rsidR="00026A98">
        <w:br w:type="page"/>
      </w:r>
    </w:p>
    <w:p w14:paraId="74F33125" w14:textId="14B2555E" w:rsidR="0097631F" w:rsidRDefault="0097631F" w:rsidP="000E5AF0">
      <w:pPr>
        <w:pStyle w:val="Ttulo1"/>
      </w:pPr>
      <w:bookmarkStart w:id="1" w:name="_Toc152013924"/>
      <w:r>
        <w:lastRenderedPageBreak/>
        <w:t>OBJETIVOS</w:t>
      </w:r>
      <w:bookmarkEnd w:id="1"/>
    </w:p>
    <w:p w14:paraId="1881C6A6" w14:textId="77777777" w:rsidR="0097631F" w:rsidRPr="0097631F" w:rsidRDefault="0097631F" w:rsidP="0097631F"/>
    <w:p w14:paraId="3890B914" w14:textId="77777777" w:rsidR="0097631F" w:rsidRDefault="0097631F" w:rsidP="00E85269">
      <w:pPr>
        <w:pStyle w:val="Ttulo1"/>
        <w:numPr>
          <w:ilvl w:val="1"/>
          <w:numId w:val="5"/>
        </w:numPr>
        <w:rPr>
          <w:rFonts w:asciiTheme="minorHAnsi" w:eastAsiaTheme="minorHAnsi" w:hAnsiTheme="minorHAnsi" w:cstheme="minorBidi"/>
          <w:color w:val="auto"/>
        </w:rPr>
      </w:pPr>
      <w:bookmarkStart w:id="2" w:name="_Toc152013925"/>
      <w:r>
        <w:t>Objetivo geral</w:t>
      </w:r>
      <w:bookmarkEnd w:id="2"/>
    </w:p>
    <w:p w14:paraId="2318F4C8" w14:textId="74DF0124" w:rsidR="0097631F" w:rsidRDefault="00F954EC" w:rsidP="0097631F">
      <w:r>
        <w:t>C</w:t>
      </w:r>
      <w:r w:rsidR="0097631F">
        <w:t xml:space="preserve">omparar os desfechos reprodutivos obtidos em tratamento de FIV com protocolo PPOS com </w:t>
      </w:r>
      <w:proofErr w:type="spellStart"/>
      <w:r w:rsidR="0097631F">
        <w:t>didrogesterona</w:t>
      </w:r>
      <w:proofErr w:type="spellEnd"/>
      <w:r w:rsidR="0097631F">
        <w:t xml:space="preserve"> e em tratamento de FIV com protocolo com antagonista do </w:t>
      </w:r>
      <w:proofErr w:type="spellStart"/>
      <w:r w:rsidR="0097631F">
        <w:t>GnRH</w:t>
      </w:r>
      <w:proofErr w:type="spellEnd"/>
      <w:r w:rsidR="0097631F">
        <w:t xml:space="preserve">. </w:t>
      </w:r>
    </w:p>
    <w:p w14:paraId="0F735F32" w14:textId="77777777" w:rsidR="0097631F" w:rsidRDefault="0097631F" w:rsidP="0097631F"/>
    <w:p w14:paraId="5817C007" w14:textId="77777777" w:rsidR="0097631F" w:rsidRPr="0097631F" w:rsidRDefault="0097631F" w:rsidP="00E85269">
      <w:pPr>
        <w:pStyle w:val="Ttulo1"/>
        <w:numPr>
          <w:ilvl w:val="1"/>
          <w:numId w:val="5"/>
        </w:numPr>
      </w:pPr>
      <w:bookmarkStart w:id="3" w:name="_Toc152013926"/>
      <w:r w:rsidRPr="0097631F">
        <w:t>Objetivos específicos</w:t>
      </w:r>
      <w:bookmarkEnd w:id="3"/>
    </w:p>
    <w:p w14:paraId="222EB598" w14:textId="77777777" w:rsidR="0097631F" w:rsidRDefault="0097631F" w:rsidP="0097631F"/>
    <w:p w14:paraId="74F95504" w14:textId="77777777" w:rsidR="0097631F" w:rsidRDefault="0097631F" w:rsidP="0097631F">
      <w:r>
        <w:t xml:space="preserve">Avaliar as possíveis diferenças entre os desfechos clínicos de duração do ciclo de EOC, dose de gonadotrofina e número de folículos puncionados entre pacientes em tratamento de FIV que utilizaram protocolo PPOS com </w:t>
      </w:r>
      <w:proofErr w:type="spellStart"/>
      <w:r>
        <w:t>didrogesterona</w:t>
      </w:r>
      <w:proofErr w:type="spellEnd"/>
      <w:r>
        <w:t xml:space="preserve"> e pacientes que utilizaram protocolo com o uso do antagonista do </w:t>
      </w:r>
      <w:proofErr w:type="spellStart"/>
      <w:r>
        <w:t>GnRH</w:t>
      </w:r>
      <w:proofErr w:type="spellEnd"/>
      <w:r>
        <w:t>.</w:t>
      </w:r>
    </w:p>
    <w:p w14:paraId="1C3F81A0" w14:textId="77777777" w:rsidR="0097631F" w:rsidRDefault="0097631F" w:rsidP="0097631F"/>
    <w:p w14:paraId="4B5CA4AD" w14:textId="77777777" w:rsidR="0097631F" w:rsidRDefault="0097631F" w:rsidP="0097631F">
      <w:r>
        <w:t xml:space="preserve">Avaliar as possíveis diferenças entre número de </w:t>
      </w:r>
      <w:proofErr w:type="spellStart"/>
      <w:r>
        <w:t>oócitos</w:t>
      </w:r>
      <w:proofErr w:type="spellEnd"/>
      <w:r>
        <w:t xml:space="preserve"> coletados, </w:t>
      </w:r>
      <w:proofErr w:type="spellStart"/>
      <w:r>
        <w:t>oócitos</w:t>
      </w:r>
      <w:proofErr w:type="spellEnd"/>
      <w:r>
        <w:t xml:space="preserve"> com vesícula germinativa (VG), </w:t>
      </w:r>
      <w:proofErr w:type="spellStart"/>
      <w:r>
        <w:t>oócitos</w:t>
      </w:r>
      <w:proofErr w:type="spellEnd"/>
      <w:r>
        <w:t xml:space="preserve"> em metáfase I (M1), </w:t>
      </w:r>
      <w:proofErr w:type="spellStart"/>
      <w:r>
        <w:t>oócitos</w:t>
      </w:r>
      <w:proofErr w:type="spellEnd"/>
      <w:r>
        <w:t xml:space="preserve"> em metáfase II (M2), taxa de fertilização, taxa de blastocisto, número de embriões </w:t>
      </w:r>
      <w:r>
        <w:rPr>
          <w:i/>
          <w:iCs/>
        </w:rPr>
        <w:t xml:space="preserve">top </w:t>
      </w:r>
      <w:proofErr w:type="spellStart"/>
      <w:r>
        <w:rPr>
          <w:i/>
          <w:iCs/>
        </w:rPr>
        <w:t>quality</w:t>
      </w:r>
      <w:proofErr w:type="spellEnd"/>
      <w:r>
        <w:t xml:space="preserve">, número de embriões blastocistos no quinto dia de desenvolvimento embrionário (D5), sexto dia (D6) e sétimo dia (D7) entre pacientes em tratamento de fertilização in vitro que utilizaram protocolo de estimulação ovariana controlada com PPOS e pacientes que utilizaram protocolo com o uso do antagonista do </w:t>
      </w:r>
      <w:proofErr w:type="spellStart"/>
      <w:r>
        <w:t>GnRH</w:t>
      </w:r>
      <w:proofErr w:type="spellEnd"/>
      <w:r>
        <w:t>.</w:t>
      </w:r>
    </w:p>
    <w:p w14:paraId="080CEDC8" w14:textId="00A3AABC" w:rsidR="00242393" w:rsidRPr="0097631F" w:rsidRDefault="00242393" w:rsidP="00242393">
      <w:pPr>
        <w:ind w:left="0" w:firstLine="0"/>
      </w:pPr>
    </w:p>
    <w:p w14:paraId="2EC59680" w14:textId="5F9868A3" w:rsidR="000C7353" w:rsidRDefault="00057112" w:rsidP="000E5AF0">
      <w:pPr>
        <w:pStyle w:val="Ttulo1"/>
      </w:pPr>
      <w:bookmarkStart w:id="4" w:name="_Toc152013927"/>
      <w:r>
        <w:t>MATERIAIS E MÉTODOS</w:t>
      </w:r>
      <w:bookmarkEnd w:id="4"/>
    </w:p>
    <w:p w14:paraId="7AE93CCB" w14:textId="4CB2AB64" w:rsidR="009217B4" w:rsidRDefault="009217B4" w:rsidP="00C81291"/>
    <w:p w14:paraId="54277814" w14:textId="77777777" w:rsidR="00E3483A" w:rsidRPr="00E3483A" w:rsidRDefault="00E3483A" w:rsidP="00E85269">
      <w:pPr>
        <w:pStyle w:val="Ttulo1"/>
        <w:numPr>
          <w:ilvl w:val="1"/>
          <w:numId w:val="5"/>
        </w:numPr>
        <w:rPr>
          <w:b w:val="0"/>
          <w:bCs/>
        </w:rPr>
      </w:pPr>
      <w:bookmarkStart w:id="5" w:name="_Toc152013928"/>
      <w:bookmarkStart w:id="6" w:name="_Hlk148795301"/>
      <w:r>
        <w:t>Desenho do estudo</w:t>
      </w:r>
      <w:bookmarkEnd w:id="5"/>
    </w:p>
    <w:p w14:paraId="07C6542F" w14:textId="10DF068E" w:rsidR="00E3483A" w:rsidRDefault="00E3483A" w:rsidP="00E3483A">
      <w:r>
        <w:t xml:space="preserve">Esse é um estudo de caso-controle apresentado de acordo com as normas da </w:t>
      </w:r>
      <w:r w:rsidR="00106987" w:rsidRPr="00106987">
        <w:t>(</w:t>
      </w:r>
      <w:proofErr w:type="spellStart"/>
      <w:r w:rsidR="00106987" w:rsidRPr="00106987">
        <w:t>STrengthening</w:t>
      </w:r>
      <w:proofErr w:type="spellEnd"/>
      <w:r w:rsidR="00106987" w:rsidRPr="00106987">
        <w:t xml:space="preserve"> </w:t>
      </w:r>
      <w:proofErr w:type="spellStart"/>
      <w:r w:rsidR="00106987" w:rsidRPr="00106987">
        <w:t>the</w:t>
      </w:r>
      <w:proofErr w:type="spellEnd"/>
      <w:r w:rsidR="00106987" w:rsidRPr="00106987">
        <w:t xml:space="preserve"> </w:t>
      </w:r>
      <w:proofErr w:type="spellStart"/>
      <w:r w:rsidR="00106987" w:rsidRPr="00106987">
        <w:t>Reporting</w:t>
      </w:r>
      <w:proofErr w:type="spellEnd"/>
      <w:r w:rsidR="00106987" w:rsidRPr="00106987">
        <w:t xml:space="preserve"> </w:t>
      </w:r>
      <w:proofErr w:type="spellStart"/>
      <w:r w:rsidR="00106987" w:rsidRPr="00106987">
        <w:t>of</w:t>
      </w:r>
      <w:proofErr w:type="spellEnd"/>
      <w:r w:rsidR="00106987" w:rsidRPr="00106987">
        <w:t xml:space="preserve"> </w:t>
      </w:r>
      <w:proofErr w:type="spellStart"/>
      <w:r w:rsidR="00106987" w:rsidRPr="00106987">
        <w:t>OBservational</w:t>
      </w:r>
      <w:proofErr w:type="spellEnd"/>
      <w:r w:rsidR="00106987" w:rsidRPr="00106987">
        <w:t xml:space="preserve"> </w:t>
      </w:r>
      <w:proofErr w:type="spellStart"/>
      <w:r w:rsidR="00106987" w:rsidRPr="00106987">
        <w:t>Studies</w:t>
      </w:r>
      <w:proofErr w:type="spellEnd"/>
      <w:r w:rsidR="00106987" w:rsidRPr="00106987">
        <w:t xml:space="preserve"> in </w:t>
      </w:r>
      <w:proofErr w:type="spellStart"/>
      <w:r w:rsidR="00106987" w:rsidRPr="00106987">
        <w:t>Epidemiology</w:t>
      </w:r>
      <w:proofErr w:type="spellEnd"/>
      <w:r w:rsidR="00106987" w:rsidRPr="00106987">
        <w:t>)</w:t>
      </w:r>
      <w:r w:rsidR="00106987">
        <w:t xml:space="preserve"> </w:t>
      </w:r>
      <w:r>
        <w:t>STROBE</w:t>
      </w:r>
      <w:r w:rsidR="00106987">
        <w:fldChar w:fldCharType="begin"/>
      </w:r>
      <w:r w:rsidR="00106987">
        <w:instrText xml:space="preserve"> ADDIN ZOTERO_ITEM CSL_CITATION {"citationID":"4NbIWxmK","properties":{"formattedCitation":"(28)","plainCitation":"(28)","noteIndex":0},"citationItems":[{"id":3103,"uris":["http://zotero.org/users/10339151/items/SQIQQGDZ"],"itemData":{"id":3103,"type":"article-journal","container-title":"Saudi journal of anaesthesia","issue":"Suppl 1","note":"publisher: Wolters Kluwer–Medknow Publications","page":"S31","source":"Google Scholar","title":"The STROBE guidelines","volume":"13","author":[{"family":"Cuschieri","given":"Sarah"}],"issued":{"date-parts":[["2019"]]}}}],"schema":"https://github.com/citation-style-language/schema/raw/master/csl-citation.json"} </w:instrText>
      </w:r>
      <w:r w:rsidR="00106987">
        <w:fldChar w:fldCharType="separate"/>
      </w:r>
      <w:r w:rsidR="00106987" w:rsidRPr="00106987">
        <w:t>(28)</w:t>
      </w:r>
      <w:r w:rsidR="00106987">
        <w:fldChar w:fldCharType="end"/>
      </w:r>
      <w:r w:rsidR="00106987">
        <w:t xml:space="preserve"> que apresenta um checklist (ANEXO 1) com os itens essenciais para melhor apresentação de estudos observacionais</w:t>
      </w:r>
      <w:r>
        <w:t>.</w:t>
      </w:r>
    </w:p>
    <w:p w14:paraId="570B2A42" w14:textId="62611A6A" w:rsidR="00106987" w:rsidRDefault="00106987" w:rsidP="00E3483A"/>
    <w:p w14:paraId="4203BAAA" w14:textId="781F367D" w:rsidR="00106987" w:rsidRDefault="005C7F4C" w:rsidP="00106987">
      <w:pPr>
        <w:pStyle w:val="Ttulo1"/>
        <w:numPr>
          <w:ilvl w:val="1"/>
          <w:numId w:val="5"/>
        </w:numPr>
      </w:pPr>
      <w:bookmarkStart w:id="7" w:name="_Toc152013929"/>
      <w:r>
        <w:t>Contexto</w:t>
      </w:r>
      <w:bookmarkEnd w:id="7"/>
    </w:p>
    <w:p w14:paraId="52A28730" w14:textId="77777777" w:rsidR="00106987" w:rsidRPr="00106987" w:rsidRDefault="00106987" w:rsidP="00106987"/>
    <w:p w14:paraId="0F5BCD67" w14:textId="77777777" w:rsidR="003A6822" w:rsidRDefault="003A6822" w:rsidP="003A6822">
      <w:r w:rsidRPr="00AC2DCD">
        <w:t xml:space="preserve">Foi realizado um estudo </w:t>
      </w:r>
      <w:r>
        <w:t xml:space="preserve">de caso-controle através de levantamento de prontuários de pacientes atendidas na Clínica Nilo Frantz de Medicina Reprodutiva, localizada em São Paulo, Brasil, de janeiro de 2022 a agosto de 2023, submetidas ao tratamento de estimulação ovariana controlada para fertilização in vitro (FIV) com injeção intracitoplasmática do </w:t>
      </w:r>
      <w:proofErr w:type="spellStart"/>
      <w:r>
        <w:t>espermatozóide</w:t>
      </w:r>
      <w:proofErr w:type="spellEnd"/>
      <w:r>
        <w:t xml:space="preserve"> (ICSI). </w:t>
      </w:r>
    </w:p>
    <w:p w14:paraId="423F38B0" w14:textId="77777777" w:rsidR="00106987" w:rsidRDefault="00106987" w:rsidP="00E3483A"/>
    <w:p w14:paraId="03EF2BF8" w14:textId="236A5EA3" w:rsidR="00106987" w:rsidRDefault="00106987" w:rsidP="00106987">
      <w:pPr>
        <w:pStyle w:val="Ttulo1"/>
        <w:numPr>
          <w:ilvl w:val="1"/>
          <w:numId w:val="5"/>
        </w:numPr>
      </w:pPr>
      <w:bookmarkStart w:id="8" w:name="_Toc152013930"/>
      <w:r>
        <w:lastRenderedPageBreak/>
        <w:t>Participantes</w:t>
      </w:r>
      <w:bookmarkEnd w:id="8"/>
    </w:p>
    <w:p w14:paraId="06F97FC9" w14:textId="77777777" w:rsidR="003A6822" w:rsidRDefault="003A6822" w:rsidP="003A6822">
      <w:r>
        <w:t xml:space="preserve">O grupo de casos estudados, denominado Grupo </w:t>
      </w:r>
      <w:proofErr w:type="spellStart"/>
      <w:r>
        <w:t>Didrogesterona</w:t>
      </w:r>
      <w:proofErr w:type="spellEnd"/>
      <w:r>
        <w:t xml:space="preserve"> utilizou Gonadotrofina menopáusica humana (</w:t>
      </w:r>
      <w:proofErr w:type="spellStart"/>
      <w:r w:rsidRPr="00AA6E48">
        <w:t>menotropina</w:t>
      </w:r>
      <w:proofErr w:type="spellEnd"/>
      <w:r>
        <w:t>,</w:t>
      </w:r>
      <w:r w:rsidRPr="00DA719F">
        <w:t xml:space="preserve"> </w:t>
      </w:r>
      <w:proofErr w:type="spellStart"/>
      <w:r w:rsidRPr="00FD5ADA">
        <w:rPr>
          <w:i/>
          <w:iCs/>
        </w:rPr>
        <w:t>Ferring</w:t>
      </w:r>
      <w:proofErr w:type="spellEnd"/>
      <w:r w:rsidRPr="00FD5ADA">
        <w:rPr>
          <w:i/>
          <w:iCs/>
        </w:rPr>
        <w:t xml:space="preserve"> </w:t>
      </w:r>
      <w:proofErr w:type="spellStart"/>
      <w:r w:rsidRPr="00FD5ADA">
        <w:rPr>
          <w:i/>
          <w:iCs/>
        </w:rPr>
        <w:t>Pharmaceuticals</w:t>
      </w:r>
      <w:proofErr w:type="spellEnd"/>
      <w:r>
        <w:t>) e/ou Hormônio Folículo estimulante recombinante (</w:t>
      </w:r>
      <w:proofErr w:type="spellStart"/>
      <w:r w:rsidRPr="00AA6E48">
        <w:t>alfafolitropina</w:t>
      </w:r>
      <w:proofErr w:type="spellEnd"/>
      <w:r>
        <w:t xml:space="preserve">, </w:t>
      </w:r>
      <w:r w:rsidRPr="00F01222">
        <w:rPr>
          <w:i/>
          <w:iCs/>
        </w:rPr>
        <w:t>Merck</w:t>
      </w:r>
      <w:r>
        <w:t>) e supressão hipofisária com progesterona (</w:t>
      </w:r>
      <w:proofErr w:type="spellStart"/>
      <w:r>
        <w:t>didrogesterona</w:t>
      </w:r>
      <w:proofErr w:type="spellEnd"/>
      <w:r>
        <w:t xml:space="preserve">; 20 a 30mg/dia; </w:t>
      </w:r>
      <w:r w:rsidRPr="00F01222">
        <w:rPr>
          <w:i/>
          <w:iCs/>
        </w:rPr>
        <w:t>Abbott</w:t>
      </w:r>
      <w:r>
        <w:t>). Ambos iniciados no segundo ou terceiro dia do ciclo. O monitoramento folicular foi feito através de controle ecográfico no primeiro dia de estimulação, quinto dia e depois, a cada 2 dias até a</w:t>
      </w:r>
      <w:r w:rsidRPr="00AA6E48">
        <w:t xml:space="preserve"> </w:t>
      </w:r>
      <w:r>
        <w:t xml:space="preserve">maturação </w:t>
      </w:r>
      <w:proofErr w:type="spellStart"/>
      <w:r>
        <w:t>oocitária</w:t>
      </w:r>
      <w:proofErr w:type="spellEnd"/>
      <w:r>
        <w:t xml:space="preserve"> final, que ocorreu quando havia 2 ou mais folículos acima de 18mm de diâmetro médio. A maturação </w:t>
      </w:r>
      <w:proofErr w:type="spellStart"/>
      <w:r>
        <w:t>oocitária</w:t>
      </w:r>
      <w:proofErr w:type="spellEnd"/>
      <w:r>
        <w:t xml:space="preserve"> final procedeu-se através de </w:t>
      </w:r>
      <w:r w:rsidRPr="00FD5ADA">
        <w:rPr>
          <w:i/>
          <w:iCs/>
        </w:rPr>
        <w:t>trigger</w:t>
      </w:r>
      <w:r>
        <w:t xml:space="preserve"> com agonista de </w:t>
      </w:r>
      <w:proofErr w:type="spellStart"/>
      <w:r>
        <w:t>GnRH</w:t>
      </w:r>
      <w:proofErr w:type="spellEnd"/>
      <w:r>
        <w:t xml:space="preserve"> (</w:t>
      </w:r>
      <w:proofErr w:type="spellStart"/>
      <w:r>
        <w:t>t</w:t>
      </w:r>
      <w:r w:rsidRPr="00DA719F">
        <w:t>riptorrelina</w:t>
      </w:r>
      <w:proofErr w:type="spellEnd"/>
      <w:r>
        <w:t xml:space="preserve"> 0,2mg; </w:t>
      </w:r>
      <w:proofErr w:type="spellStart"/>
      <w:r w:rsidRPr="00F01222">
        <w:rPr>
          <w:i/>
          <w:iCs/>
        </w:rPr>
        <w:t>Ferring</w:t>
      </w:r>
      <w:proofErr w:type="spellEnd"/>
      <w:r w:rsidRPr="00F01222">
        <w:rPr>
          <w:i/>
          <w:iCs/>
        </w:rPr>
        <w:t xml:space="preserve"> </w:t>
      </w:r>
      <w:proofErr w:type="spellStart"/>
      <w:r w:rsidRPr="00F01222">
        <w:rPr>
          <w:i/>
          <w:iCs/>
        </w:rPr>
        <w:t>Pharmaceuticals</w:t>
      </w:r>
      <w:proofErr w:type="spellEnd"/>
      <w:r>
        <w:t xml:space="preserve">). A aspiração dos folículos para recuperação dos </w:t>
      </w:r>
      <w:proofErr w:type="spellStart"/>
      <w:r>
        <w:t>oócitos</w:t>
      </w:r>
      <w:proofErr w:type="spellEnd"/>
      <w:r>
        <w:t xml:space="preserve"> ocorreu após 34-36 h do </w:t>
      </w:r>
      <w:r w:rsidRPr="00FD5ADA">
        <w:rPr>
          <w:i/>
          <w:iCs/>
        </w:rPr>
        <w:t>trigger</w:t>
      </w:r>
      <w:r>
        <w:t>. Todos os folículos com mais de 10mm foram puncionados.</w:t>
      </w:r>
    </w:p>
    <w:p w14:paraId="44452681" w14:textId="64CA6092" w:rsidR="003A6822" w:rsidRDefault="003A6822" w:rsidP="003A6822">
      <w:r>
        <w:t>O grupo controle, denominado Grupo Antagonista</w:t>
      </w:r>
      <w:r w:rsidRPr="00FD5ADA">
        <w:t xml:space="preserve"> </w:t>
      </w:r>
      <w:r>
        <w:t>utilizou Gonadotrofina menopáusica humana (</w:t>
      </w:r>
      <w:proofErr w:type="spellStart"/>
      <w:r w:rsidRPr="00AA6E48">
        <w:t>menotropina</w:t>
      </w:r>
      <w:proofErr w:type="spellEnd"/>
      <w:r>
        <w:t>,</w:t>
      </w:r>
      <w:r w:rsidRPr="00DA719F">
        <w:t xml:space="preserve"> </w:t>
      </w:r>
      <w:proofErr w:type="spellStart"/>
      <w:r w:rsidRPr="00FD5ADA">
        <w:rPr>
          <w:i/>
          <w:iCs/>
        </w:rPr>
        <w:t>Ferring</w:t>
      </w:r>
      <w:proofErr w:type="spellEnd"/>
      <w:r w:rsidRPr="00FD5ADA">
        <w:rPr>
          <w:i/>
          <w:iCs/>
        </w:rPr>
        <w:t xml:space="preserve"> </w:t>
      </w:r>
      <w:proofErr w:type="spellStart"/>
      <w:r w:rsidRPr="00FD5ADA">
        <w:rPr>
          <w:i/>
          <w:iCs/>
        </w:rPr>
        <w:t>Pharmaceuticals</w:t>
      </w:r>
      <w:proofErr w:type="spellEnd"/>
      <w:r>
        <w:t>) e/ou FSH recombinante (</w:t>
      </w:r>
      <w:proofErr w:type="spellStart"/>
      <w:r w:rsidRPr="00AA6E48">
        <w:t>alfafolitropina</w:t>
      </w:r>
      <w:proofErr w:type="spellEnd"/>
      <w:r>
        <w:t xml:space="preserve">, </w:t>
      </w:r>
      <w:r w:rsidRPr="00F01222">
        <w:rPr>
          <w:i/>
          <w:iCs/>
        </w:rPr>
        <w:t>Merck</w:t>
      </w:r>
      <w:r>
        <w:t xml:space="preserve">) e supressão hipofisária com antagonista do </w:t>
      </w:r>
      <w:proofErr w:type="spellStart"/>
      <w:r>
        <w:t>GnrH</w:t>
      </w:r>
      <w:proofErr w:type="spellEnd"/>
      <w:r>
        <w:t xml:space="preserve"> (</w:t>
      </w:r>
      <w:r w:rsidRPr="00AA6E48">
        <w:t xml:space="preserve">Acetato de </w:t>
      </w:r>
      <w:proofErr w:type="spellStart"/>
      <w:r w:rsidRPr="00AA6E48">
        <w:t>Cetrorrelix</w:t>
      </w:r>
      <w:proofErr w:type="spellEnd"/>
      <w:r>
        <w:t xml:space="preserve">; 0,25mg; Merck), sendo este último introduzido quando existiam folículos com diâmetro maior ou igual a 13mm. </w:t>
      </w:r>
      <w:r w:rsidRPr="00AA6E48">
        <w:t xml:space="preserve">O monitoramento folicular foi feito através de controle </w:t>
      </w:r>
      <w:r>
        <w:t>eco</w:t>
      </w:r>
      <w:r w:rsidRPr="00AA6E48">
        <w:t xml:space="preserve">gráfico no primeiro dia de estimulação, quinto dia e depois a cada 2 dias até </w:t>
      </w:r>
      <w:r>
        <w:t>a</w:t>
      </w:r>
      <w:r w:rsidRPr="00AA6E48">
        <w:t xml:space="preserve"> </w:t>
      </w:r>
      <w:r>
        <w:t xml:space="preserve">maturação </w:t>
      </w:r>
      <w:proofErr w:type="spellStart"/>
      <w:r>
        <w:t>oocitária</w:t>
      </w:r>
      <w:proofErr w:type="spellEnd"/>
      <w:r>
        <w:t xml:space="preserve"> final,</w:t>
      </w:r>
      <w:r w:rsidRPr="00AA6E48">
        <w:t xml:space="preserve"> que ocorreu quando havia 2 ou mais folículos acima de 18mm de diâmetro médio. A maturação </w:t>
      </w:r>
      <w:proofErr w:type="spellStart"/>
      <w:r w:rsidRPr="00AA6E48">
        <w:t>oocitária</w:t>
      </w:r>
      <w:proofErr w:type="spellEnd"/>
      <w:r w:rsidRPr="00AA6E48">
        <w:t xml:space="preserve"> final </w:t>
      </w:r>
      <w:r>
        <w:t>procedeu-se através</w:t>
      </w:r>
      <w:r w:rsidRPr="00AA6E48">
        <w:t xml:space="preserve"> de </w:t>
      </w:r>
      <w:r w:rsidRPr="00F01222">
        <w:rPr>
          <w:i/>
          <w:iCs/>
        </w:rPr>
        <w:t xml:space="preserve">trigger </w:t>
      </w:r>
      <w:r w:rsidRPr="00AA6E48">
        <w:t xml:space="preserve">com agonista de </w:t>
      </w:r>
      <w:proofErr w:type="spellStart"/>
      <w:r w:rsidRPr="00AA6E48">
        <w:t>GnRH</w:t>
      </w:r>
      <w:proofErr w:type="spellEnd"/>
      <w:r w:rsidRPr="00AA6E48">
        <w:t xml:space="preserve"> </w:t>
      </w:r>
      <w:r>
        <w:t>(</w:t>
      </w:r>
      <w:proofErr w:type="spellStart"/>
      <w:r w:rsidRPr="00AA6E48">
        <w:t>triptorrelina</w:t>
      </w:r>
      <w:proofErr w:type="spellEnd"/>
      <w:r w:rsidRPr="00AA6E48">
        <w:t xml:space="preserve"> 0,2mg; </w:t>
      </w:r>
      <w:proofErr w:type="spellStart"/>
      <w:r w:rsidRPr="00F01222">
        <w:rPr>
          <w:i/>
          <w:iCs/>
        </w:rPr>
        <w:t>Ferring</w:t>
      </w:r>
      <w:proofErr w:type="spellEnd"/>
      <w:r w:rsidRPr="00F01222">
        <w:rPr>
          <w:i/>
          <w:iCs/>
        </w:rPr>
        <w:t xml:space="preserve"> </w:t>
      </w:r>
      <w:proofErr w:type="spellStart"/>
      <w:r w:rsidRPr="00F01222">
        <w:rPr>
          <w:i/>
          <w:iCs/>
        </w:rPr>
        <w:t>Pharmaceuticals</w:t>
      </w:r>
      <w:proofErr w:type="spellEnd"/>
      <w:r w:rsidRPr="00AA6E48">
        <w:t>)</w:t>
      </w:r>
      <w:r>
        <w:t>. A a</w:t>
      </w:r>
      <w:r w:rsidRPr="00AA6E48">
        <w:t xml:space="preserve">spiração dos folículos para recuperação dos </w:t>
      </w:r>
      <w:proofErr w:type="spellStart"/>
      <w:r w:rsidRPr="00AA6E48">
        <w:t>oócitos</w:t>
      </w:r>
      <w:proofErr w:type="spellEnd"/>
      <w:r w:rsidRPr="00AA6E48">
        <w:t xml:space="preserve"> ocorreu após 34-36 h do </w:t>
      </w:r>
      <w:r w:rsidRPr="00F01222">
        <w:rPr>
          <w:i/>
          <w:iCs/>
        </w:rPr>
        <w:t>trigger</w:t>
      </w:r>
      <w:r w:rsidRPr="00AA6E48">
        <w:t>. Todos os folículos com mais de 10mm fo</w:t>
      </w:r>
      <w:r>
        <w:t>ram</w:t>
      </w:r>
      <w:r w:rsidRPr="00AA6E48">
        <w:t xml:space="preserve"> puncionados.</w:t>
      </w:r>
      <w:r>
        <w:t xml:space="preserve"> A fertilização dos </w:t>
      </w:r>
      <w:proofErr w:type="spellStart"/>
      <w:r>
        <w:t>oócitos</w:t>
      </w:r>
      <w:proofErr w:type="spellEnd"/>
      <w:r>
        <w:t xml:space="preserve"> aspirados foi feita com ICSI e os embriões foram cultivados em estufa </w:t>
      </w:r>
      <w:r w:rsidRPr="00E85269">
        <w:rPr>
          <w:i/>
          <w:iCs/>
        </w:rPr>
        <w:t xml:space="preserve">Time </w:t>
      </w:r>
      <w:proofErr w:type="spellStart"/>
      <w:r w:rsidRPr="00E85269">
        <w:rPr>
          <w:i/>
          <w:iCs/>
        </w:rPr>
        <w:t>lapse</w:t>
      </w:r>
      <w:proofErr w:type="spellEnd"/>
      <w:r>
        <w:t xml:space="preserve">. </w:t>
      </w:r>
    </w:p>
    <w:p w14:paraId="5D047C95" w14:textId="77777777" w:rsidR="003A6822" w:rsidRDefault="003A6822" w:rsidP="003A6822">
      <w:r>
        <w:t>Os critérios</w:t>
      </w:r>
      <w:r w:rsidRPr="00600A21">
        <w:t xml:space="preserve"> de inclusão</w:t>
      </w:r>
      <w:r>
        <w:t xml:space="preserve"> foram mulheres com idade inferior a 40 anos, que tinham ciclos menstruais regulares nos últimos 3 meses (25 a 35 dias de duração), com reserva ovariana normal, definida pelo hormônio </w:t>
      </w:r>
      <w:proofErr w:type="spellStart"/>
      <w:r>
        <w:t>anti</w:t>
      </w:r>
      <w:proofErr w:type="spellEnd"/>
      <w:r>
        <w:t xml:space="preserve"> </w:t>
      </w:r>
      <w:proofErr w:type="spellStart"/>
      <w:r>
        <w:t>mulleriano</w:t>
      </w:r>
      <w:proofErr w:type="spellEnd"/>
      <w:r>
        <w:t xml:space="preserve"> (HAM) superior a 1ng/</w:t>
      </w:r>
      <w:proofErr w:type="spellStart"/>
      <w:r>
        <w:t>mL</w:t>
      </w:r>
      <w:proofErr w:type="spellEnd"/>
      <w:r>
        <w:t>.</w:t>
      </w:r>
    </w:p>
    <w:p w14:paraId="102C5026" w14:textId="77777777" w:rsidR="003A6822" w:rsidRDefault="003A6822" w:rsidP="003A6822">
      <w:r>
        <w:t>Foram excluídos deste estudo todos os ciclos cujas mulheres tinham mais de 40 anos de idade, HAM inferior a 1ng/</w:t>
      </w:r>
      <w:proofErr w:type="spellStart"/>
      <w:r>
        <w:t>mL</w:t>
      </w:r>
      <w:proofErr w:type="spellEnd"/>
      <w:r>
        <w:t>, diagnóstico de endometriose grau 3 ou mais, mulheres com obesidade grau 3, sendo o índice de massa corpórea (IMC) maior que 35Kg/m</w:t>
      </w:r>
      <w:r w:rsidRPr="00357CCA">
        <w:rPr>
          <w:vertAlign w:val="superscript"/>
        </w:rPr>
        <w:t>2</w:t>
      </w:r>
      <w:r>
        <w:t>, presença de cisto ovariano com estradiol superior a 100pg/</w:t>
      </w:r>
      <w:proofErr w:type="spellStart"/>
      <w:r>
        <w:t>mL</w:t>
      </w:r>
      <w:proofErr w:type="spellEnd"/>
      <w:r>
        <w:t xml:space="preserve"> no início do ciclo, mulheres que tinham recebido tratamentos hormonais nos 3 meses anteriores, ou ainda com qualquer contraindicação ao tratamento de estimulação ovariana.</w:t>
      </w:r>
    </w:p>
    <w:p w14:paraId="42BD500F" w14:textId="73B515CE" w:rsidR="00106987" w:rsidRDefault="00106987" w:rsidP="00106987"/>
    <w:p w14:paraId="477B2511" w14:textId="735D4F0A" w:rsidR="00106987" w:rsidRDefault="00106987" w:rsidP="00106987">
      <w:pPr>
        <w:pStyle w:val="Ttulo1"/>
        <w:numPr>
          <w:ilvl w:val="1"/>
          <w:numId w:val="5"/>
        </w:numPr>
      </w:pPr>
      <w:bookmarkStart w:id="9" w:name="_Toc152013931"/>
      <w:r>
        <w:t>Variáveis</w:t>
      </w:r>
      <w:bookmarkEnd w:id="9"/>
    </w:p>
    <w:p w14:paraId="05126F2F" w14:textId="4EE11539" w:rsidR="00106987" w:rsidRDefault="003A6822" w:rsidP="00106987">
      <w:r>
        <w:t>Foram estudadas características sociodemográficas das participantes estudadas, bem como</w:t>
      </w:r>
      <w:r w:rsidR="00083831">
        <w:t xml:space="preserve"> os protocolos de tratamento e como desfechos as variáveis </w:t>
      </w:r>
      <w:r w:rsidR="005C7F4C">
        <w:t>relacionadas a</w:t>
      </w:r>
      <w:r>
        <w:t>o processo de estimulação ovariana controlada</w:t>
      </w:r>
      <w:r w:rsidR="00083831">
        <w:t xml:space="preserve"> e as características laboratoriais em decorrência desse processo</w:t>
      </w:r>
      <w:r>
        <w:t>.</w:t>
      </w:r>
    </w:p>
    <w:p w14:paraId="086D34F2" w14:textId="6094E4D4" w:rsidR="00106987" w:rsidRDefault="00106987" w:rsidP="00106987"/>
    <w:p w14:paraId="7AF1C09C" w14:textId="4A587238" w:rsidR="00106987" w:rsidRDefault="00106987" w:rsidP="00106987">
      <w:pPr>
        <w:pStyle w:val="Ttulo1"/>
        <w:numPr>
          <w:ilvl w:val="1"/>
          <w:numId w:val="5"/>
        </w:numPr>
      </w:pPr>
      <w:bookmarkStart w:id="10" w:name="_Toc152013932"/>
      <w:r>
        <w:t>Fonte dos dados</w:t>
      </w:r>
      <w:r w:rsidR="003A6822">
        <w:t>/mensuração dos dados</w:t>
      </w:r>
      <w:bookmarkEnd w:id="10"/>
    </w:p>
    <w:p w14:paraId="560DA0CF" w14:textId="4EC3C01D" w:rsidR="00106987" w:rsidRDefault="003A6822" w:rsidP="00106987">
      <w:r w:rsidRPr="00AA68AB">
        <w:t xml:space="preserve">Dados </w:t>
      </w:r>
      <w:r>
        <w:t>clínicos e laboratoriais foram coletados do prontuário eletrônico das pacientes. A coleta de dados iniciou-se anteriormente ao protocolo de EOC com a coleta de dados de 52 ciclos para FIV.</w:t>
      </w:r>
    </w:p>
    <w:p w14:paraId="234BB21C" w14:textId="77777777" w:rsidR="003A6822" w:rsidRDefault="003A6822" w:rsidP="003A6822">
      <w:pPr>
        <w:ind w:left="0" w:firstLine="0"/>
      </w:pPr>
    </w:p>
    <w:p w14:paraId="7457AA3D" w14:textId="1EB77ECD" w:rsidR="00106987" w:rsidRDefault="00106987" w:rsidP="00106987">
      <w:pPr>
        <w:pStyle w:val="Ttulo1"/>
        <w:numPr>
          <w:ilvl w:val="1"/>
          <w:numId w:val="5"/>
        </w:numPr>
      </w:pPr>
      <w:bookmarkStart w:id="11" w:name="_Toc152013933"/>
      <w:r>
        <w:t>Vieses</w:t>
      </w:r>
      <w:bookmarkEnd w:id="11"/>
    </w:p>
    <w:p w14:paraId="00883806" w14:textId="49DAE947" w:rsidR="00106987" w:rsidRDefault="003A6822" w:rsidP="00106987">
      <w:r>
        <w:t>O principal viés desse estudo se dá pelo desenho em que não é possível estabelecer causalidade. Ainda, é importante ressaltar os vieses conhecidos para dados extraídos de prontuários, como por exemplo, os dados faltantes.</w:t>
      </w:r>
    </w:p>
    <w:p w14:paraId="6E3426D3" w14:textId="77777777" w:rsidR="003A6822" w:rsidRDefault="003A6822" w:rsidP="00106987"/>
    <w:p w14:paraId="325B2E4F" w14:textId="7A1C93EA" w:rsidR="003A6822" w:rsidRDefault="003A6822" w:rsidP="003A6822">
      <w:pPr>
        <w:pStyle w:val="Ttulo1"/>
        <w:numPr>
          <w:ilvl w:val="1"/>
          <w:numId w:val="5"/>
        </w:numPr>
      </w:pPr>
      <w:bookmarkStart w:id="12" w:name="_Toc152013934"/>
      <w:r>
        <w:t>Tamanho do estudo</w:t>
      </w:r>
      <w:bookmarkEnd w:id="12"/>
    </w:p>
    <w:p w14:paraId="581CC58F" w14:textId="77777777" w:rsidR="003A6822" w:rsidRDefault="003A6822" w:rsidP="003A6822">
      <w:r>
        <w:t xml:space="preserve">Um total de 52 ciclos foram selecionados para este estudo após aplicação dos critérios de inclusão e exclusão e alocados em 2 grupos que utilizaram protocolos de estimulação ovariana controlada com bloqueios distintos. </w:t>
      </w:r>
    </w:p>
    <w:p w14:paraId="356367E0" w14:textId="4194DD8F" w:rsidR="003A6822" w:rsidRDefault="003A6822" w:rsidP="003A6822"/>
    <w:p w14:paraId="52D4E257" w14:textId="3274866F" w:rsidR="003A6822" w:rsidRDefault="003A6822" w:rsidP="003A6822">
      <w:pPr>
        <w:pStyle w:val="Ttulo1"/>
        <w:numPr>
          <w:ilvl w:val="1"/>
          <w:numId w:val="5"/>
        </w:numPr>
      </w:pPr>
      <w:bookmarkStart w:id="13" w:name="_Toc152013935"/>
      <w:r>
        <w:t>Variáveis quantitativas</w:t>
      </w:r>
      <w:bookmarkEnd w:id="13"/>
    </w:p>
    <w:p w14:paraId="6FFFA9CB" w14:textId="77777777" w:rsidR="003A6822" w:rsidRDefault="003A6822" w:rsidP="003A6822">
      <w:r>
        <w:t xml:space="preserve">Ao final do protocolo de EOC foram coletados de ambos os grupos os dados de número de </w:t>
      </w:r>
      <w:proofErr w:type="spellStart"/>
      <w:r>
        <w:t>oócitos</w:t>
      </w:r>
      <w:proofErr w:type="spellEnd"/>
      <w:r>
        <w:t xml:space="preserve"> recuperados. Os </w:t>
      </w:r>
      <w:proofErr w:type="spellStart"/>
      <w:r>
        <w:t>embriologistas</w:t>
      </w:r>
      <w:proofErr w:type="spellEnd"/>
      <w:r>
        <w:t xml:space="preserve"> classificaram com base no aspecto morfológico os </w:t>
      </w:r>
      <w:proofErr w:type="spellStart"/>
      <w:r>
        <w:t>oócitos</w:t>
      </w:r>
      <w:proofErr w:type="spellEnd"/>
      <w:r>
        <w:t xml:space="preserve"> em vesícula germinativa, metáfase I e metáfase II, sendo registrado o número de </w:t>
      </w:r>
      <w:proofErr w:type="spellStart"/>
      <w:r>
        <w:t>oócitos</w:t>
      </w:r>
      <w:proofErr w:type="spellEnd"/>
      <w:r>
        <w:t xml:space="preserve"> em M2, número de M1 e número de </w:t>
      </w:r>
      <w:proofErr w:type="spellStart"/>
      <w:r>
        <w:t>oócitos</w:t>
      </w:r>
      <w:proofErr w:type="spellEnd"/>
      <w:r>
        <w:t xml:space="preserve"> que ainda apresentavam a VG.  </w:t>
      </w:r>
    </w:p>
    <w:p w14:paraId="65130573" w14:textId="77777777" w:rsidR="003A6822" w:rsidRDefault="003A6822" w:rsidP="003A6822">
      <w:r>
        <w:t xml:space="preserve">Os </w:t>
      </w:r>
      <w:proofErr w:type="spellStart"/>
      <w:r>
        <w:t>oócitos</w:t>
      </w:r>
      <w:proofErr w:type="spellEnd"/>
      <w:r>
        <w:t xml:space="preserve"> em M2 passaram pelo processo de ICSI e a fertilização foi avaliada 16 a 18 horas após o processo – uma fertilização normal foi considerada com a presença de 2 </w:t>
      </w:r>
      <w:proofErr w:type="spellStart"/>
      <w:r>
        <w:t>pronucleos</w:t>
      </w:r>
      <w:proofErr w:type="spellEnd"/>
      <w:r>
        <w:t xml:space="preserve"> e 2 corpúsculos polares. A taxa de fertilização de cada paciente foi registrada, sendo considerado o número de </w:t>
      </w:r>
      <w:proofErr w:type="spellStart"/>
      <w:r>
        <w:t>oócitos</w:t>
      </w:r>
      <w:proofErr w:type="spellEnd"/>
      <w:r>
        <w:t xml:space="preserve"> fertilizados dividido pelo número total de </w:t>
      </w:r>
      <w:proofErr w:type="spellStart"/>
      <w:r>
        <w:t>oócitos</w:t>
      </w:r>
      <w:proofErr w:type="spellEnd"/>
      <w:r>
        <w:t xml:space="preserve"> que passaram pelo processo de ICSI. O desenvolvimento embrionário foi avaliado no quinto dia de cultivo, sendo avaliado os embriões que se encontravam no estágio de </w:t>
      </w:r>
      <w:proofErr w:type="spellStart"/>
      <w:r>
        <w:t>blastulação</w:t>
      </w:r>
      <w:proofErr w:type="spellEnd"/>
      <w:r>
        <w:t xml:space="preserve"> e registrado o número de blastocistos e a taxa de </w:t>
      </w:r>
      <w:proofErr w:type="spellStart"/>
      <w:r>
        <w:t>blastulação</w:t>
      </w:r>
      <w:proofErr w:type="spellEnd"/>
      <w:r>
        <w:t xml:space="preserve">. A taxa de </w:t>
      </w:r>
      <w:proofErr w:type="spellStart"/>
      <w:r>
        <w:t>blastulação</w:t>
      </w:r>
      <w:proofErr w:type="spellEnd"/>
      <w:r>
        <w:t xml:space="preserve"> foi considerada como o número total de blastocistos dividido pelo número de </w:t>
      </w:r>
      <w:proofErr w:type="spellStart"/>
      <w:r>
        <w:t>oócitos</w:t>
      </w:r>
      <w:proofErr w:type="spellEnd"/>
      <w:r>
        <w:t xml:space="preserve"> fertilizados. </w:t>
      </w:r>
    </w:p>
    <w:p w14:paraId="2D6775C7" w14:textId="77777777" w:rsidR="003A6822" w:rsidRDefault="003A6822" w:rsidP="003A6822">
      <w:r>
        <w:t xml:space="preserve">A morfologia embrionária foi determinada através do sistema de classificação morfológica com base na classificação de Gardner e </w:t>
      </w:r>
      <w:proofErr w:type="spellStart"/>
      <w:r>
        <w:t>Schoolcraft</w:t>
      </w:r>
      <w:proofErr w:type="spellEnd"/>
      <w:r>
        <w:t xml:space="preserve">. Esta classificação leva em consideração um sistema de </w:t>
      </w:r>
      <w:r w:rsidRPr="00D70751">
        <w:rPr>
          <w:i/>
          <w:iCs/>
        </w:rPr>
        <w:t>score</w:t>
      </w:r>
      <w:r>
        <w:t xml:space="preserve"> em 3 vias, baseado no grau de expansão do blastocisto, na qualidade da MCI e na qualidade do TE, sendo que</w:t>
      </w:r>
      <w:r w:rsidRPr="000D6167">
        <w:t xml:space="preserve"> é dado uma nota de A-C</w:t>
      </w:r>
      <w:r>
        <w:t xml:space="preserve"> para MCI e TE respectivamente,</w:t>
      </w:r>
      <w:r w:rsidRPr="000D6167">
        <w:t xml:space="preserve"> considerando</w:t>
      </w:r>
      <w:r>
        <w:t>, portanto,</w:t>
      </w:r>
      <w:r w:rsidRPr="000D6167">
        <w:t xml:space="preserve"> a qualidade morfológica</w:t>
      </w:r>
      <w:r>
        <w:t>.</w:t>
      </w:r>
      <w:r w:rsidRPr="000D6167">
        <w:t xml:space="preserve">  </w:t>
      </w:r>
      <w:r>
        <w:t xml:space="preserve">No sistema e em suas variações, os blastocistos são classificados em 3 grupos: Alta qualidade (3AA, 4AA, 5AA), boa qualidade (3/4/5 AB, BA e BB) </w:t>
      </w:r>
      <w:r>
        <w:lastRenderedPageBreak/>
        <w:t xml:space="preserve">e baixa qualidade (3/4/5 AC, CA, BC, CB e CC). Neste estudo foi considerado embrião </w:t>
      </w:r>
      <w:r>
        <w:rPr>
          <w:i/>
          <w:iCs/>
        </w:rPr>
        <w:t xml:space="preserve">top </w:t>
      </w:r>
      <w:proofErr w:type="spellStart"/>
      <w:r>
        <w:rPr>
          <w:i/>
          <w:iCs/>
        </w:rPr>
        <w:t>quality</w:t>
      </w:r>
      <w:proofErr w:type="spellEnd"/>
      <w:r>
        <w:t xml:space="preserve"> todos classificados como alta e boa qualidade.</w:t>
      </w:r>
    </w:p>
    <w:p w14:paraId="751E0E1C" w14:textId="77777777" w:rsidR="003A6822" w:rsidRPr="00090EDC" w:rsidRDefault="003A6822" w:rsidP="003A6822">
      <w:r>
        <w:t>Outro parâmetro avaliado foi o tempo em que o embrião demorou para atingir o estágio de blastocisto: 5 dias (D5), 6 dias (D6), 7 dias (D7).</w:t>
      </w:r>
    </w:p>
    <w:p w14:paraId="3B560D77" w14:textId="6F4F7075" w:rsidR="003A6822" w:rsidRDefault="003A6822" w:rsidP="003A6822"/>
    <w:p w14:paraId="193EE0EA" w14:textId="029FC734" w:rsidR="003A6822" w:rsidRDefault="003A6822" w:rsidP="003A6822">
      <w:pPr>
        <w:pStyle w:val="Ttulo1"/>
        <w:numPr>
          <w:ilvl w:val="1"/>
          <w:numId w:val="5"/>
        </w:numPr>
      </w:pPr>
      <w:bookmarkStart w:id="14" w:name="_Toc152013936"/>
      <w:r>
        <w:t>Métodos estatísticos</w:t>
      </w:r>
      <w:bookmarkEnd w:id="14"/>
    </w:p>
    <w:p w14:paraId="20AE846E" w14:textId="622ACC08" w:rsidR="003A6822" w:rsidRDefault="003A6822" w:rsidP="003A6822">
      <w:r>
        <w:t>As variáveis quantitativas foram avaliadas quanto a aderência a distribuição normal pelo teste de Shapiro-Wilk. Por não apresentar aderência a distribuição normal, utilizou-se mediana e percentis 25 e 75%, respectivamente, bem como testes não paramétricos. Ainda, as variáveis categóricas foram descritas por frequências absolutas(n) e relativas (%).</w:t>
      </w:r>
      <w:r w:rsidR="00DF0633">
        <w:t xml:space="preserve"> </w:t>
      </w:r>
      <w:r>
        <w:t xml:space="preserve">Para comparação das variáveis quantitativas entre os grupos utilizou-se teste de Mann-Whitney, enquanto para as qualitativas utilizou-se teste de </w:t>
      </w:r>
      <w:proofErr w:type="spellStart"/>
      <w:r>
        <w:t>Qui</w:t>
      </w:r>
      <w:proofErr w:type="spellEnd"/>
      <w:r>
        <w:t xml:space="preserve">-quadrado. </w:t>
      </w:r>
      <w:r w:rsidR="00DF0633">
        <w:t xml:space="preserve">Dados faltantes foram excluídos das análises quando não representavam até 40% dos respondentes. </w:t>
      </w:r>
      <w:r>
        <w:t>O nível de significância foi de 5%. O programa utilizado para as análises foi o STATA (</w:t>
      </w:r>
      <w:proofErr w:type="spellStart"/>
      <w:r>
        <w:t>Stata</w:t>
      </w:r>
      <w:proofErr w:type="spellEnd"/>
      <w:r>
        <w:t xml:space="preserve"> </w:t>
      </w:r>
      <w:proofErr w:type="spellStart"/>
      <w:r>
        <w:t>Corp</w:t>
      </w:r>
      <w:proofErr w:type="spellEnd"/>
      <w:r>
        <w:t xml:space="preserve">, LC) versão 11.0. </w:t>
      </w:r>
    </w:p>
    <w:p w14:paraId="3B48F211" w14:textId="77777777" w:rsidR="00665D92" w:rsidRDefault="00665D92" w:rsidP="00057112"/>
    <w:p w14:paraId="66543972" w14:textId="77777777" w:rsidR="00665D92" w:rsidRDefault="00665D92" w:rsidP="00665D92">
      <w:pPr>
        <w:pStyle w:val="Ttulo1"/>
      </w:pPr>
      <w:bookmarkStart w:id="15" w:name="_Toc152013937"/>
      <w:r w:rsidRPr="00E870BA">
        <w:t>RESULTADOS</w:t>
      </w:r>
      <w:bookmarkEnd w:id="15"/>
    </w:p>
    <w:p w14:paraId="482CBCC1" w14:textId="77777777" w:rsidR="00665D92" w:rsidRDefault="00665D92" w:rsidP="00665D92">
      <w:r w:rsidRPr="00707B3A">
        <w:t>Um total de 52 ciclos foram s</w:t>
      </w:r>
      <w:r>
        <w:t xml:space="preserve">elecionados para este estudo, sendo 35 alocados no grupo Antagonista e 17 no Grupo </w:t>
      </w:r>
      <w:proofErr w:type="spellStart"/>
      <w:r>
        <w:t>Didrogesterona</w:t>
      </w:r>
      <w:proofErr w:type="spellEnd"/>
      <w:r>
        <w:t xml:space="preserve">. </w:t>
      </w:r>
    </w:p>
    <w:p w14:paraId="775218FE" w14:textId="77777777" w:rsidR="00665D92" w:rsidRDefault="00665D92" w:rsidP="00665D92">
      <w:r>
        <w:t xml:space="preserve">Os dados antropométricos e clínicos das pacientes incluídas estão descritas na </w:t>
      </w:r>
      <w:r w:rsidRPr="00DF0633">
        <w:t>tabela 1</w:t>
      </w:r>
      <w:r>
        <w:t xml:space="preserve"> e foram expressos em mediana. A idade das pacientes no Grupo Antagonista foi de 36 anos (35,0-38,0) e no Grupo </w:t>
      </w:r>
      <w:proofErr w:type="spellStart"/>
      <w:r>
        <w:t>Didrogesterona</w:t>
      </w:r>
      <w:proofErr w:type="spellEnd"/>
      <w:r>
        <w:t xml:space="preserve"> foi de 37 anos (35,0-39,0). Quanto ao índice de massa corpórea (IMC) nos grupos Antagonista e </w:t>
      </w:r>
      <w:proofErr w:type="spellStart"/>
      <w:r>
        <w:t>Didrogesterona</w:t>
      </w:r>
      <w:proofErr w:type="spellEnd"/>
      <w:r>
        <w:t xml:space="preserve"> foram de 22,1 (21,0-25,7) e 25,2 (22,2 a 26,3) respectivamente. O tempo de infertilidade foi de 2 anos em ambos os grupos. A porcentagem de casos com o diagnóstico de infertilidade primária foi de 45,7% no Grupo Antagonista e de 52,9% no </w:t>
      </w:r>
      <w:proofErr w:type="spellStart"/>
      <w:r>
        <w:t>Didrogesterona</w:t>
      </w:r>
      <w:proofErr w:type="spellEnd"/>
      <w:r>
        <w:t>.  A</w:t>
      </w:r>
      <w:r w:rsidRPr="001C72FB">
        <w:t xml:space="preserve"> reserva ovariana, definida pelo hormônio </w:t>
      </w:r>
      <w:proofErr w:type="spellStart"/>
      <w:r w:rsidRPr="001C72FB">
        <w:t>anti</w:t>
      </w:r>
      <w:r>
        <w:t>-</w:t>
      </w:r>
      <w:r w:rsidRPr="001C72FB">
        <w:t>mulleriano</w:t>
      </w:r>
      <w:proofErr w:type="spellEnd"/>
      <w:r>
        <w:t xml:space="preserve"> (HAM), do Grupo Antagonista foi de 1,9 (0,8-2,6) e do Grupo </w:t>
      </w:r>
      <w:proofErr w:type="spellStart"/>
      <w:r>
        <w:t>Didrosgesterona</w:t>
      </w:r>
      <w:proofErr w:type="spellEnd"/>
      <w:r>
        <w:t xml:space="preserve"> foi de 2,7 (1,4 – 4,6). Todas as medianas das variáveis descritas </w:t>
      </w:r>
      <w:r w:rsidRPr="001C72FB">
        <w:t xml:space="preserve">foram similares </w:t>
      </w:r>
      <w:r>
        <w:t>nos</w:t>
      </w:r>
      <w:r w:rsidRPr="001C72FB">
        <w:t xml:space="preserve"> os dois grupos (p&gt;0,05)</w:t>
      </w:r>
      <w:r>
        <w:t>, sendo assim, os grupos foram comparáveis.</w:t>
      </w:r>
    </w:p>
    <w:p w14:paraId="2395C328" w14:textId="77777777" w:rsidR="00665D92" w:rsidRPr="00C549AA" w:rsidRDefault="00665D92" w:rsidP="00665D92">
      <w:r w:rsidRPr="0097644A">
        <w:rPr>
          <w:b/>
          <w:bCs/>
        </w:rPr>
        <w:t>Tabela 1.</w:t>
      </w:r>
      <w:r>
        <w:rPr>
          <w:b/>
          <w:bCs/>
        </w:rPr>
        <w:t xml:space="preserve"> </w:t>
      </w:r>
      <w:r>
        <w:t>Características antropométricas das pacientes estudadas entre os grupos.</w:t>
      </w:r>
    </w:p>
    <w:tbl>
      <w:tblPr>
        <w:tblStyle w:val="formatada"/>
        <w:tblW w:w="5544" w:type="pct"/>
        <w:tblLook w:val="04A0" w:firstRow="1" w:lastRow="0" w:firstColumn="1" w:lastColumn="0" w:noHBand="0" w:noVBand="1"/>
      </w:tblPr>
      <w:tblGrid>
        <w:gridCol w:w="4844"/>
        <w:gridCol w:w="2255"/>
        <w:gridCol w:w="2051"/>
        <w:gridCol w:w="1530"/>
      </w:tblGrid>
      <w:tr w:rsidR="00665D92" w:rsidRPr="00E870BA" w14:paraId="76CF9797" w14:textId="77777777" w:rsidTr="007D02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436CAB2D" w14:textId="77777777" w:rsidR="00665D92" w:rsidRPr="00E870BA" w:rsidRDefault="00665D92" w:rsidP="007D026F">
            <w:pPr>
              <w:pStyle w:val="SemEspaamento"/>
              <w:rPr>
                <w:lang w:eastAsia="pt-BR"/>
              </w:rPr>
            </w:pPr>
            <w:r>
              <w:rPr>
                <w:lang w:eastAsia="pt-BR"/>
              </w:rPr>
              <w:t>V</w:t>
            </w:r>
            <w:r w:rsidRPr="00E870BA">
              <w:rPr>
                <w:lang w:eastAsia="pt-BR"/>
              </w:rPr>
              <w:t>ariáveis</w:t>
            </w:r>
          </w:p>
        </w:tc>
        <w:tc>
          <w:tcPr>
            <w:tcW w:w="1062" w:type="pct"/>
            <w:noWrap/>
            <w:hideMark/>
          </w:tcPr>
          <w:p w14:paraId="3AEFA86D" w14:textId="77777777" w:rsidR="00665D92" w:rsidRPr="00E870BA"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lang w:eastAsia="pt-BR"/>
              </w:rPr>
            </w:pPr>
            <w:r w:rsidRPr="00E870BA">
              <w:rPr>
                <w:lang w:eastAsia="pt-BR"/>
              </w:rPr>
              <w:t>A</w:t>
            </w:r>
            <w:r>
              <w:rPr>
                <w:lang w:eastAsia="pt-BR"/>
              </w:rPr>
              <w:t>ntagonista</w:t>
            </w:r>
          </w:p>
        </w:tc>
        <w:tc>
          <w:tcPr>
            <w:tcW w:w="942" w:type="pct"/>
            <w:noWrap/>
            <w:hideMark/>
          </w:tcPr>
          <w:p w14:paraId="171D3797" w14:textId="77777777" w:rsidR="00665D92" w:rsidRPr="00E870BA"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E870BA">
              <w:rPr>
                <w:lang w:eastAsia="pt-BR"/>
              </w:rPr>
              <w:t>D</w:t>
            </w:r>
            <w:r>
              <w:rPr>
                <w:lang w:eastAsia="pt-BR"/>
              </w:rPr>
              <w:t>idrosgesterona</w:t>
            </w:r>
            <w:proofErr w:type="spellEnd"/>
          </w:p>
        </w:tc>
        <w:tc>
          <w:tcPr>
            <w:tcW w:w="723" w:type="pct"/>
            <w:noWrap/>
            <w:hideMark/>
          </w:tcPr>
          <w:p w14:paraId="56EA551A" w14:textId="77777777" w:rsidR="00665D92" w:rsidRPr="00E870BA"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lang w:eastAsia="pt-BR"/>
              </w:rPr>
            </w:pPr>
            <w:r w:rsidRPr="00E870BA">
              <w:rPr>
                <w:lang w:eastAsia="pt-BR"/>
              </w:rPr>
              <w:t>p-</w:t>
            </w:r>
            <w:proofErr w:type="spellStart"/>
            <w:r w:rsidRPr="00E870BA">
              <w:rPr>
                <w:lang w:eastAsia="pt-BR"/>
              </w:rPr>
              <w:t>value</w:t>
            </w:r>
            <w:proofErr w:type="spellEnd"/>
          </w:p>
        </w:tc>
      </w:tr>
      <w:tr w:rsidR="00665D92" w:rsidRPr="00E870BA" w14:paraId="082F0397"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14F77132" w14:textId="77777777" w:rsidR="00665D92" w:rsidRPr="00E870BA" w:rsidRDefault="00665D92" w:rsidP="007D026F">
            <w:pPr>
              <w:pStyle w:val="SemEspaamento"/>
              <w:rPr>
                <w:lang w:eastAsia="pt-BR"/>
              </w:rPr>
            </w:pPr>
          </w:p>
        </w:tc>
        <w:tc>
          <w:tcPr>
            <w:tcW w:w="1062" w:type="pct"/>
            <w:noWrap/>
            <w:hideMark/>
          </w:tcPr>
          <w:p w14:paraId="73BE5005"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N=35</w:t>
            </w:r>
          </w:p>
        </w:tc>
        <w:tc>
          <w:tcPr>
            <w:tcW w:w="942" w:type="pct"/>
            <w:noWrap/>
            <w:hideMark/>
          </w:tcPr>
          <w:p w14:paraId="6710CD3F"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N=17</w:t>
            </w:r>
          </w:p>
        </w:tc>
        <w:tc>
          <w:tcPr>
            <w:tcW w:w="723" w:type="pct"/>
            <w:noWrap/>
            <w:hideMark/>
          </w:tcPr>
          <w:p w14:paraId="0A9EC66D"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665D92" w:rsidRPr="00E870BA" w14:paraId="6AE84AF8"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0EA96FFB" w14:textId="77777777" w:rsidR="00665D92" w:rsidRPr="00E870BA" w:rsidRDefault="00665D92" w:rsidP="007D026F">
            <w:pPr>
              <w:pStyle w:val="SemEspaamento"/>
              <w:rPr>
                <w:lang w:eastAsia="pt-BR"/>
              </w:rPr>
            </w:pPr>
            <w:r w:rsidRPr="00E870BA">
              <w:rPr>
                <w:lang w:eastAsia="pt-BR"/>
              </w:rPr>
              <w:t>Idade</w:t>
            </w:r>
            <w:r>
              <w:rPr>
                <w:lang w:eastAsia="pt-BR"/>
              </w:rPr>
              <w:t xml:space="preserve"> mediana (p25.p75)</w:t>
            </w:r>
          </w:p>
        </w:tc>
        <w:tc>
          <w:tcPr>
            <w:tcW w:w="1062" w:type="pct"/>
            <w:noWrap/>
            <w:hideMark/>
          </w:tcPr>
          <w:p w14:paraId="1539A589"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36,0 (35,0-38,0)</w:t>
            </w:r>
          </w:p>
        </w:tc>
        <w:tc>
          <w:tcPr>
            <w:tcW w:w="942" w:type="pct"/>
            <w:noWrap/>
            <w:hideMark/>
          </w:tcPr>
          <w:p w14:paraId="5F9038D5"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37,0 (35,0-39,0)</w:t>
            </w:r>
          </w:p>
        </w:tc>
        <w:tc>
          <w:tcPr>
            <w:tcW w:w="723" w:type="pct"/>
            <w:noWrap/>
            <w:hideMark/>
          </w:tcPr>
          <w:p w14:paraId="3AE128D5"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 xml:space="preserve"> 0</w:t>
            </w:r>
            <w:r>
              <w:rPr>
                <w:lang w:eastAsia="pt-BR"/>
              </w:rPr>
              <w:t>,</w:t>
            </w:r>
            <w:r w:rsidRPr="00E870BA">
              <w:rPr>
                <w:lang w:eastAsia="pt-BR"/>
              </w:rPr>
              <w:t>56</w:t>
            </w:r>
            <w:r>
              <w:rPr>
                <w:lang w:eastAsia="pt-BR"/>
              </w:rPr>
              <w:t>*</w:t>
            </w:r>
          </w:p>
        </w:tc>
      </w:tr>
      <w:tr w:rsidR="00665D92" w:rsidRPr="00E870BA" w14:paraId="157B248C"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6C90F2E5" w14:textId="77777777" w:rsidR="00665D92" w:rsidRPr="00E870BA" w:rsidRDefault="00665D92" w:rsidP="007D026F">
            <w:pPr>
              <w:pStyle w:val="SemEspaamento"/>
              <w:rPr>
                <w:lang w:eastAsia="pt-BR"/>
              </w:rPr>
            </w:pPr>
            <w:r w:rsidRPr="00E870BA">
              <w:rPr>
                <w:lang w:eastAsia="pt-BR"/>
              </w:rPr>
              <w:t>IMC</w:t>
            </w:r>
            <w:r>
              <w:rPr>
                <w:lang w:eastAsia="pt-BR"/>
              </w:rPr>
              <w:t xml:space="preserve"> mediana (p25.p75)</w:t>
            </w:r>
          </w:p>
        </w:tc>
        <w:tc>
          <w:tcPr>
            <w:tcW w:w="1062" w:type="pct"/>
            <w:noWrap/>
            <w:hideMark/>
          </w:tcPr>
          <w:p w14:paraId="0FC31D20"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22,1 (21,0-25,7)</w:t>
            </w:r>
          </w:p>
        </w:tc>
        <w:tc>
          <w:tcPr>
            <w:tcW w:w="942" w:type="pct"/>
            <w:noWrap/>
            <w:hideMark/>
          </w:tcPr>
          <w:p w14:paraId="4B4117AF"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25,2 (22,2-26,3)</w:t>
            </w:r>
          </w:p>
        </w:tc>
        <w:tc>
          <w:tcPr>
            <w:tcW w:w="723" w:type="pct"/>
            <w:noWrap/>
            <w:hideMark/>
          </w:tcPr>
          <w:p w14:paraId="1B368438"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 xml:space="preserve"> 0</w:t>
            </w:r>
            <w:r>
              <w:rPr>
                <w:lang w:eastAsia="pt-BR"/>
              </w:rPr>
              <w:t>,</w:t>
            </w:r>
            <w:r w:rsidRPr="00E870BA">
              <w:rPr>
                <w:lang w:eastAsia="pt-BR"/>
              </w:rPr>
              <w:t>13</w:t>
            </w:r>
            <w:r>
              <w:rPr>
                <w:lang w:eastAsia="pt-BR"/>
              </w:rPr>
              <w:t>*</w:t>
            </w:r>
          </w:p>
        </w:tc>
      </w:tr>
      <w:tr w:rsidR="00665D92" w:rsidRPr="00E870BA" w14:paraId="4B825D8B"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3035DE49" w14:textId="77777777" w:rsidR="00665D92" w:rsidRPr="00E870BA" w:rsidRDefault="00665D92" w:rsidP="007D026F">
            <w:pPr>
              <w:pStyle w:val="SemEspaamento"/>
              <w:rPr>
                <w:lang w:eastAsia="pt-BR"/>
              </w:rPr>
            </w:pPr>
            <w:r>
              <w:rPr>
                <w:lang w:eastAsia="pt-BR"/>
              </w:rPr>
              <w:t>Tempo de infertilidade mediana (p25.p75)</w:t>
            </w:r>
          </w:p>
        </w:tc>
        <w:tc>
          <w:tcPr>
            <w:tcW w:w="1062" w:type="pct"/>
            <w:noWrap/>
            <w:hideMark/>
          </w:tcPr>
          <w:p w14:paraId="1D9D5EAE"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2,0 (1,0-3,0)</w:t>
            </w:r>
          </w:p>
        </w:tc>
        <w:tc>
          <w:tcPr>
            <w:tcW w:w="942" w:type="pct"/>
            <w:noWrap/>
            <w:hideMark/>
          </w:tcPr>
          <w:p w14:paraId="3945E99E"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2,0 (1,5-3,0)</w:t>
            </w:r>
          </w:p>
        </w:tc>
        <w:tc>
          <w:tcPr>
            <w:tcW w:w="723" w:type="pct"/>
            <w:noWrap/>
            <w:hideMark/>
          </w:tcPr>
          <w:p w14:paraId="4A2012E9"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 xml:space="preserve"> 0</w:t>
            </w:r>
            <w:r>
              <w:rPr>
                <w:lang w:eastAsia="pt-BR"/>
              </w:rPr>
              <w:t>,</w:t>
            </w:r>
            <w:r w:rsidRPr="00E870BA">
              <w:rPr>
                <w:lang w:eastAsia="pt-BR"/>
              </w:rPr>
              <w:t>52</w:t>
            </w:r>
            <w:r>
              <w:rPr>
                <w:lang w:eastAsia="pt-BR"/>
              </w:rPr>
              <w:t>*</w:t>
            </w:r>
          </w:p>
        </w:tc>
      </w:tr>
      <w:tr w:rsidR="00665D92" w:rsidRPr="00E870BA" w14:paraId="23343600"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634B82B9" w14:textId="77777777" w:rsidR="00665D92" w:rsidRPr="00E870BA" w:rsidRDefault="00665D92" w:rsidP="007D026F">
            <w:pPr>
              <w:pStyle w:val="SemEspaamento"/>
              <w:rPr>
                <w:lang w:eastAsia="pt-BR"/>
              </w:rPr>
            </w:pPr>
            <w:r w:rsidRPr="00E870BA">
              <w:rPr>
                <w:lang w:eastAsia="pt-BR"/>
              </w:rPr>
              <w:t>Infertilidade primária</w:t>
            </w:r>
            <w:r>
              <w:rPr>
                <w:lang w:eastAsia="pt-BR"/>
              </w:rPr>
              <w:t>, n (%)</w:t>
            </w:r>
          </w:p>
        </w:tc>
        <w:tc>
          <w:tcPr>
            <w:tcW w:w="1062" w:type="pct"/>
            <w:noWrap/>
            <w:hideMark/>
          </w:tcPr>
          <w:p w14:paraId="62E2DC41"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c>
          <w:tcPr>
            <w:tcW w:w="942" w:type="pct"/>
            <w:noWrap/>
            <w:hideMark/>
          </w:tcPr>
          <w:p w14:paraId="34289CC7"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c>
          <w:tcPr>
            <w:tcW w:w="723" w:type="pct"/>
            <w:noWrap/>
            <w:hideMark/>
          </w:tcPr>
          <w:p w14:paraId="15135F1A"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 xml:space="preserve"> 0</w:t>
            </w:r>
            <w:r>
              <w:rPr>
                <w:lang w:eastAsia="pt-BR"/>
              </w:rPr>
              <w:t>,</w:t>
            </w:r>
            <w:r w:rsidRPr="00E870BA">
              <w:rPr>
                <w:lang w:eastAsia="pt-BR"/>
              </w:rPr>
              <w:t>77</w:t>
            </w:r>
            <w:r>
              <w:rPr>
                <w:lang w:eastAsia="pt-BR"/>
              </w:rPr>
              <w:t>**</w:t>
            </w:r>
          </w:p>
        </w:tc>
      </w:tr>
      <w:tr w:rsidR="00665D92" w:rsidRPr="00E870BA" w14:paraId="0A8611EF"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25085167" w14:textId="77777777" w:rsidR="00665D92" w:rsidRPr="00E870BA" w:rsidRDefault="00665D92" w:rsidP="007D026F">
            <w:pPr>
              <w:pStyle w:val="SemEspaamento"/>
              <w:rPr>
                <w:lang w:eastAsia="pt-BR"/>
              </w:rPr>
            </w:pPr>
            <w:r w:rsidRPr="00E870BA">
              <w:rPr>
                <w:lang w:eastAsia="pt-BR"/>
              </w:rPr>
              <w:t xml:space="preserve">   Não</w:t>
            </w:r>
          </w:p>
        </w:tc>
        <w:tc>
          <w:tcPr>
            <w:tcW w:w="1062" w:type="pct"/>
            <w:noWrap/>
            <w:hideMark/>
          </w:tcPr>
          <w:p w14:paraId="4B27A71F"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19 (54,3%)</w:t>
            </w:r>
          </w:p>
        </w:tc>
        <w:tc>
          <w:tcPr>
            <w:tcW w:w="942" w:type="pct"/>
            <w:noWrap/>
            <w:hideMark/>
          </w:tcPr>
          <w:p w14:paraId="4B432DC6"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8 (47,1%)</w:t>
            </w:r>
          </w:p>
        </w:tc>
        <w:tc>
          <w:tcPr>
            <w:tcW w:w="723" w:type="pct"/>
            <w:noWrap/>
            <w:hideMark/>
          </w:tcPr>
          <w:p w14:paraId="6B3FD2C7"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665D92" w:rsidRPr="00E870BA" w14:paraId="62B26F82"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546AB831" w14:textId="77777777" w:rsidR="00665D92" w:rsidRPr="00E870BA" w:rsidRDefault="00665D92" w:rsidP="007D026F">
            <w:pPr>
              <w:pStyle w:val="SemEspaamento"/>
              <w:rPr>
                <w:lang w:eastAsia="pt-BR"/>
              </w:rPr>
            </w:pPr>
            <w:r w:rsidRPr="00E870BA">
              <w:rPr>
                <w:lang w:eastAsia="pt-BR"/>
              </w:rPr>
              <w:t xml:space="preserve">   Sim</w:t>
            </w:r>
          </w:p>
        </w:tc>
        <w:tc>
          <w:tcPr>
            <w:tcW w:w="1062" w:type="pct"/>
            <w:noWrap/>
            <w:hideMark/>
          </w:tcPr>
          <w:p w14:paraId="1D291CC0"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16 (45,7%)</w:t>
            </w:r>
          </w:p>
        </w:tc>
        <w:tc>
          <w:tcPr>
            <w:tcW w:w="942" w:type="pct"/>
            <w:noWrap/>
            <w:hideMark/>
          </w:tcPr>
          <w:p w14:paraId="4D40A945"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9 (52,9%)</w:t>
            </w:r>
          </w:p>
        </w:tc>
        <w:tc>
          <w:tcPr>
            <w:tcW w:w="723" w:type="pct"/>
            <w:noWrap/>
            <w:hideMark/>
          </w:tcPr>
          <w:p w14:paraId="44AAACC2"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665D92" w:rsidRPr="00E870BA" w14:paraId="4DCF84E7"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726CB0AE" w14:textId="77777777" w:rsidR="00665D92" w:rsidRPr="00E870BA" w:rsidRDefault="00665D92" w:rsidP="007D026F">
            <w:pPr>
              <w:pStyle w:val="SemEspaamento"/>
              <w:rPr>
                <w:lang w:eastAsia="pt-BR"/>
              </w:rPr>
            </w:pPr>
            <w:r w:rsidRPr="00E870BA">
              <w:rPr>
                <w:lang w:eastAsia="pt-BR"/>
              </w:rPr>
              <w:t>HAM</w:t>
            </w:r>
            <w:r>
              <w:rPr>
                <w:lang w:eastAsia="pt-BR"/>
              </w:rPr>
              <w:t xml:space="preserve"> mediana (p25.p75)</w:t>
            </w:r>
          </w:p>
        </w:tc>
        <w:tc>
          <w:tcPr>
            <w:tcW w:w="1062" w:type="pct"/>
            <w:noWrap/>
            <w:hideMark/>
          </w:tcPr>
          <w:p w14:paraId="4EC2F6F9"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1,9 (0,8-2,6)</w:t>
            </w:r>
          </w:p>
        </w:tc>
        <w:tc>
          <w:tcPr>
            <w:tcW w:w="942" w:type="pct"/>
            <w:noWrap/>
            <w:hideMark/>
          </w:tcPr>
          <w:p w14:paraId="2889A0B9"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2,7 (1,4-4,6)</w:t>
            </w:r>
          </w:p>
        </w:tc>
        <w:tc>
          <w:tcPr>
            <w:tcW w:w="723" w:type="pct"/>
            <w:noWrap/>
            <w:hideMark/>
          </w:tcPr>
          <w:p w14:paraId="42E7B31F"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 xml:space="preserve"> 0</w:t>
            </w:r>
            <w:r>
              <w:rPr>
                <w:lang w:eastAsia="pt-BR"/>
              </w:rPr>
              <w:t>,</w:t>
            </w:r>
            <w:r w:rsidRPr="00E870BA">
              <w:rPr>
                <w:lang w:eastAsia="pt-BR"/>
              </w:rPr>
              <w:t>093</w:t>
            </w:r>
            <w:r>
              <w:rPr>
                <w:lang w:eastAsia="pt-BR"/>
              </w:rPr>
              <w:t>*</w:t>
            </w:r>
          </w:p>
        </w:tc>
      </w:tr>
    </w:tbl>
    <w:p w14:paraId="2D2A6730" w14:textId="77777777" w:rsidR="00665D92" w:rsidRPr="008E7DFA" w:rsidRDefault="00665D92" w:rsidP="00665D92">
      <w:r w:rsidRPr="008E7DFA">
        <w:lastRenderedPageBreak/>
        <w:t>*Mann-Whitney; *</w:t>
      </w:r>
      <w:r>
        <w:t>*</w:t>
      </w:r>
      <w:r w:rsidRPr="008E7DFA">
        <w:t xml:space="preserve">Teste de </w:t>
      </w:r>
      <w:proofErr w:type="spellStart"/>
      <w:r w:rsidRPr="008E7DFA">
        <w:t>Qui</w:t>
      </w:r>
      <w:proofErr w:type="spellEnd"/>
      <w:r w:rsidRPr="008E7DFA">
        <w:t>-quadrado. P.25; p.75: Percentis 25 e</w:t>
      </w:r>
      <w:r>
        <w:t xml:space="preserve"> 75%, respectivamente.</w:t>
      </w:r>
    </w:p>
    <w:p w14:paraId="4EC56B09" w14:textId="77777777" w:rsidR="00665D92" w:rsidRDefault="00665D92" w:rsidP="00665D92">
      <w:r w:rsidRPr="008E7DFA">
        <w:tab/>
      </w:r>
      <w:r w:rsidRPr="0097644A">
        <w:t>A</w:t>
      </w:r>
      <w:r w:rsidRPr="00DF0633">
        <w:t xml:space="preserve"> tabela 2</w:t>
      </w:r>
      <w:r w:rsidRPr="0097644A">
        <w:t xml:space="preserve"> descreve as medianas das características </w:t>
      </w:r>
      <w:r>
        <w:t xml:space="preserve">do ciclo de EOC mostrando que a duração do ciclo foi semelhante em ambos os grupos, 10 dias (9-12) no Grupo Antagonista e 10 dias (10-11) no Grupo </w:t>
      </w:r>
      <w:proofErr w:type="spellStart"/>
      <w:r>
        <w:t>Didrogesterona</w:t>
      </w:r>
      <w:proofErr w:type="spellEnd"/>
      <w:r>
        <w:t xml:space="preserve">. Também não houve diferença significativa nas doses utilizadas de gonadotrofina para EOC, sendo que a dose de Gonadotrofina menopáusica humana (HMG) foi de 1500UI (1350-2025) no Grupo Antagonista e 1500UI (1275-1950) no Grupo </w:t>
      </w:r>
      <w:proofErr w:type="spellStart"/>
      <w:r>
        <w:t>Didrogesterona</w:t>
      </w:r>
      <w:proofErr w:type="spellEnd"/>
      <w:r>
        <w:t xml:space="preserve"> e a dose de Hormônio Folículo estimulante recombinante (FSH-r) foi de 1425UI (1200-1800) no Grupo Antagonista e 1425UI (1125-1500) no Grupo </w:t>
      </w:r>
      <w:proofErr w:type="spellStart"/>
      <w:r>
        <w:t>Didrogesterona</w:t>
      </w:r>
      <w:proofErr w:type="spellEnd"/>
      <w:r>
        <w:t xml:space="preserve">. O número de folículos puncionados foi 13 (9-21) no Grupo Antagonista e 16 (9-22) no Grupo </w:t>
      </w:r>
      <w:proofErr w:type="spellStart"/>
      <w:r>
        <w:t>Didrogesterona</w:t>
      </w:r>
      <w:proofErr w:type="spellEnd"/>
      <w:r>
        <w:t xml:space="preserve">. Todas as medianas das variáveis descritas </w:t>
      </w:r>
      <w:r w:rsidRPr="001C72FB">
        <w:t xml:space="preserve">foram similares </w:t>
      </w:r>
      <w:r>
        <w:t>nos</w:t>
      </w:r>
      <w:r w:rsidRPr="001C72FB">
        <w:t xml:space="preserve"> os dois grupos (p&gt;0,05)</w:t>
      </w:r>
      <w:r>
        <w:t>.</w:t>
      </w:r>
    </w:p>
    <w:p w14:paraId="06A826DE" w14:textId="77777777" w:rsidR="00665D92" w:rsidRDefault="00665D92" w:rsidP="00665D92">
      <w:r w:rsidRPr="009B5FD0">
        <w:rPr>
          <w:b/>
          <w:bCs/>
        </w:rPr>
        <w:t>Tabela 2.</w:t>
      </w:r>
      <w:r>
        <w:t xml:space="preserve"> Características </w:t>
      </w:r>
      <w:r w:rsidRPr="008E7DFA">
        <w:t>do ciclo de estimulação ovariana controlada</w:t>
      </w:r>
      <w:r>
        <w:t xml:space="preserve"> entre os grupos estudados.</w:t>
      </w:r>
    </w:p>
    <w:tbl>
      <w:tblPr>
        <w:tblStyle w:val="formatada"/>
        <w:tblW w:w="5000" w:type="pct"/>
        <w:tblLook w:val="04A0" w:firstRow="1" w:lastRow="0" w:firstColumn="1" w:lastColumn="0" w:noHBand="0" w:noVBand="1"/>
      </w:tblPr>
      <w:tblGrid>
        <w:gridCol w:w="3076"/>
        <w:gridCol w:w="2672"/>
        <w:gridCol w:w="2672"/>
        <w:gridCol w:w="1212"/>
      </w:tblGrid>
      <w:tr w:rsidR="00665D92" w:rsidRPr="008E7DFA" w14:paraId="127C81CC" w14:textId="77777777" w:rsidTr="007D02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7BE7CA04" w14:textId="77777777" w:rsidR="00665D92" w:rsidRPr="008E7DFA" w:rsidRDefault="00665D92" w:rsidP="007D026F">
            <w:pPr>
              <w:pStyle w:val="SemEspaamento"/>
              <w:rPr>
                <w:rFonts w:eastAsia="Times New Roman" w:cs="Times New Roman"/>
                <w:lang w:eastAsia="pt-BR"/>
              </w:rPr>
            </w:pPr>
            <w:r w:rsidRPr="008E7DFA">
              <w:rPr>
                <w:rFonts w:cs="Times New Roman"/>
                <w:lang w:eastAsia="pt-BR"/>
              </w:rPr>
              <w:t>Variáveis</w:t>
            </w:r>
          </w:p>
        </w:tc>
        <w:tc>
          <w:tcPr>
            <w:tcW w:w="1387" w:type="pct"/>
            <w:noWrap/>
            <w:hideMark/>
          </w:tcPr>
          <w:p w14:paraId="063E0493" w14:textId="77777777" w:rsidR="00665D92" w:rsidRPr="008E7DFA"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A</w:t>
            </w:r>
            <w:r>
              <w:rPr>
                <w:rFonts w:eastAsia="Times New Roman" w:cs="Times New Roman"/>
                <w:lang w:eastAsia="pt-BR"/>
              </w:rPr>
              <w:t>ntagonista</w:t>
            </w:r>
          </w:p>
        </w:tc>
        <w:tc>
          <w:tcPr>
            <w:tcW w:w="1387" w:type="pct"/>
            <w:noWrap/>
            <w:hideMark/>
          </w:tcPr>
          <w:p w14:paraId="14423E77" w14:textId="77777777" w:rsidR="00665D92" w:rsidRPr="008E7DFA"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lang w:eastAsia="pt-BR"/>
              </w:rPr>
            </w:pPr>
            <w:proofErr w:type="spellStart"/>
            <w:r w:rsidRPr="008E7DFA">
              <w:rPr>
                <w:rFonts w:eastAsia="Times New Roman" w:cs="Times New Roman"/>
                <w:lang w:eastAsia="pt-BR"/>
              </w:rPr>
              <w:t>D</w:t>
            </w:r>
            <w:r>
              <w:rPr>
                <w:rFonts w:eastAsia="Times New Roman" w:cs="Times New Roman"/>
                <w:lang w:eastAsia="pt-BR"/>
              </w:rPr>
              <w:t>idrogesterona</w:t>
            </w:r>
            <w:proofErr w:type="spellEnd"/>
          </w:p>
        </w:tc>
        <w:tc>
          <w:tcPr>
            <w:tcW w:w="629" w:type="pct"/>
            <w:noWrap/>
            <w:hideMark/>
          </w:tcPr>
          <w:p w14:paraId="4C632483" w14:textId="77777777" w:rsidR="00665D92" w:rsidRPr="008E7DFA"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p-</w:t>
            </w:r>
            <w:proofErr w:type="spellStart"/>
            <w:r w:rsidRPr="008E7DFA">
              <w:rPr>
                <w:rFonts w:eastAsia="Times New Roman" w:cs="Times New Roman"/>
                <w:lang w:eastAsia="pt-BR"/>
              </w:rPr>
              <w:t>value</w:t>
            </w:r>
            <w:proofErr w:type="spellEnd"/>
            <w:r>
              <w:rPr>
                <w:rFonts w:eastAsia="Times New Roman" w:cs="Times New Roman"/>
                <w:lang w:eastAsia="pt-BR"/>
              </w:rPr>
              <w:t>*</w:t>
            </w:r>
          </w:p>
        </w:tc>
      </w:tr>
      <w:tr w:rsidR="00665D92" w:rsidRPr="008E7DFA" w14:paraId="14218C59"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4D8C182B" w14:textId="77777777" w:rsidR="00665D92" w:rsidRPr="008E7DFA" w:rsidRDefault="00665D92" w:rsidP="007D026F">
            <w:pPr>
              <w:pStyle w:val="SemEspaamento"/>
              <w:rPr>
                <w:rFonts w:eastAsia="Times New Roman" w:cs="Times New Roman"/>
                <w:lang w:eastAsia="pt-BR"/>
              </w:rPr>
            </w:pPr>
          </w:p>
        </w:tc>
        <w:tc>
          <w:tcPr>
            <w:tcW w:w="2774" w:type="pct"/>
            <w:gridSpan w:val="2"/>
            <w:noWrap/>
            <w:hideMark/>
          </w:tcPr>
          <w:p w14:paraId="12881825"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Mediana (p.25; p.75) </w:t>
            </w:r>
          </w:p>
        </w:tc>
        <w:tc>
          <w:tcPr>
            <w:tcW w:w="629" w:type="pct"/>
            <w:noWrap/>
            <w:hideMark/>
          </w:tcPr>
          <w:p w14:paraId="0A12F3D9"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p>
        </w:tc>
      </w:tr>
      <w:tr w:rsidR="00665D92" w:rsidRPr="008E7DFA" w14:paraId="66104EDC"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tcPr>
          <w:p w14:paraId="6611F4DE" w14:textId="77777777" w:rsidR="00665D92" w:rsidRPr="008E7DFA" w:rsidRDefault="00665D92" w:rsidP="007D026F">
            <w:pPr>
              <w:pStyle w:val="SemEspaamento"/>
              <w:rPr>
                <w:rFonts w:eastAsia="Times New Roman" w:cs="Times New Roman"/>
                <w:lang w:eastAsia="pt-BR"/>
              </w:rPr>
            </w:pPr>
            <w:r>
              <w:rPr>
                <w:rFonts w:eastAsia="Times New Roman" w:cs="Times New Roman"/>
                <w:lang w:eastAsia="pt-BR"/>
              </w:rPr>
              <w:t>Duração do ciclo (dias)</w:t>
            </w:r>
          </w:p>
        </w:tc>
        <w:tc>
          <w:tcPr>
            <w:tcW w:w="1387" w:type="pct"/>
            <w:noWrap/>
          </w:tcPr>
          <w:p w14:paraId="59EBCDE0"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4427E4">
              <w:rPr>
                <w:rFonts w:eastAsia="Times New Roman" w:cs="Times New Roman"/>
                <w:lang w:eastAsia="pt-BR"/>
              </w:rPr>
              <w:t>10,0 (9,0-12,0)</w:t>
            </w:r>
          </w:p>
        </w:tc>
        <w:tc>
          <w:tcPr>
            <w:tcW w:w="1387" w:type="pct"/>
            <w:noWrap/>
          </w:tcPr>
          <w:p w14:paraId="4645F36D"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4427E4">
              <w:rPr>
                <w:rFonts w:eastAsia="Times New Roman" w:cs="Times New Roman"/>
                <w:lang w:eastAsia="pt-BR"/>
              </w:rPr>
              <w:t xml:space="preserve">  10,0 (10,0-11,0)</w:t>
            </w:r>
          </w:p>
        </w:tc>
        <w:tc>
          <w:tcPr>
            <w:tcW w:w="629" w:type="pct"/>
            <w:noWrap/>
          </w:tcPr>
          <w:p w14:paraId="04986967"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Pr>
                <w:rFonts w:eastAsia="Times New Roman" w:cs="Times New Roman"/>
                <w:lang w:eastAsia="pt-BR"/>
              </w:rPr>
              <w:t>0,79</w:t>
            </w:r>
          </w:p>
        </w:tc>
      </w:tr>
      <w:tr w:rsidR="00665D92" w:rsidRPr="008E7DFA" w14:paraId="1F06FE4F"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tcPr>
          <w:p w14:paraId="1AAE41D7" w14:textId="77777777" w:rsidR="00665D92" w:rsidRPr="008E7DFA" w:rsidRDefault="00665D92" w:rsidP="007D026F">
            <w:pPr>
              <w:pStyle w:val="SemEspaamento"/>
              <w:rPr>
                <w:rFonts w:eastAsia="Times New Roman" w:cs="Times New Roman"/>
                <w:lang w:eastAsia="pt-BR"/>
              </w:rPr>
            </w:pPr>
            <w:r w:rsidRPr="008E7DFA">
              <w:rPr>
                <w:rFonts w:eastAsia="Times New Roman" w:cs="Times New Roman"/>
                <w:lang w:eastAsia="pt-BR"/>
              </w:rPr>
              <w:t xml:space="preserve">Dose HMG </w:t>
            </w:r>
            <w:proofErr w:type="spellStart"/>
            <w:r w:rsidRPr="008E7DFA">
              <w:rPr>
                <w:rFonts w:eastAsia="Times New Roman" w:cs="Times New Roman"/>
                <w:lang w:eastAsia="pt-BR"/>
              </w:rPr>
              <w:t>menotropina</w:t>
            </w:r>
            <w:proofErr w:type="spellEnd"/>
          </w:p>
        </w:tc>
        <w:tc>
          <w:tcPr>
            <w:tcW w:w="1387" w:type="pct"/>
            <w:noWrap/>
          </w:tcPr>
          <w:p w14:paraId="2A208882"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1500,0 (1350,0-2025,0)</w:t>
            </w:r>
          </w:p>
        </w:tc>
        <w:tc>
          <w:tcPr>
            <w:tcW w:w="1387" w:type="pct"/>
            <w:noWrap/>
          </w:tcPr>
          <w:p w14:paraId="3D21ADEE"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1500,0 (1275,0-1950,0)</w:t>
            </w:r>
          </w:p>
        </w:tc>
        <w:tc>
          <w:tcPr>
            <w:tcW w:w="629" w:type="pct"/>
            <w:noWrap/>
          </w:tcPr>
          <w:p w14:paraId="501A60F9"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91</w:t>
            </w:r>
          </w:p>
        </w:tc>
      </w:tr>
      <w:tr w:rsidR="00665D92" w:rsidRPr="008E7DFA" w14:paraId="4E2E7C68"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6A56EBF9" w14:textId="77777777" w:rsidR="00665D92" w:rsidRPr="008E7DFA" w:rsidRDefault="00665D92" w:rsidP="007D026F">
            <w:pPr>
              <w:pStyle w:val="SemEspaamento"/>
              <w:rPr>
                <w:rFonts w:eastAsia="Times New Roman" w:cs="Times New Roman"/>
                <w:lang w:eastAsia="pt-BR"/>
              </w:rPr>
            </w:pPr>
            <w:r w:rsidRPr="008E7DFA">
              <w:rPr>
                <w:rFonts w:eastAsia="Times New Roman" w:cs="Times New Roman"/>
                <w:lang w:eastAsia="pt-BR"/>
              </w:rPr>
              <w:t xml:space="preserve">Dose FSH-r </w:t>
            </w:r>
            <w:proofErr w:type="spellStart"/>
            <w:r w:rsidRPr="008E7DFA">
              <w:rPr>
                <w:rFonts w:eastAsia="Times New Roman" w:cs="Times New Roman"/>
                <w:lang w:eastAsia="pt-BR"/>
              </w:rPr>
              <w:t>alfafolitropina</w:t>
            </w:r>
            <w:proofErr w:type="spellEnd"/>
          </w:p>
        </w:tc>
        <w:tc>
          <w:tcPr>
            <w:tcW w:w="1387" w:type="pct"/>
            <w:noWrap/>
            <w:hideMark/>
          </w:tcPr>
          <w:p w14:paraId="23A7900B"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1425,0 (1200,0-1800,0)</w:t>
            </w:r>
          </w:p>
        </w:tc>
        <w:tc>
          <w:tcPr>
            <w:tcW w:w="1387" w:type="pct"/>
            <w:noWrap/>
            <w:hideMark/>
          </w:tcPr>
          <w:p w14:paraId="6E4DAEA4"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1425,0 (1125,0-1500,0)</w:t>
            </w:r>
          </w:p>
        </w:tc>
        <w:tc>
          <w:tcPr>
            <w:tcW w:w="629" w:type="pct"/>
            <w:noWrap/>
            <w:hideMark/>
          </w:tcPr>
          <w:p w14:paraId="3531AFB5"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80</w:t>
            </w:r>
          </w:p>
        </w:tc>
      </w:tr>
      <w:tr w:rsidR="00665D92" w:rsidRPr="008E7DFA" w14:paraId="7EBB4A01"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686790D3" w14:textId="77777777" w:rsidR="00665D92" w:rsidRPr="008E7DFA" w:rsidRDefault="00665D92" w:rsidP="007D026F">
            <w:pPr>
              <w:pStyle w:val="SemEspaamento"/>
              <w:rPr>
                <w:rFonts w:eastAsia="Times New Roman" w:cs="Times New Roman"/>
                <w:lang w:eastAsia="pt-BR"/>
              </w:rPr>
            </w:pPr>
            <w:r w:rsidRPr="008E7DFA">
              <w:rPr>
                <w:rFonts w:eastAsia="Times New Roman" w:cs="Times New Roman"/>
                <w:lang w:eastAsia="pt-BR"/>
              </w:rPr>
              <w:t>Folículos puncionados</w:t>
            </w:r>
          </w:p>
        </w:tc>
        <w:tc>
          <w:tcPr>
            <w:tcW w:w="1387" w:type="pct"/>
            <w:noWrap/>
            <w:hideMark/>
          </w:tcPr>
          <w:p w14:paraId="682BCFD5"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13,0 (9,0-21,0)</w:t>
            </w:r>
          </w:p>
        </w:tc>
        <w:tc>
          <w:tcPr>
            <w:tcW w:w="1387" w:type="pct"/>
            <w:noWrap/>
            <w:hideMark/>
          </w:tcPr>
          <w:p w14:paraId="73D10EC5"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16,0 (9,0-22,0)</w:t>
            </w:r>
          </w:p>
        </w:tc>
        <w:tc>
          <w:tcPr>
            <w:tcW w:w="629" w:type="pct"/>
            <w:noWrap/>
            <w:hideMark/>
          </w:tcPr>
          <w:p w14:paraId="36308717"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66</w:t>
            </w:r>
          </w:p>
        </w:tc>
      </w:tr>
    </w:tbl>
    <w:p w14:paraId="72130198" w14:textId="77777777" w:rsidR="00665D92" w:rsidRDefault="00665D92" w:rsidP="00665D92">
      <w:r w:rsidRPr="00741F17">
        <w:t>*Mann-Whitney; Percentis 25 e 75%, respectivamente.</w:t>
      </w:r>
    </w:p>
    <w:p w14:paraId="5E312086" w14:textId="77777777" w:rsidR="00665D92" w:rsidRDefault="00665D92" w:rsidP="00665D92">
      <w:r>
        <w:tab/>
        <w:t xml:space="preserve">As características laboratoriais dos ciclos de EOC foram descritas na </w:t>
      </w:r>
      <w:r w:rsidRPr="009B5FD0">
        <w:rPr>
          <w:b/>
          <w:bCs/>
        </w:rPr>
        <w:t xml:space="preserve">tabela </w:t>
      </w:r>
      <w:r>
        <w:rPr>
          <w:b/>
          <w:bCs/>
        </w:rPr>
        <w:t>3</w:t>
      </w:r>
      <w:r>
        <w:t xml:space="preserve"> e expressas em mediana. O número de </w:t>
      </w:r>
      <w:proofErr w:type="spellStart"/>
      <w:r>
        <w:t>oócitos</w:t>
      </w:r>
      <w:proofErr w:type="spellEnd"/>
      <w:r>
        <w:t xml:space="preserve"> recuperados foi 10 (6-15) no Grupo Antagonista e 10 (10-11) no Grupo </w:t>
      </w:r>
      <w:proofErr w:type="spellStart"/>
      <w:r>
        <w:t>Didrogesterona</w:t>
      </w:r>
      <w:proofErr w:type="spellEnd"/>
      <w:r>
        <w:t xml:space="preserve">. O número de M2, M1 e VG no Grupo Antagonista foi de 8 (4-12), 0 (0-1) e 1 (0-3) respectivamente e no Grupo </w:t>
      </w:r>
      <w:proofErr w:type="spellStart"/>
      <w:r>
        <w:t>Didrogesterona</w:t>
      </w:r>
      <w:proofErr w:type="spellEnd"/>
      <w:r>
        <w:t xml:space="preserve"> foi de 10 (5-12), 0 (0-1) e 1 (0-4) respectivamente. Quanto a taxa de fertilização, foi de 80% (68,8-88,9) no Grupo Antagonista e 80% (71,4-91,7) no Grupo </w:t>
      </w:r>
      <w:proofErr w:type="spellStart"/>
      <w:r>
        <w:t>Didrogesterona</w:t>
      </w:r>
      <w:proofErr w:type="spellEnd"/>
      <w:r>
        <w:t xml:space="preserve">. No Grupo Antagonista foi encontrado 62,5% (41,7 - 90) de taxa de blastocistos e no Grupo </w:t>
      </w:r>
      <w:proofErr w:type="spellStart"/>
      <w:r>
        <w:t>Didrogesterona</w:t>
      </w:r>
      <w:proofErr w:type="spellEnd"/>
      <w:r>
        <w:t xml:space="preserve"> 50 % (42,9-80). Todas as medianas das variáveis descritas </w:t>
      </w:r>
      <w:r w:rsidRPr="001C72FB">
        <w:t xml:space="preserve">foram similares </w:t>
      </w:r>
      <w:r>
        <w:t>nos</w:t>
      </w:r>
      <w:r w:rsidRPr="001C72FB">
        <w:t xml:space="preserve"> os dois grupos (p&gt;0,05)</w:t>
      </w:r>
      <w:r>
        <w:t>.</w:t>
      </w:r>
    </w:p>
    <w:p w14:paraId="1DB99BB5" w14:textId="77777777" w:rsidR="00665D92" w:rsidRDefault="00665D92" w:rsidP="00665D92">
      <w:r w:rsidRPr="009B5FD0">
        <w:rPr>
          <w:b/>
          <w:bCs/>
        </w:rPr>
        <w:t>Tabela 3.</w:t>
      </w:r>
      <w:r>
        <w:t xml:space="preserve"> Características laboratoriais entre os grupos estudados.</w:t>
      </w:r>
    </w:p>
    <w:tbl>
      <w:tblPr>
        <w:tblStyle w:val="formatada"/>
        <w:tblW w:w="5000" w:type="pct"/>
        <w:tblLook w:val="04A0" w:firstRow="1" w:lastRow="0" w:firstColumn="1" w:lastColumn="0" w:noHBand="0" w:noVBand="1"/>
      </w:tblPr>
      <w:tblGrid>
        <w:gridCol w:w="3076"/>
        <w:gridCol w:w="2672"/>
        <w:gridCol w:w="2672"/>
        <w:gridCol w:w="1212"/>
      </w:tblGrid>
      <w:tr w:rsidR="00665D92" w:rsidRPr="00455E19" w14:paraId="7EC8FB8E" w14:textId="77777777" w:rsidTr="007D02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pct"/>
            <w:noWrap/>
            <w:hideMark/>
          </w:tcPr>
          <w:p w14:paraId="74973F39" w14:textId="77777777" w:rsidR="00665D92" w:rsidRPr="00A40276" w:rsidRDefault="00665D92" w:rsidP="007D026F">
            <w:pPr>
              <w:pStyle w:val="SemEspaamento"/>
              <w:rPr>
                <w:rFonts w:eastAsia="Times New Roman" w:cs="Times New Roman"/>
                <w:bCs/>
                <w:lang w:eastAsia="pt-BR"/>
              </w:rPr>
            </w:pPr>
            <w:r w:rsidRPr="00A40276">
              <w:rPr>
                <w:rFonts w:cs="Times New Roman"/>
                <w:bCs/>
                <w:lang w:eastAsia="pt-BR"/>
              </w:rPr>
              <w:t>Variáveis</w:t>
            </w:r>
          </w:p>
        </w:tc>
        <w:tc>
          <w:tcPr>
            <w:tcW w:w="0" w:type="pct"/>
            <w:noWrap/>
            <w:hideMark/>
          </w:tcPr>
          <w:p w14:paraId="6961710E" w14:textId="77777777" w:rsidR="00665D92" w:rsidRPr="00A40276"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bCs/>
                <w:lang w:eastAsia="pt-BR"/>
              </w:rPr>
            </w:pPr>
            <w:r w:rsidRPr="00A40276">
              <w:rPr>
                <w:rFonts w:eastAsia="Times New Roman" w:cs="Times New Roman"/>
                <w:bCs/>
                <w:lang w:eastAsia="pt-BR"/>
              </w:rPr>
              <w:t>Antagonista</w:t>
            </w:r>
          </w:p>
        </w:tc>
        <w:tc>
          <w:tcPr>
            <w:tcW w:w="0" w:type="pct"/>
            <w:noWrap/>
            <w:hideMark/>
          </w:tcPr>
          <w:p w14:paraId="5A3B0FF5" w14:textId="77777777" w:rsidR="00665D92" w:rsidRPr="00A40276"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bCs/>
                <w:lang w:eastAsia="pt-BR"/>
              </w:rPr>
            </w:pPr>
            <w:proofErr w:type="spellStart"/>
            <w:r w:rsidRPr="00A40276">
              <w:rPr>
                <w:rFonts w:eastAsia="Times New Roman" w:cs="Times New Roman"/>
                <w:bCs/>
                <w:lang w:eastAsia="pt-BR"/>
              </w:rPr>
              <w:t>Didrogesterona</w:t>
            </w:r>
            <w:proofErr w:type="spellEnd"/>
          </w:p>
        </w:tc>
        <w:tc>
          <w:tcPr>
            <w:tcW w:w="0" w:type="pct"/>
            <w:noWrap/>
            <w:hideMark/>
          </w:tcPr>
          <w:p w14:paraId="26E01D18" w14:textId="77777777" w:rsidR="00665D92" w:rsidRPr="00A40276"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bCs/>
                <w:lang w:eastAsia="pt-BR"/>
              </w:rPr>
            </w:pPr>
            <w:r w:rsidRPr="00A40276">
              <w:rPr>
                <w:rFonts w:eastAsia="Times New Roman" w:cs="Times New Roman"/>
                <w:bCs/>
                <w:lang w:eastAsia="pt-BR"/>
              </w:rPr>
              <w:t>p-</w:t>
            </w:r>
            <w:proofErr w:type="spellStart"/>
            <w:r w:rsidRPr="00A40276">
              <w:rPr>
                <w:rFonts w:eastAsia="Times New Roman" w:cs="Times New Roman"/>
                <w:bCs/>
                <w:lang w:eastAsia="pt-BR"/>
              </w:rPr>
              <w:t>value</w:t>
            </w:r>
            <w:proofErr w:type="spellEnd"/>
            <w:r w:rsidRPr="00A40276">
              <w:rPr>
                <w:rFonts w:eastAsia="Times New Roman" w:cs="Times New Roman"/>
                <w:bCs/>
                <w:lang w:eastAsia="pt-BR"/>
              </w:rPr>
              <w:t>*</w:t>
            </w:r>
          </w:p>
        </w:tc>
      </w:tr>
      <w:tr w:rsidR="00665D92" w:rsidRPr="00455E19" w14:paraId="7D8FEB18"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tcBorders>
              <w:top w:val="single" w:sz="4" w:space="0" w:color="auto"/>
              <w:bottom w:val="nil"/>
            </w:tcBorders>
            <w:noWrap/>
          </w:tcPr>
          <w:p w14:paraId="7F676E9E" w14:textId="77777777" w:rsidR="00665D92" w:rsidRPr="00455E19" w:rsidRDefault="00665D92" w:rsidP="007D026F">
            <w:pPr>
              <w:pStyle w:val="SemEspaamento"/>
              <w:rPr>
                <w:rFonts w:cs="Times New Roman"/>
                <w:b/>
                <w:bCs/>
                <w:lang w:eastAsia="pt-BR"/>
              </w:rPr>
            </w:pPr>
          </w:p>
        </w:tc>
        <w:tc>
          <w:tcPr>
            <w:tcW w:w="2774" w:type="pct"/>
            <w:gridSpan w:val="2"/>
            <w:tcBorders>
              <w:top w:val="single" w:sz="4" w:space="0" w:color="auto"/>
              <w:bottom w:val="nil"/>
            </w:tcBorders>
            <w:noWrap/>
          </w:tcPr>
          <w:p w14:paraId="3E0BA34D" w14:textId="77777777" w:rsidR="00665D92" w:rsidRPr="00455E19"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b/>
                <w:bCs/>
                <w:lang w:eastAsia="pt-BR"/>
              </w:rPr>
            </w:pPr>
            <w:r w:rsidRPr="008E7DFA">
              <w:rPr>
                <w:rFonts w:eastAsia="Times New Roman" w:cs="Times New Roman"/>
                <w:lang w:eastAsia="pt-BR"/>
              </w:rPr>
              <w:t>Mediana (p.25; p.75)</w:t>
            </w:r>
          </w:p>
        </w:tc>
        <w:tc>
          <w:tcPr>
            <w:tcW w:w="629" w:type="pct"/>
            <w:tcBorders>
              <w:top w:val="single" w:sz="4" w:space="0" w:color="auto"/>
              <w:bottom w:val="nil"/>
            </w:tcBorders>
            <w:noWrap/>
          </w:tcPr>
          <w:p w14:paraId="5F849D35" w14:textId="77777777" w:rsidR="00665D92" w:rsidRPr="00455E19"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b/>
                <w:bCs/>
                <w:lang w:eastAsia="pt-BR"/>
              </w:rPr>
            </w:pPr>
          </w:p>
        </w:tc>
      </w:tr>
      <w:tr w:rsidR="00665D92" w:rsidRPr="008E7DFA" w14:paraId="51837BB4"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0" w:type="pct"/>
            <w:tcBorders>
              <w:top w:val="nil"/>
            </w:tcBorders>
            <w:noWrap/>
          </w:tcPr>
          <w:p w14:paraId="153AE6B1" w14:textId="77777777" w:rsidR="00665D92" w:rsidRPr="008E7DFA" w:rsidRDefault="00665D92" w:rsidP="007D026F">
            <w:pPr>
              <w:pStyle w:val="SemEspaamento"/>
              <w:rPr>
                <w:rFonts w:eastAsia="Times New Roman" w:cs="Times New Roman"/>
                <w:lang w:eastAsia="pt-BR"/>
              </w:rPr>
            </w:pPr>
            <w:proofErr w:type="spellStart"/>
            <w:r w:rsidRPr="008E7DFA">
              <w:rPr>
                <w:rFonts w:eastAsia="Times New Roman" w:cs="Times New Roman"/>
                <w:lang w:eastAsia="pt-BR"/>
              </w:rPr>
              <w:t>Oócitos</w:t>
            </w:r>
            <w:proofErr w:type="spellEnd"/>
            <w:r w:rsidRPr="008E7DFA">
              <w:rPr>
                <w:rFonts w:eastAsia="Times New Roman" w:cs="Times New Roman"/>
                <w:lang w:eastAsia="pt-BR"/>
              </w:rPr>
              <w:t xml:space="preserve"> recuperados</w:t>
            </w:r>
          </w:p>
        </w:tc>
        <w:tc>
          <w:tcPr>
            <w:tcW w:w="0" w:type="pct"/>
            <w:tcBorders>
              <w:top w:val="nil"/>
            </w:tcBorders>
            <w:noWrap/>
          </w:tcPr>
          <w:p w14:paraId="0FB0C83B"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10,0 (6,0-15,0)</w:t>
            </w:r>
          </w:p>
        </w:tc>
        <w:tc>
          <w:tcPr>
            <w:tcW w:w="0" w:type="pct"/>
            <w:tcBorders>
              <w:top w:val="nil"/>
            </w:tcBorders>
            <w:noWrap/>
          </w:tcPr>
          <w:p w14:paraId="0BFE2E31"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10,0 (7,0-19,0)</w:t>
            </w:r>
          </w:p>
        </w:tc>
        <w:tc>
          <w:tcPr>
            <w:tcW w:w="0" w:type="pct"/>
            <w:tcBorders>
              <w:top w:val="nil"/>
            </w:tcBorders>
            <w:noWrap/>
          </w:tcPr>
          <w:p w14:paraId="313ECE77"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46</w:t>
            </w:r>
          </w:p>
        </w:tc>
      </w:tr>
      <w:tr w:rsidR="00665D92" w:rsidRPr="008E7DFA" w14:paraId="1424B35E"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3C2D8561" w14:textId="77777777" w:rsidR="00665D92" w:rsidRPr="008E7DFA" w:rsidRDefault="00665D92" w:rsidP="007D026F">
            <w:pPr>
              <w:pStyle w:val="SemEspaamento"/>
              <w:rPr>
                <w:rFonts w:eastAsia="Times New Roman" w:cs="Times New Roman"/>
                <w:lang w:eastAsia="pt-BR"/>
              </w:rPr>
            </w:pPr>
            <w:proofErr w:type="spellStart"/>
            <w:r w:rsidRPr="008E7DFA">
              <w:rPr>
                <w:rFonts w:eastAsia="Times New Roman" w:cs="Times New Roman"/>
                <w:lang w:eastAsia="pt-BR"/>
              </w:rPr>
              <w:t>Oócitos</w:t>
            </w:r>
            <w:proofErr w:type="spellEnd"/>
            <w:r w:rsidRPr="008E7DFA">
              <w:rPr>
                <w:rFonts w:eastAsia="Times New Roman" w:cs="Times New Roman"/>
                <w:lang w:eastAsia="pt-BR"/>
              </w:rPr>
              <w:t xml:space="preserve"> M</w:t>
            </w:r>
            <w:r>
              <w:rPr>
                <w:rFonts w:eastAsia="Times New Roman" w:cs="Times New Roman"/>
                <w:lang w:eastAsia="pt-BR"/>
              </w:rPr>
              <w:t>2</w:t>
            </w:r>
          </w:p>
        </w:tc>
        <w:tc>
          <w:tcPr>
            <w:tcW w:w="1387" w:type="pct"/>
            <w:noWrap/>
            <w:hideMark/>
          </w:tcPr>
          <w:p w14:paraId="39629DAD"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8,0 (4,0-12,0)</w:t>
            </w:r>
          </w:p>
        </w:tc>
        <w:tc>
          <w:tcPr>
            <w:tcW w:w="1387" w:type="pct"/>
            <w:noWrap/>
            <w:hideMark/>
          </w:tcPr>
          <w:p w14:paraId="1747BB9C"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10,0 (5,0-12,0)</w:t>
            </w:r>
          </w:p>
        </w:tc>
        <w:tc>
          <w:tcPr>
            <w:tcW w:w="629" w:type="pct"/>
            <w:noWrap/>
            <w:hideMark/>
          </w:tcPr>
          <w:p w14:paraId="35F50745"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48</w:t>
            </w:r>
          </w:p>
        </w:tc>
      </w:tr>
      <w:tr w:rsidR="00665D92" w:rsidRPr="008E7DFA" w14:paraId="5F827F73"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5F01D3B2" w14:textId="77777777" w:rsidR="00665D92" w:rsidRPr="008E7DFA" w:rsidRDefault="00665D92" w:rsidP="007D026F">
            <w:pPr>
              <w:pStyle w:val="SemEspaamento"/>
              <w:rPr>
                <w:rFonts w:eastAsia="Times New Roman" w:cs="Times New Roman"/>
                <w:lang w:eastAsia="pt-BR"/>
              </w:rPr>
            </w:pPr>
            <w:proofErr w:type="spellStart"/>
            <w:r w:rsidRPr="008E7DFA">
              <w:rPr>
                <w:rFonts w:eastAsia="Times New Roman" w:cs="Times New Roman"/>
                <w:lang w:eastAsia="pt-BR"/>
              </w:rPr>
              <w:t>Oócitos</w:t>
            </w:r>
            <w:proofErr w:type="spellEnd"/>
            <w:r w:rsidRPr="008E7DFA">
              <w:rPr>
                <w:rFonts w:eastAsia="Times New Roman" w:cs="Times New Roman"/>
                <w:lang w:eastAsia="pt-BR"/>
              </w:rPr>
              <w:t xml:space="preserve"> M</w:t>
            </w:r>
            <w:r>
              <w:rPr>
                <w:rFonts w:eastAsia="Times New Roman" w:cs="Times New Roman"/>
                <w:lang w:eastAsia="pt-BR"/>
              </w:rPr>
              <w:t>1</w:t>
            </w:r>
          </w:p>
        </w:tc>
        <w:tc>
          <w:tcPr>
            <w:tcW w:w="1387" w:type="pct"/>
            <w:noWrap/>
            <w:hideMark/>
          </w:tcPr>
          <w:p w14:paraId="6423367E"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0,0 (0,0-1,0)</w:t>
            </w:r>
          </w:p>
        </w:tc>
        <w:tc>
          <w:tcPr>
            <w:tcW w:w="1387" w:type="pct"/>
            <w:noWrap/>
            <w:hideMark/>
          </w:tcPr>
          <w:p w14:paraId="35EE7004"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0,0 (0,0-1,0)</w:t>
            </w:r>
          </w:p>
        </w:tc>
        <w:tc>
          <w:tcPr>
            <w:tcW w:w="629" w:type="pct"/>
            <w:noWrap/>
            <w:hideMark/>
          </w:tcPr>
          <w:p w14:paraId="174C270B"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55</w:t>
            </w:r>
          </w:p>
        </w:tc>
      </w:tr>
      <w:tr w:rsidR="00665D92" w:rsidRPr="008E7DFA" w14:paraId="72F3F24A"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2C60504C" w14:textId="77777777" w:rsidR="00665D92" w:rsidRPr="008E7DFA" w:rsidRDefault="00665D92" w:rsidP="007D026F">
            <w:pPr>
              <w:pStyle w:val="SemEspaamento"/>
              <w:rPr>
                <w:rFonts w:eastAsia="Times New Roman" w:cs="Times New Roman"/>
                <w:lang w:eastAsia="pt-BR"/>
              </w:rPr>
            </w:pPr>
            <w:proofErr w:type="spellStart"/>
            <w:r w:rsidRPr="008E7DFA">
              <w:rPr>
                <w:rFonts w:eastAsia="Times New Roman" w:cs="Times New Roman"/>
                <w:lang w:eastAsia="pt-BR"/>
              </w:rPr>
              <w:t>Oócitos</w:t>
            </w:r>
            <w:proofErr w:type="spellEnd"/>
            <w:r w:rsidRPr="008E7DFA">
              <w:rPr>
                <w:rFonts w:eastAsia="Times New Roman" w:cs="Times New Roman"/>
                <w:lang w:eastAsia="pt-BR"/>
              </w:rPr>
              <w:t xml:space="preserve"> </w:t>
            </w:r>
            <w:r>
              <w:rPr>
                <w:rFonts w:eastAsia="Times New Roman" w:cs="Times New Roman"/>
                <w:lang w:eastAsia="pt-BR"/>
              </w:rPr>
              <w:t>VG</w:t>
            </w:r>
          </w:p>
        </w:tc>
        <w:tc>
          <w:tcPr>
            <w:tcW w:w="1387" w:type="pct"/>
            <w:noWrap/>
            <w:hideMark/>
          </w:tcPr>
          <w:p w14:paraId="05F52E35"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1,0 (0,0-3,0)</w:t>
            </w:r>
          </w:p>
        </w:tc>
        <w:tc>
          <w:tcPr>
            <w:tcW w:w="1387" w:type="pct"/>
            <w:noWrap/>
            <w:hideMark/>
          </w:tcPr>
          <w:p w14:paraId="29FA5C61"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1,0 (0,0-4,0)</w:t>
            </w:r>
          </w:p>
        </w:tc>
        <w:tc>
          <w:tcPr>
            <w:tcW w:w="629" w:type="pct"/>
            <w:noWrap/>
            <w:hideMark/>
          </w:tcPr>
          <w:p w14:paraId="04B6C6C4"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86</w:t>
            </w:r>
          </w:p>
        </w:tc>
      </w:tr>
      <w:tr w:rsidR="00665D92" w:rsidRPr="008E7DFA" w14:paraId="57F09046"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13A2FDB7" w14:textId="77777777" w:rsidR="00665D92" w:rsidRPr="008E7DFA" w:rsidRDefault="00665D92" w:rsidP="007D026F">
            <w:pPr>
              <w:pStyle w:val="SemEspaamento"/>
              <w:rPr>
                <w:rFonts w:eastAsia="Times New Roman" w:cs="Times New Roman"/>
                <w:lang w:eastAsia="pt-BR"/>
              </w:rPr>
            </w:pPr>
            <w:r w:rsidRPr="008E7DFA">
              <w:rPr>
                <w:rFonts w:eastAsia="Times New Roman" w:cs="Times New Roman"/>
                <w:lang w:eastAsia="pt-BR"/>
              </w:rPr>
              <w:t>Taxa de fertilização</w:t>
            </w:r>
          </w:p>
        </w:tc>
        <w:tc>
          <w:tcPr>
            <w:tcW w:w="1387" w:type="pct"/>
            <w:noWrap/>
            <w:hideMark/>
          </w:tcPr>
          <w:p w14:paraId="6EEC20A2"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80,0 (</w:t>
            </w:r>
            <w:r>
              <w:rPr>
                <w:rFonts w:eastAsia="Times New Roman" w:cs="Times New Roman"/>
                <w:lang w:eastAsia="pt-BR"/>
              </w:rPr>
              <w:t>70,0</w:t>
            </w:r>
            <w:r w:rsidRPr="008E7DFA">
              <w:rPr>
                <w:rFonts w:eastAsia="Times New Roman" w:cs="Times New Roman"/>
                <w:lang w:eastAsia="pt-BR"/>
              </w:rPr>
              <w:t>-</w:t>
            </w:r>
            <w:r>
              <w:rPr>
                <w:rFonts w:eastAsia="Times New Roman" w:cs="Times New Roman"/>
                <w:lang w:eastAsia="pt-BR"/>
              </w:rPr>
              <w:t>92,9</w:t>
            </w:r>
            <w:r w:rsidRPr="008E7DFA">
              <w:rPr>
                <w:rFonts w:eastAsia="Times New Roman" w:cs="Times New Roman"/>
                <w:lang w:eastAsia="pt-BR"/>
              </w:rPr>
              <w:t>)</w:t>
            </w:r>
          </w:p>
        </w:tc>
        <w:tc>
          <w:tcPr>
            <w:tcW w:w="1387" w:type="pct"/>
            <w:noWrap/>
            <w:hideMark/>
          </w:tcPr>
          <w:p w14:paraId="73ACC7CE"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80,0 (71,4-91,7)</w:t>
            </w:r>
          </w:p>
        </w:tc>
        <w:tc>
          <w:tcPr>
            <w:tcW w:w="629" w:type="pct"/>
            <w:noWrap/>
            <w:hideMark/>
          </w:tcPr>
          <w:p w14:paraId="467A2BD6"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,79</w:t>
            </w:r>
          </w:p>
        </w:tc>
      </w:tr>
      <w:tr w:rsidR="00665D92" w:rsidRPr="008E7DFA" w14:paraId="7173A0D6"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42DBBDF9" w14:textId="77777777" w:rsidR="00665D92" w:rsidRPr="008E7DFA" w:rsidRDefault="00665D92" w:rsidP="007D026F">
            <w:pPr>
              <w:pStyle w:val="SemEspaamento"/>
              <w:rPr>
                <w:rFonts w:eastAsia="Times New Roman" w:cs="Times New Roman"/>
                <w:lang w:eastAsia="pt-BR"/>
              </w:rPr>
            </w:pPr>
            <w:r w:rsidRPr="008E7DFA">
              <w:rPr>
                <w:rFonts w:eastAsia="Times New Roman" w:cs="Times New Roman"/>
                <w:lang w:eastAsia="pt-BR"/>
              </w:rPr>
              <w:t>Taxa de blastocistos</w:t>
            </w:r>
          </w:p>
        </w:tc>
        <w:tc>
          <w:tcPr>
            <w:tcW w:w="1387" w:type="pct"/>
            <w:noWrap/>
            <w:hideMark/>
          </w:tcPr>
          <w:p w14:paraId="0313CC8E"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6</w:t>
            </w:r>
            <w:r>
              <w:rPr>
                <w:rFonts w:eastAsia="Times New Roman" w:cs="Times New Roman"/>
                <w:lang w:eastAsia="pt-BR"/>
              </w:rPr>
              <w:t>2</w:t>
            </w:r>
            <w:r w:rsidRPr="008E7DFA">
              <w:rPr>
                <w:rFonts w:eastAsia="Times New Roman" w:cs="Times New Roman"/>
                <w:lang w:eastAsia="pt-BR"/>
              </w:rPr>
              <w:t>,</w:t>
            </w:r>
            <w:r>
              <w:rPr>
                <w:rFonts w:eastAsia="Times New Roman" w:cs="Times New Roman"/>
                <w:lang w:eastAsia="pt-BR"/>
              </w:rPr>
              <w:t>5</w:t>
            </w:r>
            <w:r w:rsidRPr="008E7DFA">
              <w:rPr>
                <w:rFonts w:eastAsia="Times New Roman" w:cs="Times New Roman"/>
                <w:lang w:eastAsia="pt-BR"/>
              </w:rPr>
              <w:t xml:space="preserve"> (</w:t>
            </w:r>
            <w:r>
              <w:rPr>
                <w:rFonts w:eastAsia="Times New Roman" w:cs="Times New Roman"/>
                <w:lang w:eastAsia="pt-BR"/>
              </w:rPr>
              <w:t>41,7</w:t>
            </w:r>
            <w:r w:rsidRPr="008E7DFA">
              <w:rPr>
                <w:rFonts w:eastAsia="Times New Roman" w:cs="Times New Roman"/>
                <w:lang w:eastAsia="pt-BR"/>
              </w:rPr>
              <w:t>-</w:t>
            </w:r>
            <w:r>
              <w:rPr>
                <w:rFonts w:eastAsia="Times New Roman" w:cs="Times New Roman"/>
                <w:lang w:eastAsia="pt-BR"/>
              </w:rPr>
              <w:t>90,0</w:t>
            </w:r>
            <w:r w:rsidRPr="008E7DFA">
              <w:rPr>
                <w:rFonts w:eastAsia="Times New Roman" w:cs="Times New Roman"/>
                <w:lang w:eastAsia="pt-BR"/>
              </w:rPr>
              <w:t>)</w:t>
            </w:r>
          </w:p>
        </w:tc>
        <w:tc>
          <w:tcPr>
            <w:tcW w:w="1387" w:type="pct"/>
            <w:noWrap/>
            <w:hideMark/>
          </w:tcPr>
          <w:p w14:paraId="299B27EC"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50,0 (</w:t>
            </w:r>
            <w:r>
              <w:rPr>
                <w:rFonts w:eastAsia="Times New Roman" w:cs="Times New Roman"/>
                <w:lang w:eastAsia="pt-BR"/>
              </w:rPr>
              <w:t>42,9</w:t>
            </w:r>
            <w:r w:rsidRPr="008E7DFA">
              <w:rPr>
                <w:rFonts w:eastAsia="Times New Roman" w:cs="Times New Roman"/>
                <w:lang w:eastAsia="pt-BR"/>
              </w:rPr>
              <w:t>-80,0)</w:t>
            </w:r>
          </w:p>
        </w:tc>
        <w:tc>
          <w:tcPr>
            <w:tcW w:w="629" w:type="pct"/>
            <w:noWrap/>
            <w:hideMark/>
          </w:tcPr>
          <w:p w14:paraId="40575563"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6</w:t>
            </w:r>
            <w:r>
              <w:rPr>
                <w:rFonts w:eastAsia="Times New Roman" w:cs="Times New Roman"/>
                <w:lang w:eastAsia="pt-BR"/>
              </w:rPr>
              <w:t>4</w:t>
            </w:r>
          </w:p>
        </w:tc>
      </w:tr>
    </w:tbl>
    <w:p w14:paraId="7BEE24D4" w14:textId="77777777" w:rsidR="00665D92" w:rsidRDefault="00665D92" w:rsidP="00665D92">
      <w:r w:rsidRPr="00741F17">
        <w:t>*Mann-Whitney; Percentis 25 e 75%, respectivamente.</w:t>
      </w:r>
    </w:p>
    <w:p w14:paraId="7A07D937" w14:textId="77777777" w:rsidR="00665D92" w:rsidRDefault="00665D92" w:rsidP="00665D92">
      <w:r>
        <w:tab/>
        <w:t xml:space="preserve">A </w:t>
      </w:r>
      <w:r>
        <w:rPr>
          <w:b/>
          <w:bCs/>
        </w:rPr>
        <w:t>t</w:t>
      </w:r>
      <w:r w:rsidRPr="009B5FD0">
        <w:rPr>
          <w:b/>
          <w:bCs/>
        </w:rPr>
        <w:t xml:space="preserve">abela </w:t>
      </w:r>
      <w:r>
        <w:rPr>
          <w:b/>
          <w:bCs/>
        </w:rPr>
        <w:t>4</w:t>
      </w:r>
      <w:r w:rsidRPr="009B5FD0">
        <w:rPr>
          <w:b/>
          <w:bCs/>
        </w:rPr>
        <w:t xml:space="preserve"> </w:t>
      </w:r>
      <w:r>
        <w:t xml:space="preserve">avaliou a característica dos embriões obtidos, sendo considerados como </w:t>
      </w:r>
      <w:r w:rsidRPr="00A40276">
        <w:rPr>
          <w:i/>
          <w:iCs/>
        </w:rPr>
        <w:t xml:space="preserve">top </w:t>
      </w:r>
      <w:proofErr w:type="spellStart"/>
      <w:r w:rsidRPr="00A40276">
        <w:rPr>
          <w:i/>
          <w:iCs/>
        </w:rPr>
        <w:t>quality</w:t>
      </w:r>
      <w:proofErr w:type="spellEnd"/>
      <w:r>
        <w:t xml:space="preserve">, além do tempo em que eles demoraram para atingir o estágio de blastocisto. Verificou-se </w:t>
      </w:r>
      <w:r>
        <w:lastRenderedPageBreak/>
        <w:t xml:space="preserve">as medianas destas variáveis foram: Número de embriões </w:t>
      </w:r>
      <w:r>
        <w:rPr>
          <w:i/>
          <w:iCs/>
        </w:rPr>
        <w:t xml:space="preserve">top </w:t>
      </w:r>
      <w:proofErr w:type="spellStart"/>
      <w:r>
        <w:rPr>
          <w:i/>
          <w:iCs/>
        </w:rPr>
        <w:t>quality</w:t>
      </w:r>
      <w:proofErr w:type="spellEnd"/>
      <w:r>
        <w:t xml:space="preserve"> no Grupo Antagonista e </w:t>
      </w:r>
      <w:proofErr w:type="spellStart"/>
      <w:r>
        <w:t>Didrogesterona</w:t>
      </w:r>
      <w:proofErr w:type="spellEnd"/>
      <w:r>
        <w:t xml:space="preserve">, 2 (1-4) e 3 (1-5), respectivamente; número de embriões de D5 no Grupo Antagonista 1 (0-3) e no Grupo </w:t>
      </w:r>
      <w:proofErr w:type="spellStart"/>
      <w:r>
        <w:t>Didrogesterona</w:t>
      </w:r>
      <w:proofErr w:type="spellEnd"/>
      <w:r>
        <w:t xml:space="preserve"> 1 (0-2); número de embriões de D6 no Grupo Antagonista foi de 1 (0-3) e no Grupo </w:t>
      </w:r>
      <w:proofErr w:type="spellStart"/>
      <w:r>
        <w:t>Didrogesterona</w:t>
      </w:r>
      <w:proofErr w:type="spellEnd"/>
      <w:r>
        <w:t xml:space="preserve"> 2 (2-4); número de embriões de D7 no Grupo Antagonista foi de 0 (0-0) e no Grupo </w:t>
      </w:r>
      <w:proofErr w:type="spellStart"/>
      <w:r>
        <w:t>Didrogesterona</w:t>
      </w:r>
      <w:proofErr w:type="spellEnd"/>
      <w:r>
        <w:t xml:space="preserve"> 0 (0-0). Todas as medianas das variáveis descritas </w:t>
      </w:r>
      <w:r w:rsidRPr="001C72FB">
        <w:t xml:space="preserve">foram similares </w:t>
      </w:r>
      <w:r>
        <w:t>nos</w:t>
      </w:r>
      <w:r w:rsidRPr="001C72FB">
        <w:t xml:space="preserve"> os dois grupos (p&gt;0,05)</w:t>
      </w:r>
      <w:r w:rsidRPr="00741F17">
        <w:t>.</w:t>
      </w:r>
    </w:p>
    <w:p w14:paraId="1A250B18" w14:textId="77777777" w:rsidR="00665D92" w:rsidRPr="00343882" w:rsidRDefault="00665D92" w:rsidP="00665D92">
      <w:r w:rsidRPr="00444303">
        <w:rPr>
          <w:b/>
          <w:bCs/>
        </w:rPr>
        <w:t>Tabela 4.</w:t>
      </w:r>
      <w:r>
        <w:rPr>
          <w:b/>
          <w:bCs/>
        </w:rPr>
        <w:t xml:space="preserve"> </w:t>
      </w:r>
      <w:r w:rsidRPr="00343882">
        <w:t>Avaliação da qualidade embrionária entre os grupos.</w:t>
      </w:r>
    </w:p>
    <w:tbl>
      <w:tblPr>
        <w:tblStyle w:val="formatada"/>
        <w:tblW w:w="5000" w:type="pct"/>
        <w:tblLook w:val="04A0" w:firstRow="1" w:lastRow="0" w:firstColumn="1" w:lastColumn="0" w:noHBand="0" w:noVBand="1"/>
      </w:tblPr>
      <w:tblGrid>
        <w:gridCol w:w="4277"/>
        <w:gridCol w:w="2076"/>
        <w:gridCol w:w="1928"/>
        <w:gridCol w:w="1351"/>
      </w:tblGrid>
      <w:tr w:rsidR="00665D92" w:rsidRPr="006F26F8" w14:paraId="4036B8DC" w14:textId="77777777" w:rsidTr="007D02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4" w:type="pct"/>
            <w:noWrap/>
            <w:hideMark/>
          </w:tcPr>
          <w:p w14:paraId="1A2751CA" w14:textId="77777777" w:rsidR="00665D92" w:rsidRPr="006F26F8" w:rsidRDefault="00665D92" w:rsidP="007D026F">
            <w:pPr>
              <w:pStyle w:val="SemEspaamento"/>
              <w:rPr>
                <w:rFonts w:eastAsia="Times New Roman" w:cs="Times New Roman"/>
                <w:lang w:eastAsia="pt-BR"/>
              </w:rPr>
            </w:pPr>
            <w:r w:rsidRPr="006F26F8">
              <w:rPr>
                <w:rFonts w:cs="Times New Roman"/>
                <w:lang w:eastAsia="pt-BR"/>
              </w:rPr>
              <w:t>Variáveis</w:t>
            </w:r>
          </w:p>
        </w:tc>
        <w:tc>
          <w:tcPr>
            <w:tcW w:w="1091" w:type="pct"/>
            <w:noWrap/>
            <w:hideMark/>
          </w:tcPr>
          <w:p w14:paraId="71798374" w14:textId="77777777" w:rsidR="00665D92" w:rsidRPr="006F26F8"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A</w:t>
            </w:r>
            <w:r>
              <w:rPr>
                <w:rFonts w:eastAsia="Times New Roman" w:cs="Times New Roman"/>
                <w:lang w:eastAsia="pt-BR"/>
              </w:rPr>
              <w:t>ntagonista</w:t>
            </w:r>
          </w:p>
        </w:tc>
        <w:tc>
          <w:tcPr>
            <w:tcW w:w="960" w:type="pct"/>
            <w:noWrap/>
            <w:hideMark/>
          </w:tcPr>
          <w:p w14:paraId="5DB4E782" w14:textId="77777777" w:rsidR="00665D92" w:rsidRPr="006F26F8"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lang w:eastAsia="pt-BR"/>
              </w:rPr>
            </w:pPr>
            <w:proofErr w:type="spellStart"/>
            <w:r w:rsidRPr="006F26F8">
              <w:rPr>
                <w:rFonts w:eastAsia="Times New Roman" w:cs="Times New Roman"/>
                <w:lang w:eastAsia="pt-BR"/>
              </w:rPr>
              <w:t>D</w:t>
            </w:r>
            <w:r>
              <w:rPr>
                <w:rFonts w:eastAsia="Times New Roman" w:cs="Times New Roman"/>
                <w:lang w:eastAsia="pt-BR"/>
              </w:rPr>
              <w:t>idrogesterona</w:t>
            </w:r>
            <w:proofErr w:type="spellEnd"/>
          </w:p>
        </w:tc>
        <w:tc>
          <w:tcPr>
            <w:tcW w:w="715" w:type="pct"/>
            <w:noWrap/>
            <w:hideMark/>
          </w:tcPr>
          <w:p w14:paraId="00225580" w14:textId="77777777" w:rsidR="00665D92" w:rsidRPr="006F26F8"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p-</w:t>
            </w:r>
            <w:proofErr w:type="spellStart"/>
            <w:r w:rsidRPr="006F26F8">
              <w:rPr>
                <w:rFonts w:eastAsia="Times New Roman" w:cs="Times New Roman"/>
                <w:lang w:eastAsia="pt-BR"/>
              </w:rPr>
              <w:t>value</w:t>
            </w:r>
            <w:proofErr w:type="spellEnd"/>
            <w:r>
              <w:rPr>
                <w:rFonts w:eastAsia="Times New Roman" w:cs="Times New Roman"/>
                <w:lang w:eastAsia="pt-BR"/>
              </w:rPr>
              <w:t>*</w:t>
            </w:r>
          </w:p>
        </w:tc>
      </w:tr>
      <w:tr w:rsidR="00665D92" w:rsidRPr="006F26F8" w14:paraId="17B9EAFF"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34" w:type="pct"/>
            <w:noWrap/>
            <w:hideMark/>
          </w:tcPr>
          <w:p w14:paraId="0E5EB3F5" w14:textId="77777777" w:rsidR="00665D92" w:rsidRPr="006F26F8" w:rsidRDefault="00665D92" w:rsidP="007D026F">
            <w:pPr>
              <w:pStyle w:val="SemEspaamento"/>
              <w:rPr>
                <w:rFonts w:eastAsia="Times New Roman" w:cs="Times New Roman"/>
                <w:lang w:eastAsia="pt-BR"/>
              </w:rPr>
            </w:pPr>
          </w:p>
        </w:tc>
        <w:tc>
          <w:tcPr>
            <w:tcW w:w="2051" w:type="pct"/>
            <w:gridSpan w:val="2"/>
            <w:noWrap/>
          </w:tcPr>
          <w:p w14:paraId="622A6C4F"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Mediana (p.25; p.75)</w:t>
            </w:r>
          </w:p>
        </w:tc>
        <w:tc>
          <w:tcPr>
            <w:tcW w:w="715" w:type="pct"/>
            <w:noWrap/>
            <w:hideMark/>
          </w:tcPr>
          <w:p w14:paraId="1089F648"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p>
        </w:tc>
      </w:tr>
      <w:tr w:rsidR="00665D92" w:rsidRPr="006F26F8" w14:paraId="35B6D5CD"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34" w:type="pct"/>
            <w:noWrap/>
            <w:hideMark/>
          </w:tcPr>
          <w:p w14:paraId="5278ED03" w14:textId="77777777" w:rsidR="00665D92" w:rsidRPr="006F26F8" w:rsidRDefault="00665D92" w:rsidP="007D026F">
            <w:pPr>
              <w:pStyle w:val="SemEspaamento"/>
              <w:rPr>
                <w:rFonts w:eastAsia="Times New Roman" w:cs="Times New Roman"/>
                <w:lang w:val="en-US" w:eastAsia="pt-BR"/>
              </w:rPr>
            </w:pPr>
            <w:proofErr w:type="spellStart"/>
            <w:r w:rsidRPr="006F26F8">
              <w:rPr>
                <w:rFonts w:eastAsia="Times New Roman" w:cs="Times New Roman"/>
                <w:lang w:val="en-US" w:eastAsia="pt-BR"/>
              </w:rPr>
              <w:t>Embriões</w:t>
            </w:r>
            <w:proofErr w:type="spellEnd"/>
            <w:r w:rsidRPr="006F26F8">
              <w:rPr>
                <w:rFonts w:eastAsia="Times New Roman" w:cs="Times New Roman"/>
                <w:lang w:val="en-US" w:eastAsia="pt-BR"/>
              </w:rPr>
              <w:t xml:space="preserve"> Top Quality </w:t>
            </w:r>
          </w:p>
        </w:tc>
        <w:tc>
          <w:tcPr>
            <w:tcW w:w="1091" w:type="pct"/>
            <w:noWrap/>
            <w:hideMark/>
          </w:tcPr>
          <w:p w14:paraId="042964A9"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2,0 (1,0-4,0)</w:t>
            </w:r>
          </w:p>
        </w:tc>
        <w:tc>
          <w:tcPr>
            <w:tcW w:w="960" w:type="pct"/>
            <w:noWrap/>
            <w:hideMark/>
          </w:tcPr>
          <w:p w14:paraId="43074F55"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3,0 (1,0-5,0)</w:t>
            </w:r>
          </w:p>
        </w:tc>
        <w:tc>
          <w:tcPr>
            <w:tcW w:w="715" w:type="pct"/>
            <w:noWrap/>
          </w:tcPr>
          <w:p w14:paraId="0A7B429A"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Pr>
                <w:rFonts w:eastAsia="Times New Roman" w:cs="Times New Roman"/>
                <w:lang w:eastAsia="pt-BR"/>
              </w:rPr>
              <w:t>0,68</w:t>
            </w:r>
          </w:p>
        </w:tc>
      </w:tr>
      <w:tr w:rsidR="00665D92" w:rsidRPr="006F26F8" w14:paraId="1DA76C8B"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34" w:type="pct"/>
            <w:noWrap/>
            <w:hideMark/>
          </w:tcPr>
          <w:p w14:paraId="4234FABB" w14:textId="77777777" w:rsidR="00665D92" w:rsidRPr="006F26F8" w:rsidRDefault="00665D92" w:rsidP="007D026F">
            <w:pPr>
              <w:pStyle w:val="SemEspaamento"/>
              <w:rPr>
                <w:rFonts w:eastAsia="Times New Roman" w:cs="Times New Roman"/>
                <w:lang w:eastAsia="pt-BR"/>
              </w:rPr>
            </w:pPr>
            <w:r w:rsidRPr="006F26F8">
              <w:rPr>
                <w:rFonts w:eastAsia="Times New Roman" w:cs="Times New Roman"/>
                <w:lang w:eastAsia="pt-BR"/>
              </w:rPr>
              <w:t>D5</w:t>
            </w:r>
          </w:p>
        </w:tc>
        <w:tc>
          <w:tcPr>
            <w:tcW w:w="1091" w:type="pct"/>
            <w:noWrap/>
            <w:hideMark/>
          </w:tcPr>
          <w:p w14:paraId="0583A8EF"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1,0 (0,0-3,0)</w:t>
            </w:r>
          </w:p>
        </w:tc>
        <w:tc>
          <w:tcPr>
            <w:tcW w:w="960" w:type="pct"/>
            <w:noWrap/>
            <w:hideMark/>
          </w:tcPr>
          <w:p w14:paraId="26F499DD"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1,0 (0,0-2,0)</w:t>
            </w:r>
          </w:p>
        </w:tc>
        <w:tc>
          <w:tcPr>
            <w:tcW w:w="715" w:type="pct"/>
            <w:noWrap/>
          </w:tcPr>
          <w:p w14:paraId="10BF803D"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Pr>
                <w:rFonts w:eastAsia="Times New Roman" w:cs="Times New Roman"/>
                <w:lang w:eastAsia="pt-BR"/>
              </w:rPr>
              <w:t>0,17</w:t>
            </w:r>
          </w:p>
        </w:tc>
      </w:tr>
      <w:tr w:rsidR="00665D92" w:rsidRPr="006F26F8" w14:paraId="10E0B5CF"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34" w:type="pct"/>
            <w:noWrap/>
            <w:hideMark/>
          </w:tcPr>
          <w:p w14:paraId="3AFBD5CE" w14:textId="77777777" w:rsidR="00665D92" w:rsidRPr="006F26F8" w:rsidRDefault="00665D92" w:rsidP="007D026F">
            <w:pPr>
              <w:pStyle w:val="SemEspaamento"/>
              <w:rPr>
                <w:rFonts w:eastAsia="Times New Roman" w:cs="Times New Roman"/>
                <w:lang w:eastAsia="pt-BR"/>
              </w:rPr>
            </w:pPr>
            <w:r w:rsidRPr="006F26F8">
              <w:rPr>
                <w:rFonts w:eastAsia="Times New Roman" w:cs="Times New Roman"/>
                <w:lang w:eastAsia="pt-BR"/>
              </w:rPr>
              <w:t>D6</w:t>
            </w:r>
          </w:p>
        </w:tc>
        <w:tc>
          <w:tcPr>
            <w:tcW w:w="1091" w:type="pct"/>
            <w:noWrap/>
            <w:hideMark/>
          </w:tcPr>
          <w:p w14:paraId="6A461A59"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1,0 (0,0-3,0)</w:t>
            </w:r>
          </w:p>
        </w:tc>
        <w:tc>
          <w:tcPr>
            <w:tcW w:w="960" w:type="pct"/>
            <w:noWrap/>
            <w:hideMark/>
          </w:tcPr>
          <w:p w14:paraId="1E6DB25C"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2,0 (2,0-4,0)</w:t>
            </w:r>
          </w:p>
        </w:tc>
        <w:tc>
          <w:tcPr>
            <w:tcW w:w="715" w:type="pct"/>
            <w:noWrap/>
          </w:tcPr>
          <w:p w14:paraId="716027B8"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Pr>
                <w:rFonts w:eastAsia="Times New Roman" w:cs="Times New Roman"/>
                <w:lang w:eastAsia="pt-BR"/>
              </w:rPr>
              <w:t>0,065</w:t>
            </w:r>
          </w:p>
        </w:tc>
      </w:tr>
      <w:tr w:rsidR="00665D92" w:rsidRPr="006F26F8" w14:paraId="2BD4CDED"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34" w:type="pct"/>
            <w:noWrap/>
            <w:hideMark/>
          </w:tcPr>
          <w:p w14:paraId="17AB7256" w14:textId="77777777" w:rsidR="00665D92" w:rsidRPr="006F26F8" w:rsidRDefault="00665D92" w:rsidP="007D026F">
            <w:pPr>
              <w:pStyle w:val="SemEspaamento"/>
              <w:rPr>
                <w:rFonts w:eastAsia="Times New Roman" w:cs="Times New Roman"/>
                <w:lang w:eastAsia="pt-BR"/>
              </w:rPr>
            </w:pPr>
            <w:r w:rsidRPr="006F26F8">
              <w:rPr>
                <w:rFonts w:eastAsia="Times New Roman" w:cs="Times New Roman"/>
                <w:lang w:eastAsia="pt-BR"/>
              </w:rPr>
              <w:t>D7</w:t>
            </w:r>
          </w:p>
        </w:tc>
        <w:tc>
          <w:tcPr>
            <w:tcW w:w="1091" w:type="pct"/>
            <w:noWrap/>
            <w:hideMark/>
          </w:tcPr>
          <w:p w14:paraId="274E0032"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0,0 (0,0-0,0)</w:t>
            </w:r>
          </w:p>
        </w:tc>
        <w:tc>
          <w:tcPr>
            <w:tcW w:w="960" w:type="pct"/>
            <w:noWrap/>
            <w:hideMark/>
          </w:tcPr>
          <w:p w14:paraId="766A456B"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0,0 (0,0-0,0)</w:t>
            </w:r>
          </w:p>
        </w:tc>
        <w:tc>
          <w:tcPr>
            <w:tcW w:w="715" w:type="pct"/>
            <w:noWrap/>
          </w:tcPr>
          <w:p w14:paraId="65F6101B"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Pr>
                <w:rFonts w:eastAsia="Times New Roman" w:cs="Times New Roman"/>
                <w:lang w:eastAsia="pt-BR"/>
              </w:rPr>
              <w:t>0,99</w:t>
            </w:r>
          </w:p>
        </w:tc>
      </w:tr>
    </w:tbl>
    <w:p w14:paraId="1DECC914" w14:textId="77777777" w:rsidR="00665D92" w:rsidRDefault="00665D92" w:rsidP="00665D92">
      <w:r w:rsidRPr="00E2033B">
        <w:t>*</w:t>
      </w:r>
      <w:r>
        <w:t xml:space="preserve"> Mann-Whitney</w:t>
      </w:r>
      <w:r w:rsidRPr="00A40276">
        <w:t xml:space="preserve"> </w:t>
      </w:r>
    </w:p>
    <w:p w14:paraId="1FEABEC9" w14:textId="77777777" w:rsidR="00665D92" w:rsidRDefault="00665D92" w:rsidP="00665D92"/>
    <w:p w14:paraId="0183FEEC" w14:textId="77777777" w:rsidR="00665D92" w:rsidRPr="00E2033B" w:rsidRDefault="00665D92" w:rsidP="00057112"/>
    <w:p w14:paraId="6B60FB1B" w14:textId="77777777" w:rsidR="00883822" w:rsidRDefault="00883822" w:rsidP="00C81291"/>
    <w:p w14:paraId="0FCD2F19" w14:textId="2D6CF885" w:rsidR="00883822" w:rsidRDefault="00C761D9" w:rsidP="00883822">
      <w:pPr>
        <w:pStyle w:val="Ttulo1"/>
      </w:pPr>
      <w:bookmarkStart w:id="16" w:name="_Toc152013938"/>
      <w:r>
        <w:t>DISCUSSÃO</w:t>
      </w:r>
      <w:bookmarkEnd w:id="16"/>
    </w:p>
    <w:bookmarkEnd w:id="6"/>
    <w:p w14:paraId="0B447EE3" w14:textId="77777777" w:rsidR="0097631F" w:rsidRDefault="0097631F" w:rsidP="0097631F">
      <w:r>
        <w:t xml:space="preserve">O presente estudo comparou diferentes protocolos de EOC, a fim de saber se o bloqueio tradicional com o antagonista do </w:t>
      </w:r>
      <w:proofErr w:type="spellStart"/>
      <w:r>
        <w:t>GnRH</w:t>
      </w:r>
      <w:proofErr w:type="spellEnd"/>
      <w:r>
        <w:t xml:space="preserve">, pode ser substituído por um regime mais simples e amigável com a </w:t>
      </w:r>
      <w:proofErr w:type="spellStart"/>
      <w:r>
        <w:t>didrogesterona</w:t>
      </w:r>
      <w:proofErr w:type="spellEnd"/>
      <w:r>
        <w:t>. Não foi constatado diferenças significativas nos desfechos clínicos, laboratoriais e na avaliação embrionária entre os grupos estudados.</w:t>
      </w:r>
    </w:p>
    <w:p w14:paraId="5DC4740C" w14:textId="62AD4F44" w:rsidR="0097631F" w:rsidRDefault="0097631F" w:rsidP="0097631F">
      <w:r>
        <w:t xml:space="preserve">O surgimento do protocolo utilizando a progesterona como bloqueio veio na intenção de suprir uma demanda crescente por protocolos mais convenientes, uma vez que, </w:t>
      </w:r>
      <w:r w:rsidRPr="000876F3">
        <w:t>a EOC durante o tratamento de FIV/ICSI normalmente requer injeç</w:t>
      </w:r>
      <w:r>
        <w:t>ões</w:t>
      </w:r>
      <w:r w:rsidRPr="000876F3">
        <w:t xml:space="preserve"> diária</w:t>
      </w:r>
      <w:r>
        <w:t>s</w:t>
      </w:r>
      <w:r w:rsidRPr="000876F3">
        <w:t xml:space="preserve"> de gonadotrofina</w:t>
      </w:r>
      <w:r>
        <w:t>s</w:t>
      </w:r>
      <w:r w:rsidRPr="000876F3">
        <w:t xml:space="preserve"> para recrutar mais </w:t>
      </w:r>
      <w:proofErr w:type="spellStart"/>
      <w:r w:rsidRPr="000876F3">
        <w:t>oócitos</w:t>
      </w:r>
      <w:proofErr w:type="spellEnd"/>
      <w:r>
        <w:t>,</w:t>
      </w:r>
      <w:r w:rsidRPr="000876F3">
        <w:t xml:space="preserve"> </w:t>
      </w:r>
      <w:r>
        <w:t>o que</w:t>
      </w:r>
      <w:r w:rsidRPr="000876F3">
        <w:t xml:space="preserve"> causa sobrecarga física e estresse psicológico n</w:t>
      </w:r>
      <w:r>
        <w:t>a</w:t>
      </w:r>
      <w:r w:rsidRPr="000876F3">
        <w:t>s pacientes, além de aumentar o risco de erros de injeção</w:t>
      </w:r>
      <w:r w:rsidR="009C5C9C">
        <w:fldChar w:fldCharType="begin"/>
      </w:r>
      <w:r w:rsidR="00106987">
        <w:instrText xml:space="preserve"> ADDIN ZOTERO_ITEM CSL_CITATION {"citationID":"g85OtJCi","properties":{"formattedCitation":"(29)","plainCitation":"(29)","noteIndex":0},"citationItems":[{"id":3071,"uris":["http://zotero.org/users/10339151/items/9IGXA87N"],"itemData":{"id":3071,"type":"article-journal","container-title":"Human Reproduction Update","issue":"3","note":"publisher: Oxford University Press","page":"309–321","source":"Google Scholar","title":"Advances in recombinant DNA technology: corifollitropin alfa, a hybrid molecule with sustained follicle-stimulating activity and reduced injection frequency","title-short":"Advances in recombinant DNA technology","volume":"15","author":[{"family":"Fauser","given":"BCJM"},{"family":"Mannaerts","given":"BMJL"},{"family":"Devroey","given":"Paul"},{"family":"Leader","given":"A."},{"family":"Boime","given":"I."},{"family":"Baird","given":"D. T."}],"issued":{"date-parts":[["2009"]]}}}],"schema":"https://github.com/citation-style-language/schema/raw/master/csl-citation.json"} </w:instrText>
      </w:r>
      <w:r w:rsidR="009C5C9C">
        <w:fldChar w:fldCharType="separate"/>
      </w:r>
      <w:r w:rsidR="00106987" w:rsidRPr="00106987">
        <w:t>(29)</w:t>
      </w:r>
      <w:r w:rsidR="009C5C9C">
        <w:fldChar w:fldCharType="end"/>
      </w:r>
      <w:r w:rsidRPr="000876F3">
        <w:t xml:space="preserve">. </w:t>
      </w:r>
      <w:r>
        <w:t>Foi relatado u</w:t>
      </w:r>
      <w:r w:rsidRPr="000876F3">
        <w:t xml:space="preserve">ma taxa de abandono superior a 50% </w:t>
      </w:r>
      <w:r>
        <w:t>em</w:t>
      </w:r>
      <w:r w:rsidRPr="000876F3">
        <w:t xml:space="preserve"> vários estudos, mesmo em locais onde o custo do tratamento pode ser reembolsado</w:t>
      </w:r>
      <w:r w:rsidR="009C5C9C">
        <w:fldChar w:fldCharType="begin"/>
      </w:r>
      <w:r w:rsidR="00106987">
        <w:instrText xml:space="preserve"> ADDIN ZOTERO_ITEM CSL_CITATION {"citationID":"RpvZc3hz","properties":{"formattedCitation":"(30,31)","plainCitation":"(30,31)","noteIndex":0},"citationItems":[{"id":3074,"uris":["http://zotero.org/users/10339151/items/DAFRDEQJ"],"itemData":{"id":3074,"type":"article-journal","container-title":"Fertility and Sterility","DOI":"10.1016/S0015-0282(97)81515-4","ISSN":"00150282","issue":"2","journalAbbreviation":"Fertility and Sterility","language":"en","page":"278-281","source":"DOI.org (Crossref)","title":"Patient dropout in an assisted reproductive technology program: implications for pregnancy rates","title-short":"Patient dropout in an assisted reproductive technology program","volume":"68","author":[{"family":"Land","given":"Jolande A."},{"family":"Courtar","given":"Dorette A."},{"family":"Evers","given":"Johannes L.H."}],"issued":{"date-parts":[["1997",8]]}},"label":"page"},{"id":3072,"uris":["http://zotero.org/users/10339151/items/AKV7WA6W"],"itemData":{"id":3072,"type":"article-journal","container-title":"Reproductive BioMedicine Online","DOI":"10.1016/S1472-6483(10)61110-8","ISSN":"14726483","issue":"5","journalAbbreviation":"Reproductive BioMedicine Online","language":"en","page":"600-606","source":"DOI.org (Crossref)","title":"Cumulative pregnancy rates and drop-out rates in a German IVF programme: 4102 cycles in 2130 patients","title-short":"Cumulative pregnancy rates and drop-out rates in a German IVF programme","volume":"8","author":[{"family":"Schröder","given":"Ak"},{"family":"Katalinic","given":"A"},{"family":"Diedrich","given":"K"},{"family":"Ludwig","given":"M"}],"issued":{"date-parts":[["2004",1]]}},"label":"page"}],"schema":"https://github.com/citation-style-language/schema/raw/master/csl-citation.json"} </w:instrText>
      </w:r>
      <w:r w:rsidR="009C5C9C">
        <w:fldChar w:fldCharType="separate"/>
      </w:r>
      <w:r w:rsidR="00106987" w:rsidRPr="00106987">
        <w:t>(30,31)</w:t>
      </w:r>
      <w:r w:rsidR="009C5C9C">
        <w:fldChar w:fldCharType="end"/>
      </w:r>
      <w:r w:rsidR="00A7413B">
        <w:t>,</w:t>
      </w:r>
      <w:r>
        <w:t xml:space="preserve"> </w:t>
      </w:r>
      <w:r w:rsidRPr="000876F3">
        <w:t>indicando o alto nível de angústia e frustração experimentado pel</w:t>
      </w:r>
      <w:r>
        <w:t>a</w:t>
      </w:r>
      <w:r w:rsidRPr="000876F3">
        <w:t>s pacientes</w:t>
      </w:r>
      <w:r w:rsidR="00F24733">
        <w:fldChar w:fldCharType="begin"/>
      </w:r>
      <w:r w:rsidR="00106987">
        <w:instrText xml:space="preserve"> ADDIN ZOTERO_ITEM CSL_CITATION {"citationID":"PuEfzoCV","properties":{"formattedCitation":"(31)","plainCitation":"(31)","noteIndex":0},"citationItems":[{"id":3072,"uris":["http://zotero.org/users/10339151/items/AKV7WA6W"],"itemData":{"id":3072,"type":"article-journal","container-title":"Reproductive BioMedicine Online","DOI":"10.1016/S1472-6483(10)61110-8","ISSN":"14726483","issue":"5","journalAbbreviation":"Reproductive BioMedicine Online","language":"en","page":"600-606","source":"DOI.org (Crossref)","title":"Cumulative pregnancy rates and drop-out rates in a German IVF programme: 4102 cycles in 2130 patients","title-short":"Cumulative pregnancy rates and drop-out rates in a German IVF programme","volume":"8","author":[{"family":"Schröder","given":"Ak"},{"family":"Katalinic","given":"A"},{"family":"Diedrich","given":"K"},{"family":"Ludwig","given":"M"}],"issued":{"date-parts":[["2004",1]]}}}],"schema":"https://github.com/citation-style-language/schema/raw/master/csl-citation.json"} </w:instrText>
      </w:r>
      <w:r w:rsidR="00F24733">
        <w:fldChar w:fldCharType="separate"/>
      </w:r>
      <w:r w:rsidR="00106987" w:rsidRPr="00106987">
        <w:t>(31)</w:t>
      </w:r>
      <w:r w:rsidR="00F24733">
        <w:fldChar w:fldCharType="end"/>
      </w:r>
      <w:r w:rsidR="00A7413B">
        <w:t>.</w:t>
      </w:r>
    </w:p>
    <w:p w14:paraId="54A4E94B" w14:textId="66D8385D" w:rsidR="0097631F" w:rsidRPr="00E00BE3" w:rsidRDefault="0097631F" w:rsidP="0097631F">
      <w:r>
        <w:t xml:space="preserve">  </w:t>
      </w:r>
      <w:r w:rsidRPr="003B5583">
        <w:t>A</w:t>
      </w:r>
      <w:r>
        <w:t xml:space="preserve"> </w:t>
      </w:r>
      <w:proofErr w:type="spellStart"/>
      <w:r w:rsidRPr="003B5583">
        <w:t>didrogesteron</w:t>
      </w:r>
      <w:r>
        <w:t>a</w:t>
      </w:r>
      <w:proofErr w:type="spellEnd"/>
      <w:r w:rsidRPr="003B5583">
        <w:t xml:space="preserve"> é largamente utilizada na terapia de reposição ho</w:t>
      </w:r>
      <w:r>
        <w:t>r</w:t>
      </w:r>
      <w:r w:rsidRPr="003B5583">
        <w:t>monal, no tratamento da endometriose, nas desordens menstruais, na ameaça de aborto</w:t>
      </w:r>
      <w:r>
        <w:t xml:space="preserve"> e n</w:t>
      </w:r>
      <w:r w:rsidRPr="003B5583">
        <w:t>o suporte de fase lútea</w:t>
      </w:r>
      <w:r>
        <w:t xml:space="preserve"> durante a gestação</w:t>
      </w:r>
      <w:r w:rsidR="00F24733">
        <w:fldChar w:fldCharType="begin"/>
      </w:r>
      <w:r w:rsidR="00106987">
        <w:instrText xml:space="preserve"> ADDIN ZOTERO_ITEM CSL_CITATION {"citationID":"dHdiiQeY","properties":{"formattedCitation":"(32)","plainCitation":"(32)","noteIndex":0},"citationItems":[{"id":3076,"uris":["http://zotero.org/users/10339151/items/NCYYLYFP"],"itemData":{"id":3076,"type":"article-journal","container-title":"Steroids","issue":"6","note":"publisher: Elsevier","page":"607–615","source":"Google Scholar","title":"Selectivity and potency of the retroprogesterone dydrogesterone in vitro","volume":"76","author":[{"family":"Rižner","given":"Tea Lanišnik"},{"family":"Brožič","given":"Petra"},{"family":"Doucette","given":"Christopher"},{"family":"Turek-Etienne","given":"Tammy"},{"family":"Müller-Vieira","given":"Ursula"},{"family":"Sonneveld","given":"Edwin"},{"family":"Burg","given":"Bart","non-dropping-particle":"van der"},{"family":"Böcker","given":"Christiane"},{"family":"Husen","given":"Bettina"}],"issued":{"date-parts":[["2011"]]}}}],"schema":"https://github.com/citation-style-language/schema/raw/master/csl-citation.json"} </w:instrText>
      </w:r>
      <w:r w:rsidR="00F24733">
        <w:fldChar w:fldCharType="separate"/>
      </w:r>
      <w:r w:rsidR="00106987" w:rsidRPr="00106987">
        <w:t>(32)</w:t>
      </w:r>
      <w:r w:rsidR="00F24733">
        <w:fldChar w:fldCharType="end"/>
      </w:r>
      <w:r>
        <w:t xml:space="preserve">. Já foi </w:t>
      </w:r>
      <w:r w:rsidRPr="004F3FF4">
        <w:t xml:space="preserve">demonstrado que a </w:t>
      </w:r>
      <w:proofErr w:type="spellStart"/>
      <w:r w:rsidRPr="004F3FF4">
        <w:t>did</w:t>
      </w:r>
      <w:r>
        <w:t>r</w:t>
      </w:r>
      <w:r w:rsidRPr="004F3FF4">
        <w:t>ogesterona</w:t>
      </w:r>
      <w:proofErr w:type="spellEnd"/>
      <w:r w:rsidRPr="004F3FF4">
        <w:t xml:space="preserve"> po</w:t>
      </w:r>
      <w:r>
        <w:t>de ser utilizada como alternativa em protocolos de EOC para FIV-ICSI, sendo eficaz no bloqueio do pico prematuro de LH</w:t>
      </w:r>
      <w:r w:rsidR="00F24733">
        <w:fldChar w:fldCharType="begin"/>
      </w:r>
      <w:r w:rsidR="00106987">
        <w:instrText xml:space="preserve"> ADDIN ZOTERO_ITEM CSL_CITATION {"citationID":"wTmxYiYw","properties":{"formattedCitation":"(33)","plainCitation":"(33)","noteIndex":0},"citationItems":[{"id":3078,"uris":["http://zotero.org/users/10339151/items/5XDY6SFI"],"itemData":{"id":3078,"type":"article-journal","container-title":"Human Reproduction","DOI":"10.1093/humrep/dex367","ISSN":"0268-1161, 1460-2350","issue":"2","language":"en","page":"229-237","source":"DOI.org (Crossref)","title":"New application of dydrogesterone as a part of a progestin-primed ovarian stimulation protocol for IVF: a randomized controlled trial including 516 first IVF/ICSI cycles","title-short":"New application of dydrogesterone as a part of a progestin-primed ovarian stimulation protocol for IVF","volume":"33","author":[{"family":"Yu","given":"Sha"},{"family":"Long","given":"Hui"},{"family":"Chang","given":"Hannah Ya-ning"},{"family":"Liu","given":"Yali"},{"family":"Gao","given":"Hongyuan"},{"family":"Zhu","given":"Jing"},{"family":"Quan","given":"Xinxin"},{"family":"Lyu","given":"Qifeng"},{"family":"Kuang","given":"Yanping"},{"family":"Ai","given":"Ai"}],"issued":{"date-parts":[["2018",2,1]]}}}],"schema":"https://github.com/citation-style-language/schema/raw/master/csl-citation.json"} </w:instrText>
      </w:r>
      <w:r w:rsidR="00F24733">
        <w:fldChar w:fldCharType="separate"/>
      </w:r>
      <w:r w:rsidR="00106987" w:rsidRPr="00106987">
        <w:t>(33)</w:t>
      </w:r>
      <w:r w:rsidR="00F24733">
        <w:fldChar w:fldCharType="end"/>
      </w:r>
      <w:r w:rsidR="00F24733">
        <w:t xml:space="preserve"> </w:t>
      </w:r>
      <w:r>
        <w:t xml:space="preserve"> e muitos estudos a compararam aos protocolos tradicionais, com bons resultados nos </w:t>
      </w:r>
      <w:proofErr w:type="spellStart"/>
      <w:r>
        <w:t>defechos</w:t>
      </w:r>
      <w:proofErr w:type="spellEnd"/>
      <w:r>
        <w:t xml:space="preserve"> reprodutivos</w:t>
      </w:r>
      <w:r w:rsidR="00F24733">
        <w:fldChar w:fldCharType="begin"/>
      </w:r>
      <w:r w:rsidR="00A7413B">
        <w:instrText xml:space="preserve"> ADDIN ZOTERO_ITEM CSL_CITATION {"citationID":"WD3EibEt","properties":{"unsorted":true,"formattedCitation":"(11)","plainCitation":"(11)","noteIndex":0},"citationItems":[{"id":3023,"uris":["http://zotero.org/users/10339151/items/RCNHKWMZ"],"itemData":{"id":3023,"type":"article-journal","abstract":"Abstract\n            \n              Purpose\n              Progestin-primed ovarian stimulation (PPOS) is a new ovarian stimulation protocol that has been used over the last decade to enhance reproductive function. The purpose of this study is to evaluate whether PPOS is as effective as conventional protocols (without GnRHa downregulation).\n            \n            \n              Method\n              Search terms included “medroxyprogesterone”, “dydrogesterone”, “progestin-primed ovarian stimulation”, “PPOS”, “oocyte retrieval”, “in vitro fertilization”, “IVF”, “ICSI”, “ART”, and “reproductive”. The selection criteria were nonrandomized studies and randomized controlled studies. For data collection and analysis, the Review Manager software, Newcastle–Ottowa Quality Assessment Scale and GRADE approach were used.\n            \n            \n              Results\n              \n                The clinical pregnancy rates were not significantly different in either RCTs or NRCTs [RR 0.96, 95% CI (0.69–1.33),\n                I\n                2\n                 = 71%,\n                P\n                 = 0.81]; [RR 0.99, 95% CI (0.83–1.17),\n                I\n                2\n                 = 38%,\n                P\n                 = 0.88]. The live birth rates of RCTs and NRCTs did not differ [RCT: RR 1.08, 95% CI (0.74, 1.57),\n                I\n                2\n                 = 66%,\n                P\n                 = 0.69; NRCT: OR 1.03 95% CI 0.84–1.26),\n                I\n                2\n                 = 50%,\n                P\n                 = 0.79]. The PPOS protocol had a lower rate of OHSS [RR 0.52, 95% CI (0.36–0.75),\n                I\n                2\n                 = 0%,\n                P\n                 = 0.0006]. The secondary results showed that compared to the control protocol, the endometrium was thicker [95% CI (0.00–0.78),\n                I\n                2\n                 = 0%,\n                P\n                 = 0.05], the number of obtained embryos was higher [95% CI (0.04–0.65),\n                I\n                2\n                 = 17%,\n                P\n                 = 0.03] and more hMG was needed [in NRCT: 95% CI (307.44, 572.73),\n                I\n                2\n                 = 0%,\n                P\n                 &lt; 0.00001] with the PPOS protocol.\n              \n            \n            \n              Conclusion\n              The PPOS protocol produces more obtained embryos and a thicker endometrium than the control protocol, with a lower rate of OHSS and an equal live birth rate. The PPOS protocol could be a safe option as a personalized protocol for infertile patients.\n            \n            \n              Trial registration\n              Registration at PROSPERO: CRD42020176577.","container-title":"Archives of Gynecology and Obstetrics","DOI":"10.1007/s00404-020-05939-y","ISSN":"0932-0067, 1432-0711","issue":"3","journalAbbreviation":"Arch Gynecol Obstet","language":"en","page":"615-630","source":"DOI.org (Crossref)","title":"Effectiveness of progesterone-primed ovarian stimulation in assisted reproductive technology: a systematic review and meta-analysis","title-short":"Effectiveness of progesterone-primed ovarian stimulation in assisted reproductive technology","volume":"303","author":[{"family":"Cui","given":"Ling"},{"family":"Lin","given":"Yonghong"},{"family":"Wang","given":"Fang"},{"family":"Chen","given":"Chen"}],"issued":{"date-parts":[["2021",3]]}}}],"schema":"https://github.com/citation-style-language/schema/raw/master/csl-citation.json"} </w:instrText>
      </w:r>
      <w:r w:rsidR="00F24733">
        <w:fldChar w:fldCharType="separate"/>
      </w:r>
      <w:r w:rsidR="00A7413B" w:rsidRPr="00A7413B">
        <w:t>(11)</w:t>
      </w:r>
      <w:r w:rsidR="00F24733">
        <w:fldChar w:fldCharType="end"/>
      </w:r>
      <w:r>
        <w:t>.</w:t>
      </w:r>
    </w:p>
    <w:p w14:paraId="5596C287" w14:textId="29A378EE" w:rsidR="0097631F" w:rsidRDefault="0097631F" w:rsidP="0097631F">
      <w:r>
        <w:t xml:space="preserve">Shan Yu e colaboradores, em 2018, realizaram ensaio clínico controlado e randomizado com 516 pacientes, usando pela primeira vez a </w:t>
      </w:r>
      <w:proofErr w:type="spellStart"/>
      <w:r>
        <w:t>didrogesterona</w:t>
      </w:r>
      <w:proofErr w:type="spellEnd"/>
      <w:r>
        <w:t xml:space="preserve"> na EOC para FIV e demonstraram que esta proporciona uma supressão eficiente do pico prematuro do LH. Também mostraram que </w:t>
      </w:r>
      <w:r>
        <w:lastRenderedPageBreak/>
        <w:t xml:space="preserve">a </w:t>
      </w:r>
      <w:proofErr w:type="spellStart"/>
      <w:r>
        <w:t>didrogesterona</w:t>
      </w:r>
      <w:proofErr w:type="spellEnd"/>
      <w:r>
        <w:t xml:space="preserve"> não interfere na medição da progesterona endógena e promove um bloqueio hipofisário mais fraco, quando comparado à medroxiprogesterona, primeiramente utilizada nesses tipos de protocolos, usando-se doses menores de gonadotrofinas e por tempo mais curto em regimes com a </w:t>
      </w:r>
      <w:proofErr w:type="spellStart"/>
      <w:r>
        <w:t>didrogesterona</w:t>
      </w:r>
      <w:proofErr w:type="spellEnd"/>
      <w:r w:rsidR="00F24733">
        <w:fldChar w:fldCharType="begin"/>
      </w:r>
      <w:r w:rsidR="00106987">
        <w:instrText xml:space="preserve"> ADDIN ZOTERO_ITEM CSL_CITATION {"citationID":"8Rmwm3W5","properties":{"formattedCitation":"(33)","plainCitation":"(33)","noteIndex":0},"citationItems":[{"id":3078,"uris":["http://zotero.org/users/10339151/items/5XDY6SFI"],"itemData":{"id":3078,"type":"article-journal","container-title":"Human Reproduction","DOI":"10.1093/humrep/dex367","ISSN":"0268-1161, 1460-2350","issue":"2","language":"en","page":"229-237","source":"DOI.org (Crossref)","title":"New application of dydrogesterone as a part of a progestin-primed ovarian stimulation protocol for IVF: a randomized controlled trial including 516 first IVF/ICSI cycles","title-short":"New application of dydrogesterone as a part of a progestin-primed ovarian stimulation protocol for IVF","volume":"33","author":[{"family":"Yu","given":"Sha"},{"family":"Long","given":"Hui"},{"family":"Chang","given":"Hannah Ya-ning"},{"family":"Liu","given":"Yali"},{"family":"Gao","given":"Hongyuan"},{"family":"Zhu","given":"Jing"},{"family":"Quan","given":"Xinxin"},{"family":"Lyu","given":"Qifeng"},{"family":"Kuang","given":"Yanping"},{"family":"Ai","given":"Ai"}],"issued":{"date-parts":[["2018",2,1]]}}}],"schema":"https://github.com/citation-style-language/schema/raw/master/csl-citation.json"} </w:instrText>
      </w:r>
      <w:r w:rsidR="00F24733">
        <w:fldChar w:fldCharType="separate"/>
      </w:r>
      <w:r w:rsidR="00106987" w:rsidRPr="00106987">
        <w:t>(33)</w:t>
      </w:r>
      <w:r w:rsidR="00F24733">
        <w:fldChar w:fldCharType="end"/>
      </w:r>
      <w:r>
        <w:t xml:space="preserve">. </w:t>
      </w:r>
    </w:p>
    <w:p w14:paraId="13B19E8C" w14:textId="1ACCCE48" w:rsidR="0097631F" w:rsidRDefault="0097631F" w:rsidP="0097631F">
      <w:proofErr w:type="spellStart"/>
      <w:r w:rsidRPr="00E9171E">
        <w:t>Qianwen</w:t>
      </w:r>
      <w:proofErr w:type="spellEnd"/>
      <w:r w:rsidRPr="00E9171E">
        <w:t xml:space="preserve"> Xi</w:t>
      </w:r>
      <w:r>
        <w:t xml:space="preserve"> e colaboradores, em 2020, compararam ciclos de EOC com medroxiprogesterona aos ciclos com Agonista do </w:t>
      </w:r>
      <w:proofErr w:type="spellStart"/>
      <w:r>
        <w:t>GnRH</w:t>
      </w:r>
      <w:proofErr w:type="spellEnd"/>
      <w:r>
        <w:t xml:space="preserve"> (</w:t>
      </w:r>
      <w:proofErr w:type="spellStart"/>
      <w:r>
        <w:t>GnRHa</w:t>
      </w:r>
      <w:proofErr w:type="spellEnd"/>
      <w:r>
        <w:t>), em ensaio clínico randomizado com 257 pacientes. N</w:t>
      </w:r>
      <w:r w:rsidRPr="00E9171E">
        <w:t>enhuma diferença foi encontrada na taxa de gravidez clínica, taxa de implantação e taxa de gravidez em curso entre os dois grupos</w:t>
      </w:r>
      <w:r w:rsidR="00F24733">
        <w:fldChar w:fldCharType="begin"/>
      </w:r>
      <w:r w:rsidR="00106987">
        <w:instrText xml:space="preserve"> ADDIN ZOTERO_ITEM CSL_CITATION {"citationID":"egf9Pmbg","properties":{"formattedCitation":"(34)","plainCitation":"(34)","noteIndex":0},"citationItems":[{"id":3084,"uris":["http://zotero.org/users/10339151/items/TN38KRPZ"],"itemData":{"id":3084,"type":"article-journal","container-title":"Clinical Epidemiology","DOI":"10.2147/CLEP.S226414","ISSN":"1179-1349","journalAbbreviation":"CLEP","language":"en","page":"261-272","source":"DOI.org (Crossref)","title":"Comparison Between PPOS and GnRHa-Long Protocol in Clinical Outcome with the First IVF/ICSI Cycle: A Randomized Clinical Trial","title-short":"Comparison Between PPOS and GnRHa-Long Protocol in Clinical Outcome with the First IVF/ICSI Cycle","volume":"Volume 12","author":[{"family":"Xi","given":"Qianwen"},{"family":"Tao","given":"Yu"},{"family":"Qiu","given":"Meiting"},{"family":"Wang","given":"Yun"},{"family":"Kuang","given":"Yanping"}],"issued":{"date-parts":[["2020",3]]}}}],"schema":"https://github.com/citation-style-language/schema/raw/master/csl-citation.json"} </w:instrText>
      </w:r>
      <w:r w:rsidR="00F24733">
        <w:fldChar w:fldCharType="separate"/>
      </w:r>
      <w:r w:rsidR="00106987" w:rsidRPr="00106987">
        <w:t>(34)</w:t>
      </w:r>
      <w:r w:rsidR="00F24733">
        <w:fldChar w:fldCharType="end"/>
      </w:r>
      <w:r w:rsidRPr="00E9171E">
        <w:t>.</w:t>
      </w:r>
    </w:p>
    <w:p w14:paraId="201C0ABF" w14:textId="1C0E200E" w:rsidR="0097631F" w:rsidRDefault="0097631F" w:rsidP="0097631F">
      <w:r>
        <w:t>Diante disso, é</w:t>
      </w:r>
      <w:r w:rsidRPr="00E9171E">
        <w:t xml:space="preserve"> razoável acreditar que os embriões derivados do</w:t>
      </w:r>
      <w:r>
        <w:t>s</w:t>
      </w:r>
      <w:r w:rsidRPr="00E9171E">
        <w:t xml:space="preserve"> </w:t>
      </w:r>
      <w:r>
        <w:t>ciclos com progesterona</w:t>
      </w:r>
      <w:r w:rsidRPr="00E9171E">
        <w:t xml:space="preserve"> </w:t>
      </w:r>
      <w:r>
        <w:t>tenham</w:t>
      </w:r>
      <w:r w:rsidRPr="00E9171E">
        <w:t xml:space="preserve"> o mesmo potencial de desenvolvimento que aqueles originados d</w:t>
      </w:r>
      <w:r>
        <w:t>e</w:t>
      </w:r>
      <w:r w:rsidRPr="00E9171E">
        <w:t xml:space="preserve"> protocolo</w:t>
      </w:r>
      <w:r>
        <w:t xml:space="preserve">s com bloqueio com agonista ou antagonista do </w:t>
      </w:r>
      <w:proofErr w:type="spellStart"/>
      <w:r>
        <w:t>GnRH</w:t>
      </w:r>
      <w:proofErr w:type="spellEnd"/>
      <w:r w:rsidRPr="00E9171E">
        <w:t>.</w:t>
      </w:r>
      <w:r>
        <w:t xml:space="preserve"> Outros estudos também mostraram que </w:t>
      </w:r>
      <w:r w:rsidRPr="00E9171E">
        <w:t xml:space="preserve">níveis elevados de progesterona não parecem ter um papel prejudicial em </w:t>
      </w:r>
      <w:proofErr w:type="spellStart"/>
      <w:r w:rsidRPr="00E9171E">
        <w:t>oócitos</w:t>
      </w:r>
      <w:proofErr w:type="spellEnd"/>
      <w:r w:rsidRPr="00E9171E">
        <w:t xml:space="preserve"> e embriões</w:t>
      </w:r>
      <w:r w:rsidR="00F24733">
        <w:fldChar w:fldCharType="begin"/>
      </w:r>
      <w:r w:rsidR="00A7413B">
        <w:instrText xml:space="preserve"> ADDIN ZOTERO_ITEM CSL_CITATION {"citationID":"ApBRstDI","properties":{"formattedCitation":"(14,18)","plainCitation":"(14,18)","noteIndex":0},"citationItems":[{"id":3043,"uris":["http://zotero.org/users/10339151/items/FU4RICBQ"],"itemData":{"id":3043,"type":"article-journal","container-title":"Human Reproduction","DOI":"10.1093/humrep/dez034","ISSN":"0268-1161, 1460-2350","issue":"5","language":"en","page":"872-880","source":"DOI.org (Crossref)","title":"Medroxyprogesterone acetate versus ganirelix in oocyte donation: a randomized controlled trial","title-short":"Medroxyprogesterone acetate versus ganirelix in oocyte donation","volume":"34","author":[{"family":"Beguería","given":"R"},{"family":"García","given":"D"},{"family":"Vassena","given":"R"},{"family":"Rodríguez","given":"A"}],"issued":{"date-parts":[["2019",5,1]]}},"label":"page"},{"id":3033,"uris":["http://zotero.org/users/10339151/items/J4A62WAP"],"itemData":{"id":3033,"type":"article-journal","container-title":"Medicine","DOI":"10.1097/MD.0000000000002939","ISSN":"0025-7974","issue":"9","language":"en","page":"e2939","source":"DOI.org (Crossref)","title":"Controlled Ovarian Stimulation Using Medroxyprogesterone Acetate and hMG in Patients With Polycystic Ovary Syndrome Treated for IVF: A Double-Blind Randomized Crossover Clinical Trial","title-short":"Controlled Ovarian Stimulation Using Medroxyprogesterone Acetate and hMG in Patients With Polycystic Ovary Syndrome Treated for IVF","volume":"95","author":[{"family":"Wang","given":"Yun"},{"family":"Chen","given":"Qiuju"},{"family":"Wang","given":"NingLing"},{"family":"Chen","given":"Hong"},{"family":"Lyu","given":"Qifeng"},{"family":"Kuang","given":"Yanping"}],"issued":{"date-parts":[["2016",3]]}},"label":"page"}],"schema":"https://github.com/citation-style-language/schema/raw/master/csl-citation.json"} </w:instrText>
      </w:r>
      <w:r w:rsidR="00F24733">
        <w:fldChar w:fldCharType="separate"/>
      </w:r>
      <w:r w:rsidR="00A7413B" w:rsidRPr="00A7413B">
        <w:t>(14,18)</w:t>
      </w:r>
      <w:r w:rsidR="00F24733">
        <w:fldChar w:fldCharType="end"/>
      </w:r>
      <w:r w:rsidR="004308EE">
        <w:t>.</w:t>
      </w:r>
    </w:p>
    <w:p w14:paraId="6ED50977" w14:textId="77777777" w:rsidR="0097631F" w:rsidRDefault="0097631F" w:rsidP="0097631F">
      <w:r>
        <w:t>No entanto, existem evidências escassas sobre a análise dos embriões quando a progesterona é utilizada para bloqueio do pico prematuro do LH em EOC para FIV-ICSI e, no presente estudo, não foi encontrada diferença na qualidade embrionária, nos diferentes protocolos avaliados.</w:t>
      </w:r>
    </w:p>
    <w:p w14:paraId="7DD91064" w14:textId="77777777" w:rsidR="0097631F" w:rsidRDefault="0097631F" w:rsidP="0097631F">
      <w:r>
        <w:t xml:space="preserve">Foi também avaliado neste estudo, o tempo em que os embriões levaram para atingir o estágio de blastocisto, por haver evidências na literatura desfavorável ao atraso na </w:t>
      </w:r>
      <w:proofErr w:type="spellStart"/>
      <w:r>
        <w:t>blastulação</w:t>
      </w:r>
      <w:proofErr w:type="spellEnd"/>
      <w:r>
        <w:t xml:space="preserve">. Não foi encontrado diferença para tempo de </w:t>
      </w:r>
      <w:proofErr w:type="spellStart"/>
      <w:r>
        <w:t>blastulação</w:t>
      </w:r>
      <w:proofErr w:type="spellEnd"/>
      <w:r>
        <w:t xml:space="preserve"> entre os grupos. </w:t>
      </w:r>
    </w:p>
    <w:p w14:paraId="0B56B767" w14:textId="09F7997A" w:rsidR="0097631F" w:rsidRDefault="0097631F" w:rsidP="0097631F">
      <w:r w:rsidRPr="003458CD">
        <w:t xml:space="preserve">Vários estudos demonstraram que a transferência de blastocistos </w:t>
      </w:r>
      <w:r>
        <w:t>de</w:t>
      </w:r>
      <w:r w:rsidRPr="003458CD">
        <w:t xml:space="preserve"> </w:t>
      </w:r>
      <w:r>
        <w:t>D</w:t>
      </w:r>
      <w:r w:rsidRPr="003458CD">
        <w:t xml:space="preserve">5 </w:t>
      </w:r>
      <w:r>
        <w:t>tem</w:t>
      </w:r>
      <w:r w:rsidRPr="003458CD">
        <w:t xml:space="preserve"> taxas de gravidez mais altas do que a transferência de blastocistos </w:t>
      </w:r>
      <w:r>
        <w:t>de D</w:t>
      </w:r>
      <w:r w:rsidRPr="003458CD">
        <w:t xml:space="preserve">6, sugerindo </w:t>
      </w:r>
      <w:r>
        <w:t xml:space="preserve">melhor </w:t>
      </w:r>
      <w:r w:rsidRPr="003458CD">
        <w:t>viabilidade para embriões de desenvolvimento mais rápido</w:t>
      </w:r>
      <w:r w:rsidR="00F24733">
        <w:fldChar w:fldCharType="begin"/>
      </w:r>
      <w:r w:rsidR="00106987">
        <w:instrText xml:space="preserve"> ADDIN ZOTERO_ITEM CSL_CITATION {"citationID":"dCsdMOHN","properties":{"formattedCitation":"(35,36)","plainCitation":"(35,36)","noteIndex":0},"citationItems":[{"id":3089,"uris":["http://zotero.org/users/10339151/items/6EKUDWEA"],"itemData":{"id":3089,"type":"article-journal","container-title":"International Journal of Clinical Medicine","issue":"11","page":"565–571","source":"Google Scholar","title":"Comparison of Pregnancy Outcomes of High-Quality D5-and D6-Blastocyst Transfer in Hormone-Replacement Frozen-Thawed Cycles","volume":"8","author":[{"family":"Xing","given":"Weijie"},{"family":"Cai","given":"Liuhong"},{"family":"Sun","given":"Li"},{"family":"Ou","given":"Jianping"}],"issued":{"date-parts":[["2017"]]}},"label":"page"},{"id":3091,"uris":["http://zotero.org/users/10339151/items/X43AHWEJ"],"itemData":{"id":3091,"type":"article-journal","container-title":"Cellular and Molecular Biology","issue":"4","page":"1–5","source":"Google Scholar","title":"Delayed development influences the outcome of different grades of D5 and D6 blastocysts during freeze–thaw cycle","volume":"65","author":[{"family":"Zhang","given":"Huina"},{"family":"Arhin","given":"Samuel Kofi"},{"family":"Zhao","given":"Junzhao"},{"family":"Hou","given":"Xiaohong"},{"family":"Chen","given":"Yilu"},{"family":"Huang","given":"Zhaoxia"}],"issued":{"date-parts":[["2019"]]}},"label":"page"}],"schema":"https://github.com/citation-style-language/schema/raw/master/csl-citation.json"} </w:instrText>
      </w:r>
      <w:r w:rsidR="00F24733">
        <w:fldChar w:fldCharType="separate"/>
      </w:r>
      <w:r w:rsidR="00106987" w:rsidRPr="00106987">
        <w:t>(35,36)</w:t>
      </w:r>
      <w:r w:rsidR="00F24733">
        <w:fldChar w:fldCharType="end"/>
      </w:r>
      <w:r>
        <w:t xml:space="preserve">. </w:t>
      </w:r>
      <w:r w:rsidRPr="00FF1087">
        <w:t>O crescimento tardio do embrião, bem como uma janela de implantação deslocada, pode explicar estas observações</w:t>
      </w:r>
      <w:r>
        <w:t>.</w:t>
      </w:r>
    </w:p>
    <w:p w14:paraId="18C6B3A0" w14:textId="479FA60B" w:rsidR="0097631F" w:rsidRDefault="0097631F" w:rsidP="0097631F">
      <w:r>
        <w:t>Além disso, d</w:t>
      </w:r>
      <w:r w:rsidRPr="0083638A">
        <w:t>e acordo com</w:t>
      </w:r>
      <w:r>
        <w:t xml:space="preserve"> </w:t>
      </w:r>
      <w:r w:rsidRPr="0083638A">
        <w:t>Tong</w:t>
      </w:r>
      <w:r>
        <w:t xml:space="preserve"> J e colaboradores</w:t>
      </w:r>
      <w:r w:rsidR="00F24733">
        <w:fldChar w:fldCharType="begin"/>
      </w:r>
      <w:r w:rsidR="00106987">
        <w:instrText xml:space="preserve"> ADDIN ZOTERO_ITEM CSL_CITATION {"citationID":"F6dbskNH","properties":{"formattedCitation":"(37)","plainCitation":"(37)","noteIndex":0},"citationItems":[{"id":3093,"uris":["http://zotero.org/users/10339151/items/U3GIILGX"],"itemData":{"id":3093,"type":"article-journal","container-title":"Journal of Assisted Reproduction and Genetics","DOI":"10.1007/s10815-022-02397-0","ISSN":"1058-0468, 1573-7330","issue":"2","journalAbbreviation":"J Assist Reprod Genet","language":"en","page":"369-377","source":"DOI.org (Crossref)","title":"Comparison of day 5 blastocyst with day 6 blastocyst: Evidence from NGS-based PGT-A results","title-short":"Comparison of day 5 blastocyst with day 6 blastocyst","volume":"39","author":[{"family":"Tong","given":"Jing"},{"family":"Niu","given":"Yichao"},{"family":"Wan","given":"Anran"},{"family":"Zhang","given":"Ting"}],"issued":{"date-parts":[["2022",2]]}}}],"schema":"https://github.com/citation-style-language/schema/raw/master/csl-citation.json"} </w:instrText>
      </w:r>
      <w:r w:rsidR="00F24733">
        <w:fldChar w:fldCharType="separate"/>
      </w:r>
      <w:r w:rsidR="00106987" w:rsidRPr="00106987">
        <w:t>(37)</w:t>
      </w:r>
      <w:r w:rsidR="00F24733">
        <w:fldChar w:fldCharType="end"/>
      </w:r>
      <w:r w:rsidR="009C5C9C">
        <w:t xml:space="preserve"> </w:t>
      </w:r>
      <w:r>
        <w:t>, em estudo retrospectivo que analisou 2531 blastocistos</w:t>
      </w:r>
      <w:r w:rsidRPr="0083638A">
        <w:t xml:space="preserve">, o dia da </w:t>
      </w:r>
      <w:proofErr w:type="spellStart"/>
      <w:r w:rsidRPr="0083638A">
        <w:t>blastulação</w:t>
      </w:r>
      <w:proofErr w:type="spellEnd"/>
      <w:r w:rsidRPr="0083638A">
        <w:t xml:space="preserve"> do embrião foi correlacionado com o seu estado de ploidia. A taxa </w:t>
      </w:r>
      <w:r>
        <w:t xml:space="preserve">blastocistos </w:t>
      </w:r>
      <w:proofErr w:type="spellStart"/>
      <w:r>
        <w:t>euploides</w:t>
      </w:r>
      <w:proofErr w:type="spellEnd"/>
      <w:r>
        <w:t xml:space="preserve"> do D5 foi </w:t>
      </w:r>
      <w:r w:rsidRPr="0083638A">
        <w:t xml:space="preserve">significativamente maior que a dos blastocistos do </w:t>
      </w:r>
      <w:r>
        <w:t>D</w:t>
      </w:r>
      <w:r w:rsidRPr="0083638A">
        <w:t>6</w:t>
      </w:r>
      <w:r>
        <w:t xml:space="preserve"> em mulheres com até 38 anos de idade.</w:t>
      </w:r>
    </w:p>
    <w:p w14:paraId="19E5C65D" w14:textId="4BD8ACDB" w:rsidR="0097631F" w:rsidRDefault="0097631F" w:rsidP="0097631F">
      <w:r>
        <w:t xml:space="preserve">Mas, é importante ressaltar que ainda não existe consenso se a transferência de blastocisto descongelado de D5 é superior </w:t>
      </w:r>
      <w:proofErr w:type="gramStart"/>
      <w:r>
        <w:t>a</w:t>
      </w:r>
      <w:proofErr w:type="gramEnd"/>
      <w:r>
        <w:t xml:space="preserve"> de D6. Alguns trabalhos relatam taxas de gravidez clínica mais elevadas após transferência de D5</w:t>
      </w:r>
      <w:r w:rsidR="00F24733">
        <w:fldChar w:fldCharType="begin"/>
      </w:r>
      <w:r w:rsidR="00106987">
        <w:instrText xml:space="preserve"> ADDIN ZOTERO_ITEM CSL_CITATION {"citationID":"aQfjkLWR","properties":{"formattedCitation":"(38,39)","plainCitation":"(38,39)","noteIndex":0},"citationItems":[{"id":3095,"uris":["http://zotero.org/users/10339151/items/IPMSB378"],"itemData":{"id":3095,"type":"article-journal","container-title":"Fertility and sterility","issue":"6","note":"publisher: Elsevier","page":"1370–1378","source":"Google Scholar","title":"Delayed blastulation, multinucleation, and expansion grade are independently associated with live-birth rates in frozen blastocyst transfer cycles","volume":"106","author":[{"family":"Desai","given":"Nina"},{"family":"Ploskonka","given":"Stephanie"},{"family":"Goodman","given":"Linnea"},{"family":"Attaran","given":"Marjan"},{"family":"Goldberg","given":"Jeffrey M."},{"family":"Austin","given":"Cynthia"},{"family":"Falcone","given":"Tommaso"}],"issued":{"date-parts":[["2016"]]}},"label":"page"},{"id":3099,"uris":["http://zotero.org/users/10339151/items/KIC6LZQJ"],"itemData":{"id":3099,"type":"article-journal","container-title":"Zygote","issue":"5","note":"publisher: Cambridge University Press","page":"684–691","source":"Google Scholar","title":"Effects of fifth day (D5) or sixth day (D6) frozen–thawed blastocysts on neonatal outcomes","volume":"24","author":[{"family":"Wang","given":"Xue"},{"family":"Zhen","given":"Jingran"},{"family":"Sun","given":"Zhengyi"},{"family":"Yu","given":"Qi"},{"family":"Deng","given":"Chengyan"},{"family":"Zhou","given":"Yuanzheng"},{"family":"Wang","given":"Hanbi"},{"family":"He","given":"Fangfang"}],"issued":{"date-parts":[["2016"]]}},"label":"page"}],"schema":"https://github.com/citation-style-language/schema/raw/master/csl-citation.json"} </w:instrText>
      </w:r>
      <w:r w:rsidR="00F24733">
        <w:fldChar w:fldCharType="separate"/>
      </w:r>
      <w:r w:rsidR="00106987" w:rsidRPr="00106987">
        <w:t>(38,39)</w:t>
      </w:r>
      <w:r w:rsidR="00F24733">
        <w:fldChar w:fldCharType="end"/>
      </w:r>
      <w:r>
        <w:t>, enquanto outros demonstram não haver diferença</w:t>
      </w:r>
      <w:r w:rsidR="00F24733">
        <w:fldChar w:fldCharType="begin"/>
      </w:r>
      <w:r w:rsidR="00106987">
        <w:instrText xml:space="preserve"> ADDIN ZOTERO_ITEM CSL_CITATION {"citationID":"j92I9ElU","properties":{"formattedCitation":"(39,40)","plainCitation":"(39,40)","noteIndex":0},"citationItems":[{"id":3101,"uris":["http://zotero.org/users/10339151/items/EPVLVNZG"],"itemData":{"id":3101,"type":"article-journal","container-title":"Journal of Assisted Reproduction and Genetics","note":"publisher: Springer","page":"913–919","source":"Google Scholar","title":"Pregnancy rates for single embryo transfer (SET) of day 5 and day 6 blastocysts after cryopreservation by vitrification and slow freeze","volume":"34","author":[{"family":"Kaye","given":"Leah"},{"family":"Will","given":"Erica Anspach"},{"family":"Bartolucci","given":"Alison"},{"family":"Nulsen","given":"John"},{"family":"Benadiva","given":"Claudio"},{"family":"Engmann","given":"Lawrence"}],"issued":{"date-parts":[["2017"]]}},"label":"page"},{"id":3099,"uris":["http://zotero.org/users/10339151/items/KIC6LZQJ"],"itemData":{"id":3099,"type":"article-journal","container-title":"Zygote","issue":"5","note":"publisher: Cambridge University Press","page":"684–691","source":"Google Scholar","title":"Effects of fifth day (D5) or sixth day (D6) frozen–thawed blastocysts on neonatal outcomes","volume":"24","author":[{"family":"Wang","given":"Xue"},{"family":"Zhen","given":"Jingran"},{"family":"Sun","given":"Zhengyi"},{"family":"Yu","given":"Qi"},{"family":"Deng","given":"Chengyan"},{"family":"Zhou","given":"Yuanzheng"},{"family":"Wang","given":"Hanbi"},{"family":"He","given":"Fangfang"}],"issued":{"date-parts":[["2016"]]}},"label":"page"}],"schema":"https://github.com/citation-style-language/schema/raw/master/csl-citation.json"} </w:instrText>
      </w:r>
      <w:r w:rsidR="00F24733">
        <w:fldChar w:fldCharType="separate"/>
      </w:r>
      <w:r w:rsidR="00106987" w:rsidRPr="00106987">
        <w:t>(39,40)</w:t>
      </w:r>
      <w:r w:rsidR="00F24733">
        <w:fldChar w:fldCharType="end"/>
      </w:r>
      <w:r>
        <w:t>.</w:t>
      </w:r>
    </w:p>
    <w:p w14:paraId="1EF78AF8" w14:textId="77777777" w:rsidR="0097631F" w:rsidRDefault="0097631F" w:rsidP="0097631F">
      <w:r w:rsidRPr="00464EFC">
        <w:t xml:space="preserve">A principal limitação deste trabalho foi o número de ciclos, por tratar-se de dados coletados em </w:t>
      </w:r>
      <w:proofErr w:type="spellStart"/>
      <w:r w:rsidRPr="00464EFC">
        <w:t>monocentro</w:t>
      </w:r>
      <w:proofErr w:type="spellEnd"/>
      <w:r>
        <w:t>,</w:t>
      </w:r>
      <w:r w:rsidRPr="00464EFC">
        <w:t xml:space="preserve"> e a diferente distribuição dos casos entre os grupos, uma vez que, o protocolo com a </w:t>
      </w:r>
      <w:proofErr w:type="spellStart"/>
      <w:r w:rsidRPr="00464EFC">
        <w:t>didrogesterona</w:t>
      </w:r>
      <w:proofErr w:type="spellEnd"/>
      <w:r w:rsidRPr="00464EFC">
        <w:t xml:space="preserve"> ainda não </w:t>
      </w:r>
      <w:r>
        <w:t>foi</w:t>
      </w:r>
      <w:r w:rsidRPr="00464EFC">
        <w:t xml:space="preserve"> totalmente aceito.</w:t>
      </w:r>
    </w:p>
    <w:p w14:paraId="199B13E1" w14:textId="77777777" w:rsidR="0097631F" w:rsidRDefault="0097631F" w:rsidP="0097631F">
      <w:r>
        <w:t>No entanto, s</w:t>
      </w:r>
      <w:r w:rsidRPr="00E0269A">
        <w:t xml:space="preserve">ão necessários mais estudos </w:t>
      </w:r>
      <w:r>
        <w:t xml:space="preserve">avaliando os </w:t>
      </w:r>
      <w:r w:rsidRPr="00E0269A">
        <w:t xml:space="preserve">resultados clínicos, laboratoriais e qualidade embrionária, incluindo a </w:t>
      </w:r>
      <w:r>
        <w:t>prevalência</w:t>
      </w:r>
      <w:r w:rsidRPr="00E0269A">
        <w:t xml:space="preserve"> de </w:t>
      </w:r>
      <w:r>
        <w:t xml:space="preserve">complicações, tais como a síndrome de </w:t>
      </w:r>
      <w:proofErr w:type="spellStart"/>
      <w:r>
        <w:t>hiperestimulação</w:t>
      </w:r>
      <w:proofErr w:type="spellEnd"/>
      <w:r>
        <w:t xml:space="preserve"> ovariana para concluir a equidade ou superioridade dos protocolos.</w:t>
      </w:r>
    </w:p>
    <w:p w14:paraId="07C72D0E" w14:textId="1C4ABBFF" w:rsidR="000C7353" w:rsidRDefault="000C7353" w:rsidP="00C81291"/>
    <w:p w14:paraId="7F181A65" w14:textId="77777777" w:rsidR="000C7353" w:rsidRDefault="00026A98" w:rsidP="00C81291">
      <w:r>
        <w:tab/>
      </w:r>
      <w:r>
        <w:tab/>
      </w:r>
      <w:r>
        <w:br w:type="page"/>
      </w:r>
    </w:p>
    <w:p w14:paraId="1AF9B94E" w14:textId="77793A64" w:rsidR="000C7353" w:rsidRDefault="00026A98" w:rsidP="000E5AF0">
      <w:pPr>
        <w:pStyle w:val="Ttulo1"/>
      </w:pPr>
      <w:bookmarkStart w:id="17" w:name="_Toc152013939"/>
      <w:r>
        <w:lastRenderedPageBreak/>
        <w:t>CONCLUSÃO</w:t>
      </w:r>
      <w:bookmarkEnd w:id="17"/>
      <w:r>
        <w:t xml:space="preserve"> </w:t>
      </w:r>
    </w:p>
    <w:p w14:paraId="39F3DA89" w14:textId="767A6E6E" w:rsidR="000C7353" w:rsidRDefault="0097631F" w:rsidP="00C81291">
      <w:r w:rsidRPr="0097631F">
        <w:rPr>
          <w:color w:val="auto"/>
        </w:rPr>
        <w:t xml:space="preserve">O protocolo PPOS com </w:t>
      </w:r>
      <w:proofErr w:type="spellStart"/>
      <w:r w:rsidRPr="0097631F">
        <w:rPr>
          <w:color w:val="auto"/>
        </w:rPr>
        <w:t>didrogesterona</w:t>
      </w:r>
      <w:proofErr w:type="spellEnd"/>
      <w:r w:rsidRPr="0097631F">
        <w:rPr>
          <w:color w:val="auto"/>
        </w:rPr>
        <w:t xml:space="preserve"> apresentou desfechos reprodutivos clínicos e laboratoriais semelhantes aos verificados no protocolo tradicional com antagonista do </w:t>
      </w:r>
      <w:proofErr w:type="spellStart"/>
      <w:r w:rsidRPr="0097631F">
        <w:rPr>
          <w:color w:val="auto"/>
        </w:rPr>
        <w:t>GnRH</w:t>
      </w:r>
      <w:proofErr w:type="spellEnd"/>
      <w:r w:rsidRPr="0097631F">
        <w:rPr>
          <w:color w:val="auto"/>
        </w:rPr>
        <w:t>. No entanto, são necessários mais estudos, em especial, ensaios clínicos randomizados, a fim de estabelecer este protocolo como alternativa mais amigável e econômica às pacientes durante a EOC para FIV.</w:t>
      </w:r>
      <w:r w:rsidR="00026A98">
        <w:tab/>
      </w:r>
    </w:p>
    <w:p w14:paraId="5B139388" w14:textId="77777777" w:rsidR="000C7353" w:rsidRDefault="00026A98" w:rsidP="00C81291">
      <w:r>
        <w:tab/>
      </w:r>
    </w:p>
    <w:p w14:paraId="190FB97A" w14:textId="77777777" w:rsidR="000C7353" w:rsidRDefault="00026A98" w:rsidP="00C81291">
      <w:r>
        <w:tab/>
      </w:r>
    </w:p>
    <w:p w14:paraId="0B4B3479" w14:textId="77777777" w:rsidR="000C7353" w:rsidRDefault="00026A98" w:rsidP="00C81291">
      <w:r>
        <w:tab/>
      </w:r>
      <w:r>
        <w:tab/>
      </w:r>
      <w:r>
        <w:br w:type="page"/>
      </w:r>
    </w:p>
    <w:p w14:paraId="5F28AD71" w14:textId="200622BB" w:rsidR="000C7353" w:rsidRDefault="00026A98" w:rsidP="000E5AF0">
      <w:pPr>
        <w:pStyle w:val="Ttulo1"/>
      </w:pPr>
      <w:r w:rsidRPr="00ED3A8A">
        <w:lastRenderedPageBreak/>
        <w:t xml:space="preserve"> </w:t>
      </w:r>
      <w:bookmarkStart w:id="18" w:name="_Toc152013940"/>
      <w:r w:rsidRPr="00ED3A8A">
        <w:t>REFERÊNCIAS BIBLIOGRÁFICAS</w:t>
      </w:r>
      <w:bookmarkEnd w:id="18"/>
      <w:r w:rsidRPr="00ED3A8A">
        <w:t xml:space="preserve"> </w:t>
      </w:r>
    </w:p>
    <w:p w14:paraId="266F1C67" w14:textId="0FA1654D" w:rsidR="00432E8E" w:rsidRDefault="00432E8E" w:rsidP="00432E8E"/>
    <w:p w14:paraId="54B638E1" w14:textId="77777777" w:rsidR="00106987" w:rsidRPr="00106987" w:rsidRDefault="00432E8E" w:rsidP="00106987">
      <w:pPr>
        <w:pStyle w:val="Bibliografia"/>
      </w:pPr>
      <w:r>
        <w:fldChar w:fldCharType="begin"/>
      </w:r>
      <w:r w:rsidR="00A7413B" w:rsidRPr="00A7413B">
        <w:instrText xml:space="preserve"> ADDIN ZOTERO_BIBL {"uncited":[],"omitted":[],"custom":[]} CSL_BIBLIOGRAPHY </w:instrText>
      </w:r>
      <w:r>
        <w:fldChar w:fldCharType="separate"/>
      </w:r>
      <w:r w:rsidR="00106987" w:rsidRPr="00106987">
        <w:t>1.</w:t>
      </w:r>
      <w:r w:rsidR="00106987" w:rsidRPr="00106987">
        <w:tab/>
        <w:t xml:space="preserve">Vayena E, Rowe PJ, Griffin PD. </w:t>
      </w:r>
      <w:r w:rsidR="00106987" w:rsidRPr="00106987">
        <w:rPr>
          <w:lang w:val="en-US"/>
        </w:rPr>
        <w:t xml:space="preserve">Current practices and controversies in assisted reproduction: report of a meeting on medical, ethical and social aspects of assisted reproduction, held at WHO Headquarters in Geneva, Switzerland [Internet]. </w:t>
      </w:r>
      <w:r w:rsidR="00106987" w:rsidRPr="00106987">
        <w:t>World Health Organization; 2002 [citado 27 de novembro de 2023]. Disponível em: https://apps.who.int/iris/bitstream/handle/10665/42576/92?sequence=1</w:t>
      </w:r>
    </w:p>
    <w:p w14:paraId="6DB0F2DE" w14:textId="77777777" w:rsidR="00106987" w:rsidRPr="00106987" w:rsidRDefault="00106987" w:rsidP="00106987">
      <w:pPr>
        <w:pStyle w:val="Bibliografia"/>
      </w:pPr>
      <w:r w:rsidRPr="00106987">
        <w:rPr>
          <w:lang w:val="en-US"/>
        </w:rPr>
        <w:t>2.</w:t>
      </w:r>
      <w:r w:rsidRPr="00106987">
        <w:rPr>
          <w:lang w:val="en-US"/>
        </w:rPr>
        <w:tab/>
        <w:t xml:space="preserve">Organization WH. Infertility prevalence estimates: 1990–2021. </w:t>
      </w:r>
      <w:r w:rsidRPr="00106987">
        <w:t>2023 [citado 27 de novembro de 2023]; Disponível em: https://apps.who.int/iris/bitstream/handle/10665/366700/9789240068315-eng.pdf</w:t>
      </w:r>
    </w:p>
    <w:p w14:paraId="38621467" w14:textId="77777777" w:rsidR="00106987" w:rsidRPr="00106987" w:rsidRDefault="00106987" w:rsidP="00106987">
      <w:pPr>
        <w:pStyle w:val="Bibliografia"/>
        <w:rPr>
          <w:lang w:val="en-US"/>
        </w:rPr>
      </w:pPr>
      <w:r w:rsidRPr="00106987">
        <w:rPr>
          <w:lang w:val="en-US"/>
        </w:rPr>
        <w:t>3.</w:t>
      </w:r>
      <w:r w:rsidRPr="00106987">
        <w:rPr>
          <w:lang w:val="en-US"/>
        </w:rPr>
        <w:tab/>
        <w:t xml:space="preserve">Kamel RM. Assisted reproductive technology after the birth of Louise Brown. Journal of reproduction &amp; infertility. 2013;14(3):96. </w:t>
      </w:r>
    </w:p>
    <w:p w14:paraId="25B580AC" w14:textId="77777777" w:rsidR="00106987" w:rsidRPr="00106987" w:rsidRDefault="00106987" w:rsidP="00106987">
      <w:pPr>
        <w:pStyle w:val="Bibliografia"/>
        <w:rPr>
          <w:lang w:val="en-US"/>
        </w:rPr>
      </w:pPr>
      <w:r w:rsidRPr="00106987">
        <w:rPr>
          <w:lang w:val="en-US"/>
        </w:rPr>
        <w:t>4.</w:t>
      </w:r>
      <w:r w:rsidRPr="00106987">
        <w:rPr>
          <w:lang w:val="en-US"/>
        </w:rPr>
        <w:tab/>
        <w:t xml:space="preserve">Ata B, Capuzzo M, Turkgeldi E, Yildiz S, La Marca A. Progestins for pituitary suppression during ovarian stimulation for ART: a comprehensive and systematic review including meta-analyses. Human Reproduction Update. 2021;27(1):48–66. </w:t>
      </w:r>
    </w:p>
    <w:p w14:paraId="3F160460" w14:textId="77777777" w:rsidR="00106987" w:rsidRPr="00106987" w:rsidRDefault="00106987" w:rsidP="00106987">
      <w:pPr>
        <w:pStyle w:val="Bibliografia"/>
        <w:rPr>
          <w:lang w:val="en-US"/>
        </w:rPr>
      </w:pPr>
      <w:r w:rsidRPr="00106987">
        <w:rPr>
          <w:lang w:val="en-US"/>
        </w:rPr>
        <w:t>5.</w:t>
      </w:r>
      <w:r w:rsidRPr="00106987">
        <w:rPr>
          <w:lang w:val="en-US"/>
        </w:rPr>
        <w:tab/>
        <w:t xml:space="preserve">Macklon NS, Stouffer RL, Giudice LC, Fauser BC. The science behind 25 years of ovarian stimulation for in vitro fertilization. Endocrine reviews. 2006;27(2):170–207. </w:t>
      </w:r>
    </w:p>
    <w:p w14:paraId="4AB2B210" w14:textId="77777777" w:rsidR="00106987" w:rsidRPr="00106987" w:rsidRDefault="00106987" w:rsidP="00106987">
      <w:pPr>
        <w:pStyle w:val="Bibliografia"/>
        <w:rPr>
          <w:lang w:val="en-US"/>
        </w:rPr>
      </w:pPr>
      <w:r w:rsidRPr="00106987">
        <w:rPr>
          <w:lang w:val="en-US"/>
        </w:rPr>
        <w:t>6.</w:t>
      </w:r>
      <w:r w:rsidRPr="00106987">
        <w:rPr>
          <w:lang w:val="en-US"/>
        </w:rPr>
        <w:tab/>
        <w:t xml:space="preserve">Bhandari HM, Choudhary MK, Stewart JA. An overview of assisted reproductive technology procedures. The Obstetric &amp;amp; Gynaecologis. julho de 2018;20(3):167–76. </w:t>
      </w:r>
    </w:p>
    <w:p w14:paraId="4465EBD3" w14:textId="77777777" w:rsidR="00106987" w:rsidRPr="00106987" w:rsidRDefault="00106987" w:rsidP="00106987">
      <w:pPr>
        <w:pStyle w:val="Bibliografia"/>
        <w:rPr>
          <w:lang w:val="en-US"/>
        </w:rPr>
      </w:pPr>
      <w:r w:rsidRPr="00106987">
        <w:rPr>
          <w:lang w:val="en-US"/>
        </w:rPr>
        <w:t>7.</w:t>
      </w:r>
      <w:r w:rsidRPr="00106987">
        <w:rPr>
          <w:lang w:val="en-US"/>
        </w:rPr>
        <w:tab/>
        <w:t xml:space="preserve">Stimulation EGG on O, Bosch E, Broer S, Griesinger G, Grynberg M, Humaidan P, et al. ESHRE guideline: ovarian stimulation for IVF/ICSI. Human reproduction open. 2020;2020(2):hoaa009. </w:t>
      </w:r>
    </w:p>
    <w:p w14:paraId="1514D998" w14:textId="77777777" w:rsidR="00106987" w:rsidRPr="00106987" w:rsidRDefault="00106987" w:rsidP="00106987">
      <w:pPr>
        <w:pStyle w:val="Bibliografia"/>
        <w:rPr>
          <w:lang w:val="en-US"/>
        </w:rPr>
      </w:pPr>
      <w:r w:rsidRPr="00106987">
        <w:rPr>
          <w:lang w:val="en-US"/>
        </w:rPr>
        <w:t>8.</w:t>
      </w:r>
      <w:r w:rsidRPr="00106987">
        <w:rPr>
          <w:lang w:val="en-US"/>
        </w:rPr>
        <w:tab/>
        <w:t xml:space="preserve">Kuang Y, Chen Q, Fu Y, Wang Y, Hong Q, Lyu Q, et al. Medroxyprogesterone acetate is an effective oral alternative for preventing premature luteinizing hormone surges in women undergoing controlled ovarian hyperstimulation for in vitro fertilization. Fertility and sterility. 2015;104(1):62–70. </w:t>
      </w:r>
    </w:p>
    <w:p w14:paraId="5BEC4AD3" w14:textId="77777777" w:rsidR="00106987" w:rsidRPr="00106987" w:rsidRDefault="00106987" w:rsidP="00106987">
      <w:pPr>
        <w:pStyle w:val="Bibliografia"/>
        <w:rPr>
          <w:lang w:val="en-US"/>
        </w:rPr>
      </w:pPr>
      <w:r w:rsidRPr="00106987">
        <w:rPr>
          <w:lang w:val="en-US"/>
        </w:rPr>
        <w:t>9.</w:t>
      </w:r>
      <w:r w:rsidRPr="00106987">
        <w:rPr>
          <w:lang w:val="en-US"/>
        </w:rPr>
        <w:tab/>
        <w:t xml:space="preserve">Huang TC, Huang MZ, Seow KM, Yang IJ, Pan SP, Chen MJ, et al. Progestin primed ovarian stimulation using corifollitropin alfa in PCOS women effectively prevents LH surge and reduces injection burden compared to GnRH antagonist protocol. Sci Rep. 23 de novembro de 2021;11(1):22732. </w:t>
      </w:r>
    </w:p>
    <w:p w14:paraId="12FF59BF" w14:textId="77777777" w:rsidR="00106987" w:rsidRPr="00106987" w:rsidRDefault="00106987" w:rsidP="00106987">
      <w:pPr>
        <w:pStyle w:val="Bibliografia"/>
        <w:rPr>
          <w:lang w:val="en-US"/>
        </w:rPr>
      </w:pPr>
      <w:r w:rsidRPr="00106987">
        <w:rPr>
          <w:lang w:val="en-US"/>
        </w:rPr>
        <w:t>10.</w:t>
      </w:r>
      <w:r w:rsidRPr="00106987">
        <w:rPr>
          <w:lang w:val="en-US"/>
        </w:rPr>
        <w:tab/>
        <w:t xml:space="preserve">Evans MB, Parikh T, DeCherney AH, Csokmay JM, Healy MW, Hill MJ. Evaluation of the cost-effectiveness of ovulation suppression with progestins compared with GnRH analogs in assisted reproduction cycles. Reproductive biomedicine online. 2019;38(5):691–8. </w:t>
      </w:r>
    </w:p>
    <w:p w14:paraId="6922A6BD" w14:textId="77777777" w:rsidR="00106987" w:rsidRPr="00106987" w:rsidRDefault="00106987" w:rsidP="00106987">
      <w:pPr>
        <w:pStyle w:val="Bibliografia"/>
        <w:rPr>
          <w:lang w:val="en-US"/>
        </w:rPr>
      </w:pPr>
      <w:r w:rsidRPr="00106987">
        <w:rPr>
          <w:lang w:val="en-US"/>
        </w:rPr>
        <w:t>11.</w:t>
      </w:r>
      <w:r w:rsidRPr="00106987">
        <w:rPr>
          <w:lang w:val="en-US"/>
        </w:rPr>
        <w:tab/>
        <w:t xml:space="preserve">Cui L, Lin Y, Wang F, Chen C. Effectiveness of progesterone-primed ovarian stimulation in assisted reproductive technology: a systematic review and meta-analysis. Arch Gynecol Obstet. março de 2021;303(3):615–30. </w:t>
      </w:r>
    </w:p>
    <w:p w14:paraId="71637CE5" w14:textId="77777777" w:rsidR="00106987" w:rsidRPr="00106987" w:rsidRDefault="00106987" w:rsidP="00106987">
      <w:pPr>
        <w:pStyle w:val="Bibliografia"/>
        <w:rPr>
          <w:lang w:val="en-US"/>
        </w:rPr>
      </w:pPr>
      <w:r w:rsidRPr="00106987">
        <w:rPr>
          <w:lang w:val="en-US"/>
        </w:rPr>
        <w:t>12.</w:t>
      </w:r>
      <w:r w:rsidRPr="00106987">
        <w:rPr>
          <w:lang w:val="en-US"/>
        </w:rPr>
        <w:tab/>
        <w:t xml:space="preserve">Alexandru P, Cekic SG, Yildiz S, Turkgeldi E, Ata B. Progestins versus GnRH analogues for pituitary suppression during ovarian stimulation for assisted reproductive technology: a systematic review and meta-analysis. Reproductive biomedicine online. 2020;40(6):894–903. </w:t>
      </w:r>
    </w:p>
    <w:p w14:paraId="10BB4E09" w14:textId="77777777" w:rsidR="00106987" w:rsidRPr="00106987" w:rsidRDefault="00106987" w:rsidP="00106987">
      <w:pPr>
        <w:pStyle w:val="Bibliografia"/>
      </w:pPr>
      <w:r w:rsidRPr="00106987">
        <w:rPr>
          <w:lang w:val="en-US"/>
        </w:rPr>
        <w:t>13.</w:t>
      </w:r>
      <w:r w:rsidRPr="00106987">
        <w:rPr>
          <w:lang w:val="en-US"/>
        </w:rPr>
        <w:tab/>
        <w:t xml:space="preserve">Eftekhar M, Hoseini M, Saeed L. Progesterone- primed ovarian stimulation in polycystic ovarian syndrome: An RCT. </w:t>
      </w:r>
      <w:r w:rsidRPr="00106987">
        <w:t>IJRM [Internet]. 22 de setembro de 2019 [citado 27 de novembro de 2023]; Disponível em: https://knepublishing.com/index.php/ijrm/article/view/5103</w:t>
      </w:r>
    </w:p>
    <w:p w14:paraId="7CAD7806" w14:textId="77777777" w:rsidR="00106987" w:rsidRPr="00106987" w:rsidRDefault="00106987" w:rsidP="00106987">
      <w:pPr>
        <w:pStyle w:val="Bibliografia"/>
      </w:pPr>
      <w:r w:rsidRPr="00106987">
        <w:rPr>
          <w:lang w:val="en-US"/>
        </w:rPr>
        <w:lastRenderedPageBreak/>
        <w:t>14.</w:t>
      </w:r>
      <w:r w:rsidRPr="00106987">
        <w:rPr>
          <w:lang w:val="en-US"/>
        </w:rPr>
        <w:tab/>
        <w:t xml:space="preserve">Wang Y, Chen Q, Wang N, Chen H, Lyu Q, Kuang Y. Controlled Ovarian Stimulation Using Medroxyprogesterone Acetate and hMG in Patients With Polycystic Ovary Syndrome Treated for IVF: A Double-Blind Randomized Crossover Clinical Trial. </w:t>
      </w:r>
      <w:r w:rsidRPr="00106987">
        <w:t xml:space="preserve">Medicine. março de 2016;95(9):e2939. </w:t>
      </w:r>
    </w:p>
    <w:p w14:paraId="25E26655" w14:textId="77777777" w:rsidR="00106987" w:rsidRPr="00106987" w:rsidRDefault="00106987" w:rsidP="00106987">
      <w:pPr>
        <w:pStyle w:val="Bibliografia"/>
      </w:pPr>
      <w:r w:rsidRPr="00106987">
        <w:t>15.</w:t>
      </w:r>
      <w:r w:rsidRPr="00106987">
        <w:tab/>
        <w:t xml:space="preserve">Chen Q, Chai W, Wang Y, Cai R, Zhang S, Lu X, et al. </w:t>
      </w:r>
      <w:r w:rsidRPr="00106987">
        <w:rPr>
          <w:lang w:val="en-US"/>
        </w:rPr>
        <w:t xml:space="preserve">Progestin vs. Gonadotropin-Releasing Hormone Antagonist for the Prevention of Premature Luteinizing Hormone Surges in Poor Responders Undergoing in vitro Fertilization Treatment: A Randomized Controlled Trial. </w:t>
      </w:r>
      <w:r w:rsidRPr="00106987">
        <w:t xml:space="preserve">Front Endocrinol. 22 de novembro de 2019;10:796. </w:t>
      </w:r>
    </w:p>
    <w:p w14:paraId="797C90EF" w14:textId="77777777" w:rsidR="00106987" w:rsidRPr="00106987" w:rsidRDefault="00106987" w:rsidP="00106987">
      <w:pPr>
        <w:pStyle w:val="Bibliografia"/>
      </w:pPr>
      <w:r w:rsidRPr="00106987">
        <w:t>16.</w:t>
      </w:r>
      <w:r w:rsidRPr="00106987">
        <w:tab/>
        <w:t xml:space="preserve">Peng Q, Cao X, Wang J, Wang L, Xu J, Ji X, et al. </w:t>
      </w:r>
      <w:r w:rsidRPr="00106987">
        <w:rPr>
          <w:lang w:val="en-US"/>
        </w:rPr>
        <w:t xml:space="preserve">Progestin-primed ovarian stimulation vs mild stimulation in women with advanced age above 40: a retrospective cohort study. </w:t>
      </w:r>
      <w:r w:rsidRPr="00106987">
        <w:t xml:space="preserve">Reprod Biol Endocrinol. dezembro de 2019;17(1):91. </w:t>
      </w:r>
    </w:p>
    <w:p w14:paraId="3AD11AA9" w14:textId="77777777" w:rsidR="00106987" w:rsidRPr="00106987" w:rsidRDefault="00106987" w:rsidP="00106987">
      <w:pPr>
        <w:pStyle w:val="Bibliografia"/>
      </w:pPr>
      <w:r w:rsidRPr="00106987">
        <w:t>17.</w:t>
      </w:r>
      <w:r w:rsidRPr="00106987">
        <w:tab/>
        <w:t xml:space="preserve">Mathieu d’Argent E, Ferrier C, Zacharopoulou C, Ahdad-Yata N, Boudy AS, Cantalloube A, et al. </w:t>
      </w:r>
      <w:r w:rsidRPr="00106987">
        <w:rPr>
          <w:lang w:val="en-US"/>
        </w:rPr>
        <w:t xml:space="preserve">Outcomes of fertility preservation in women with endometriosis: comparison of progestin-primed ovarian stimulation versus antagonist protocols. </w:t>
      </w:r>
      <w:r w:rsidRPr="00106987">
        <w:t xml:space="preserve">J Ovarian Res. dezembro de 2020;13(1):18. </w:t>
      </w:r>
    </w:p>
    <w:p w14:paraId="02F8865D" w14:textId="77777777" w:rsidR="00106987" w:rsidRPr="00106987" w:rsidRDefault="00106987" w:rsidP="00106987">
      <w:pPr>
        <w:pStyle w:val="Bibliografia"/>
      </w:pPr>
      <w:r w:rsidRPr="00106987">
        <w:t>18.</w:t>
      </w:r>
      <w:r w:rsidRPr="00106987">
        <w:tab/>
        <w:t>Beguería R, García D, Vassena R, Rodríguez A. Medroxyprogesterone acetate versus ganirelix in oocyte donation: a randomized controlled trial. Human Reproduction. 1</w:t>
      </w:r>
      <w:r w:rsidRPr="00106987">
        <w:rPr>
          <w:vertAlign w:val="superscript"/>
        </w:rPr>
        <w:t>o</w:t>
      </w:r>
      <w:r w:rsidRPr="00106987">
        <w:t xml:space="preserve"> de maio de 2019;34(5):872–80. </w:t>
      </w:r>
    </w:p>
    <w:p w14:paraId="13473D68" w14:textId="77777777" w:rsidR="00106987" w:rsidRPr="00106987" w:rsidRDefault="00106987" w:rsidP="00106987">
      <w:pPr>
        <w:pStyle w:val="Bibliografia"/>
        <w:rPr>
          <w:lang w:val="en-US"/>
        </w:rPr>
      </w:pPr>
      <w:r w:rsidRPr="00106987">
        <w:t>19.</w:t>
      </w:r>
      <w:r w:rsidRPr="00106987">
        <w:tab/>
        <w:t xml:space="preserve">Guo H, Wang Y, Chen Q, Chai W, Sun L, Ai A, et al. </w:t>
      </w:r>
      <w:r w:rsidRPr="00106987">
        <w:rPr>
          <w:lang w:val="en-US"/>
        </w:rPr>
        <w:t xml:space="preserve">Use of medroxyprogesterone acetate in women with ovarian endometriosis undergoing controlled ovarian hyperstimulation for in vitro fertilization. Sci Rep. 20 de setembro de 2017;7(1):11927. </w:t>
      </w:r>
    </w:p>
    <w:p w14:paraId="2F0B8B49" w14:textId="77777777" w:rsidR="00106987" w:rsidRPr="00106987" w:rsidRDefault="00106987" w:rsidP="00106987">
      <w:pPr>
        <w:pStyle w:val="Bibliografia"/>
        <w:rPr>
          <w:lang w:val="en-US"/>
        </w:rPr>
      </w:pPr>
      <w:r w:rsidRPr="00106987">
        <w:rPr>
          <w:lang w:val="en-US"/>
        </w:rPr>
        <w:t>20.</w:t>
      </w:r>
      <w:r w:rsidRPr="00106987">
        <w:rPr>
          <w:lang w:val="en-US"/>
        </w:rPr>
        <w:tab/>
        <w:t xml:space="preserve">Tu X, You B, Jing M, Lin C, Zhang R. Progestin-Primed Ovarian Stimulation Versus Mild Stimulation Protocol in Advanced Age Women With Diminished Ovarian Reserve Undergoing Their First In Vitro Fertilization Cycle: A Retrospective Cohort Study. Front Endocrinol. 24 de janeiro de 2022;12:801026. </w:t>
      </w:r>
    </w:p>
    <w:p w14:paraId="68EB4B74" w14:textId="77777777" w:rsidR="00106987" w:rsidRPr="00106987" w:rsidRDefault="00106987" w:rsidP="00106987">
      <w:pPr>
        <w:pStyle w:val="Bibliografia"/>
        <w:rPr>
          <w:lang w:val="en-US"/>
        </w:rPr>
      </w:pPr>
      <w:r w:rsidRPr="00106987">
        <w:rPr>
          <w:lang w:val="en-US"/>
        </w:rPr>
        <w:t>21.</w:t>
      </w:r>
      <w:r w:rsidRPr="00106987">
        <w:rPr>
          <w:lang w:val="en-US"/>
        </w:rPr>
        <w:tab/>
        <w:t xml:space="preserve">Andersen CY. Levels of steroid-binding proteins and steroids in human preovulatory follicle fluid and serum as predictors of success in in vitro fertilization-embryo transfer treatment. The Journal of Clinical Endocrinology &amp; Metabolism. 1990;71(5):1375–81. </w:t>
      </w:r>
    </w:p>
    <w:p w14:paraId="25BA9C79" w14:textId="77777777" w:rsidR="00106987" w:rsidRPr="00106987" w:rsidRDefault="00106987" w:rsidP="00106987">
      <w:pPr>
        <w:pStyle w:val="Bibliografia"/>
        <w:rPr>
          <w:lang w:val="en-US"/>
        </w:rPr>
      </w:pPr>
      <w:r w:rsidRPr="00106987">
        <w:rPr>
          <w:lang w:val="en-US"/>
        </w:rPr>
        <w:t>22.</w:t>
      </w:r>
      <w:r w:rsidRPr="00106987">
        <w:rPr>
          <w:lang w:val="en-US"/>
        </w:rPr>
        <w:tab/>
        <w:t xml:space="preserve">Salehnia M, Zavareh S. The effects of progesterone on oocyte maturation and embryo development. International journal of fertility &amp; sterility. 2013;7(2):74. </w:t>
      </w:r>
    </w:p>
    <w:p w14:paraId="0311A70D" w14:textId="77777777" w:rsidR="00106987" w:rsidRPr="00106987" w:rsidRDefault="00106987" w:rsidP="00106987">
      <w:pPr>
        <w:pStyle w:val="Bibliografia"/>
        <w:rPr>
          <w:lang w:val="en-US"/>
        </w:rPr>
      </w:pPr>
      <w:r w:rsidRPr="00106987">
        <w:rPr>
          <w:lang w:val="en-US"/>
        </w:rPr>
        <w:t>23.</w:t>
      </w:r>
      <w:r w:rsidRPr="00106987">
        <w:rPr>
          <w:lang w:val="en-US"/>
        </w:rPr>
        <w:tab/>
        <w:t xml:space="preserve">Dressing GE, Goldberg JE, Charles NJ, Schwertfeger KL, Lange CA. Membrane progesterone receptor expression in mammalian tissues: a review of regulation and physiological implications. Steroids. 2011;76(1–2):11–7. </w:t>
      </w:r>
    </w:p>
    <w:p w14:paraId="57425013" w14:textId="77777777" w:rsidR="00106987" w:rsidRPr="00106987" w:rsidRDefault="00106987" w:rsidP="00106987">
      <w:pPr>
        <w:pStyle w:val="Bibliografia"/>
      </w:pPr>
      <w:r w:rsidRPr="00106987">
        <w:rPr>
          <w:lang w:val="en-US"/>
        </w:rPr>
        <w:t>24.</w:t>
      </w:r>
      <w:r w:rsidRPr="00106987">
        <w:rPr>
          <w:lang w:val="en-US"/>
        </w:rPr>
        <w:tab/>
        <w:t xml:space="preserve">Rękawiecki R, Kowalik M, Kotwica J. Nuclear progesterone receptor isoforms and their functions in the female reproductive tract. </w:t>
      </w:r>
      <w:r w:rsidRPr="00106987">
        <w:t>Polish journal of veterinary sciences [Internet]. 2011 [citado 27 de novembro de 2023]; Disponível em: https://journals.pan.pl/dlibra/show-content?id=98917</w:t>
      </w:r>
    </w:p>
    <w:p w14:paraId="2606C525" w14:textId="77777777" w:rsidR="00106987" w:rsidRPr="00106987" w:rsidRDefault="00106987" w:rsidP="00106987">
      <w:pPr>
        <w:pStyle w:val="Bibliografia"/>
        <w:rPr>
          <w:lang w:val="en-US"/>
        </w:rPr>
      </w:pPr>
      <w:r w:rsidRPr="00106987">
        <w:rPr>
          <w:lang w:val="en-US"/>
        </w:rPr>
        <w:t>25.</w:t>
      </w:r>
      <w:r w:rsidRPr="00106987">
        <w:rPr>
          <w:lang w:val="en-US"/>
        </w:rPr>
        <w:tab/>
        <w:t xml:space="preserve">Gardner DK. In-vitro culture of human blastocysts. Towards reproductive certainty: fertility and genetics beyond 1999. 1999;378–88. </w:t>
      </w:r>
    </w:p>
    <w:p w14:paraId="6CC5D78F" w14:textId="77777777" w:rsidR="00106987" w:rsidRPr="00106987" w:rsidRDefault="00106987" w:rsidP="00106987">
      <w:pPr>
        <w:pStyle w:val="Bibliografia"/>
        <w:rPr>
          <w:lang w:val="en-US"/>
        </w:rPr>
      </w:pPr>
      <w:r w:rsidRPr="00106987">
        <w:rPr>
          <w:lang w:val="en-US"/>
        </w:rPr>
        <w:t>26.</w:t>
      </w:r>
      <w:r w:rsidRPr="00106987">
        <w:rPr>
          <w:lang w:val="en-US"/>
        </w:rPr>
        <w:tab/>
        <w:t xml:space="preserve">Gardner DK, Lane M, Stevens J, Schlenker T, Schoolcraft WB. Blastocyst score affects implantation and pregnancy outcome: towards a single blastocyst transfer. Fertility and Sterility. junho de 2000;73(6):1155–8. </w:t>
      </w:r>
    </w:p>
    <w:p w14:paraId="7CEB6ED9" w14:textId="77777777" w:rsidR="00106987" w:rsidRPr="00106987" w:rsidRDefault="00106987" w:rsidP="00106987">
      <w:pPr>
        <w:pStyle w:val="Bibliografia"/>
        <w:rPr>
          <w:lang w:val="en-US"/>
        </w:rPr>
      </w:pPr>
      <w:r w:rsidRPr="00106987">
        <w:rPr>
          <w:lang w:val="en-US"/>
        </w:rPr>
        <w:t>27.</w:t>
      </w:r>
      <w:r w:rsidRPr="00106987">
        <w:rPr>
          <w:lang w:val="en-US"/>
        </w:rPr>
        <w:tab/>
        <w:t xml:space="preserve">Alpha Scientists in Reproductive Medicine and ESHRE Special Interest Group of Embryology, Balaban B, Brison D, Calderon G, Catt J, Conaghan J, et al. The Istanbul consensus workshop </w:t>
      </w:r>
      <w:r w:rsidRPr="00106987">
        <w:rPr>
          <w:lang w:val="en-US"/>
        </w:rPr>
        <w:lastRenderedPageBreak/>
        <w:t>on embryo assessment: proceedings of an expert meeting. Human Reproduction. 1</w:t>
      </w:r>
      <w:r w:rsidRPr="00106987">
        <w:rPr>
          <w:vertAlign w:val="superscript"/>
          <w:lang w:val="en-US"/>
        </w:rPr>
        <w:t>o</w:t>
      </w:r>
      <w:r w:rsidRPr="00106987">
        <w:rPr>
          <w:lang w:val="en-US"/>
        </w:rPr>
        <w:t xml:space="preserve"> de junho de 2011;26(6):1270–83. </w:t>
      </w:r>
    </w:p>
    <w:p w14:paraId="6F087C3B" w14:textId="77777777" w:rsidR="00106987" w:rsidRPr="00106987" w:rsidRDefault="00106987" w:rsidP="00106987">
      <w:pPr>
        <w:pStyle w:val="Bibliografia"/>
        <w:rPr>
          <w:lang w:val="en-US"/>
        </w:rPr>
      </w:pPr>
      <w:r w:rsidRPr="00106987">
        <w:rPr>
          <w:lang w:val="en-US"/>
        </w:rPr>
        <w:t>28.</w:t>
      </w:r>
      <w:r w:rsidRPr="00106987">
        <w:rPr>
          <w:lang w:val="en-US"/>
        </w:rPr>
        <w:tab/>
        <w:t xml:space="preserve">Cuschieri S. The STROBE guidelines. Saudi journal of anaesthesia. 2019;13(Suppl 1):S31. </w:t>
      </w:r>
    </w:p>
    <w:p w14:paraId="3392D7F3" w14:textId="77777777" w:rsidR="00106987" w:rsidRPr="00106987" w:rsidRDefault="00106987" w:rsidP="00106987">
      <w:pPr>
        <w:pStyle w:val="Bibliografia"/>
        <w:rPr>
          <w:lang w:val="en-US"/>
        </w:rPr>
      </w:pPr>
      <w:r w:rsidRPr="00106987">
        <w:rPr>
          <w:lang w:val="en-US"/>
        </w:rPr>
        <w:t>29.</w:t>
      </w:r>
      <w:r w:rsidRPr="00106987">
        <w:rPr>
          <w:lang w:val="en-US"/>
        </w:rPr>
        <w:tab/>
        <w:t xml:space="preserve">Fauser B, Mannaerts B, Devroey P, Leader A, Boime I, Baird DT. Advances in recombinant DNA technology: corifollitropin alfa, a hybrid molecule with sustained follicle-stimulating activity and reduced injection frequency. Human Reproduction Update. 2009;15(3):309–21. </w:t>
      </w:r>
    </w:p>
    <w:p w14:paraId="23734A23" w14:textId="77777777" w:rsidR="00106987" w:rsidRPr="00106987" w:rsidRDefault="00106987" w:rsidP="00106987">
      <w:pPr>
        <w:pStyle w:val="Bibliografia"/>
        <w:rPr>
          <w:lang w:val="en-US"/>
        </w:rPr>
      </w:pPr>
      <w:r w:rsidRPr="00106987">
        <w:rPr>
          <w:lang w:val="en-US"/>
        </w:rPr>
        <w:t>30.</w:t>
      </w:r>
      <w:r w:rsidRPr="00106987">
        <w:rPr>
          <w:lang w:val="en-US"/>
        </w:rPr>
        <w:tab/>
        <w:t xml:space="preserve">Land JA, Courtar DA, Evers JLH. Patient dropout in an assisted reproductive technology program: implications for pregnancy rates. Fertility and Sterility. agosto de 1997;68(2):278–81. </w:t>
      </w:r>
    </w:p>
    <w:p w14:paraId="18EFF7C9" w14:textId="77777777" w:rsidR="00106987" w:rsidRPr="00106987" w:rsidRDefault="00106987" w:rsidP="00106987">
      <w:pPr>
        <w:pStyle w:val="Bibliografia"/>
        <w:rPr>
          <w:lang w:val="en-US"/>
        </w:rPr>
      </w:pPr>
      <w:r w:rsidRPr="00106987">
        <w:rPr>
          <w:lang w:val="en-US"/>
        </w:rPr>
        <w:t>31.</w:t>
      </w:r>
      <w:r w:rsidRPr="00106987">
        <w:rPr>
          <w:lang w:val="en-US"/>
        </w:rPr>
        <w:tab/>
        <w:t xml:space="preserve">Schröder A, Katalinic A, Diedrich K, Ludwig M. Cumulative pregnancy rates and drop-out rates in a German IVF programme: 4102 cycles in 2130 patients. Reproductive BioMedicine Online. janeiro de 2004;8(5):600–6. </w:t>
      </w:r>
    </w:p>
    <w:p w14:paraId="4901900B" w14:textId="77777777" w:rsidR="00106987" w:rsidRPr="00106987" w:rsidRDefault="00106987" w:rsidP="00106987">
      <w:pPr>
        <w:pStyle w:val="Bibliografia"/>
        <w:rPr>
          <w:lang w:val="en-US"/>
        </w:rPr>
      </w:pPr>
      <w:r w:rsidRPr="00106987">
        <w:rPr>
          <w:lang w:val="en-US"/>
        </w:rPr>
        <w:t>32.</w:t>
      </w:r>
      <w:r w:rsidRPr="00106987">
        <w:rPr>
          <w:lang w:val="en-US"/>
        </w:rPr>
        <w:tab/>
        <w:t xml:space="preserve">Rižner TL, Brožič P, Doucette C, Turek-Etienne T, Müller-Vieira U, Sonneveld E, et al. Selectivity and potency of the retroprogesterone dydrogesterone in vitro. Steroids. 2011;76(6):607–15. </w:t>
      </w:r>
    </w:p>
    <w:p w14:paraId="5BFFCE69" w14:textId="77777777" w:rsidR="00106987" w:rsidRPr="00106987" w:rsidRDefault="00106987" w:rsidP="00106987">
      <w:pPr>
        <w:pStyle w:val="Bibliografia"/>
        <w:rPr>
          <w:lang w:val="en-US"/>
        </w:rPr>
      </w:pPr>
      <w:r w:rsidRPr="00106987">
        <w:rPr>
          <w:lang w:val="en-US"/>
        </w:rPr>
        <w:t>33.</w:t>
      </w:r>
      <w:r w:rsidRPr="00106987">
        <w:rPr>
          <w:lang w:val="en-US"/>
        </w:rPr>
        <w:tab/>
        <w:t>Yu S, Long H, Chang HY ning, Liu Y, Gao H, Zhu J, et al. New application of dydrogesterone as a part of a progestin-primed ovarian stimulation protocol for IVF: a randomized controlled trial including 516 first IVF/ICSI cycles. Human Reproduction. 1</w:t>
      </w:r>
      <w:r w:rsidRPr="00106987">
        <w:rPr>
          <w:vertAlign w:val="superscript"/>
          <w:lang w:val="en-US"/>
        </w:rPr>
        <w:t>o</w:t>
      </w:r>
      <w:r w:rsidRPr="00106987">
        <w:rPr>
          <w:lang w:val="en-US"/>
        </w:rPr>
        <w:t xml:space="preserve"> de fevereiro de 2018;33(2):229–37. </w:t>
      </w:r>
    </w:p>
    <w:p w14:paraId="7F9E78DE" w14:textId="77777777" w:rsidR="00106987" w:rsidRPr="00106987" w:rsidRDefault="00106987" w:rsidP="00106987">
      <w:pPr>
        <w:pStyle w:val="Bibliografia"/>
        <w:rPr>
          <w:lang w:val="en-US"/>
        </w:rPr>
      </w:pPr>
      <w:r w:rsidRPr="00106987">
        <w:rPr>
          <w:lang w:val="en-US"/>
        </w:rPr>
        <w:t>34.</w:t>
      </w:r>
      <w:r w:rsidRPr="00106987">
        <w:rPr>
          <w:lang w:val="en-US"/>
        </w:rPr>
        <w:tab/>
        <w:t xml:space="preserve">Xi Q, Tao Y, Qiu M, Wang Y, Kuang Y. Comparison Between PPOS and GnRHa-Long Protocol in Clinical Outcome with the First IVF/ICSI Cycle: A Randomized Clinical Trial. CLEP. março de 2020;Volume 12:261–72. </w:t>
      </w:r>
    </w:p>
    <w:p w14:paraId="7D8FDDF9" w14:textId="77777777" w:rsidR="00106987" w:rsidRPr="00106987" w:rsidRDefault="00106987" w:rsidP="00106987">
      <w:pPr>
        <w:pStyle w:val="Bibliografia"/>
        <w:rPr>
          <w:lang w:val="en-US"/>
        </w:rPr>
      </w:pPr>
      <w:r w:rsidRPr="00106987">
        <w:rPr>
          <w:lang w:val="en-US"/>
        </w:rPr>
        <w:t>35.</w:t>
      </w:r>
      <w:r w:rsidRPr="00106987">
        <w:rPr>
          <w:lang w:val="en-US"/>
        </w:rPr>
        <w:tab/>
        <w:t xml:space="preserve">Xing W, Cai L, Sun L, Ou J. Comparison of Pregnancy Outcomes of High-Quality D5-and D6-Blastocyst Transfer in Hormone-Replacement Frozen-Thawed Cycles. International Journal of Clinical Medicine. 2017;8(11):565–71. </w:t>
      </w:r>
    </w:p>
    <w:p w14:paraId="13438715" w14:textId="77777777" w:rsidR="00106987" w:rsidRPr="00106987" w:rsidRDefault="00106987" w:rsidP="00106987">
      <w:pPr>
        <w:pStyle w:val="Bibliografia"/>
        <w:rPr>
          <w:lang w:val="en-US"/>
        </w:rPr>
      </w:pPr>
      <w:r w:rsidRPr="00106987">
        <w:rPr>
          <w:lang w:val="en-US"/>
        </w:rPr>
        <w:t>36.</w:t>
      </w:r>
      <w:r w:rsidRPr="00106987">
        <w:rPr>
          <w:lang w:val="en-US"/>
        </w:rPr>
        <w:tab/>
        <w:t xml:space="preserve">Zhang H, Arhin SK, Zhao J, Hou X, Chen Y, Huang Z. Delayed development influences the outcome of different grades of D5 and D6 blastocysts during freeze–thaw cycle. Cellular and Molecular Biology. 2019;65(4):1–5. </w:t>
      </w:r>
    </w:p>
    <w:p w14:paraId="20A1DA37" w14:textId="77777777" w:rsidR="00106987" w:rsidRPr="00106987" w:rsidRDefault="00106987" w:rsidP="00106987">
      <w:pPr>
        <w:pStyle w:val="Bibliografia"/>
        <w:rPr>
          <w:lang w:val="en-US"/>
        </w:rPr>
      </w:pPr>
      <w:r w:rsidRPr="00106987">
        <w:rPr>
          <w:lang w:val="en-US"/>
        </w:rPr>
        <w:t>37.</w:t>
      </w:r>
      <w:r w:rsidRPr="00106987">
        <w:rPr>
          <w:lang w:val="en-US"/>
        </w:rPr>
        <w:tab/>
        <w:t xml:space="preserve">Tong J, Niu Y, Wan A, Zhang T. Comparison of day 5 blastocyst with day 6 blastocyst: Evidence from NGS-based PGT-A results. J Assist Reprod Genet. fevereiro de 2022;39(2):369–77. </w:t>
      </w:r>
    </w:p>
    <w:p w14:paraId="7C3D428C" w14:textId="77777777" w:rsidR="00106987" w:rsidRPr="00106987" w:rsidRDefault="00106987" w:rsidP="00106987">
      <w:pPr>
        <w:pStyle w:val="Bibliografia"/>
        <w:rPr>
          <w:lang w:val="en-US"/>
        </w:rPr>
      </w:pPr>
      <w:r w:rsidRPr="00106987">
        <w:rPr>
          <w:lang w:val="en-US"/>
        </w:rPr>
        <w:t>38.</w:t>
      </w:r>
      <w:r w:rsidRPr="00106987">
        <w:rPr>
          <w:lang w:val="en-US"/>
        </w:rPr>
        <w:tab/>
        <w:t xml:space="preserve">Desai N, Ploskonka S, Goodman L, Attaran M, Goldberg JM, Austin C, et al. Delayed blastulation, multinucleation, and expansion grade are independently associated with live-birth rates in frozen blastocyst transfer cycles. Fertility and sterility. 2016;106(6):1370–8. </w:t>
      </w:r>
    </w:p>
    <w:p w14:paraId="552EFB81" w14:textId="77777777" w:rsidR="00106987" w:rsidRPr="00106987" w:rsidRDefault="00106987" w:rsidP="00106987">
      <w:pPr>
        <w:pStyle w:val="Bibliografia"/>
        <w:rPr>
          <w:lang w:val="en-US"/>
        </w:rPr>
      </w:pPr>
      <w:r w:rsidRPr="00106987">
        <w:rPr>
          <w:lang w:val="en-US"/>
        </w:rPr>
        <w:t>39.</w:t>
      </w:r>
      <w:r w:rsidRPr="00106987">
        <w:rPr>
          <w:lang w:val="en-US"/>
        </w:rPr>
        <w:tab/>
        <w:t xml:space="preserve">Wang X, Zhen J, Sun Z, Yu Q, Deng C, Zhou Y, et al. Effects of fifth day (D5) or sixth day (D6) frozen–thawed blastocysts on neonatal outcomes. Zygote. 2016;24(5):684–91. </w:t>
      </w:r>
    </w:p>
    <w:p w14:paraId="06736D71" w14:textId="496E251C" w:rsidR="00106987" w:rsidRDefault="00106987" w:rsidP="00106987">
      <w:pPr>
        <w:pStyle w:val="Bibliografia"/>
      </w:pPr>
      <w:r w:rsidRPr="00106987">
        <w:rPr>
          <w:lang w:val="en-US"/>
        </w:rPr>
        <w:t>40.</w:t>
      </w:r>
      <w:r w:rsidRPr="00106987">
        <w:rPr>
          <w:lang w:val="en-US"/>
        </w:rPr>
        <w:tab/>
        <w:t xml:space="preserve">Kaye L, Will EA, Bartolucci A, Nulsen J, Benadiva C, Engmann L. Pregnancy rates for single embryo transfer (SET) of day 5 and day 6 blastocysts after cryopreservation by vitrification and slow freeze. </w:t>
      </w:r>
      <w:r w:rsidRPr="00106987">
        <w:t xml:space="preserve">Journal of Assisted Reproduction and Genetics. 2017;34:913–9. </w:t>
      </w:r>
    </w:p>
    <w:p w14:paraId="219286E8" w14:textId="228EB7E1" w:rsidR="00DF0633" w:rsidRDefault="00DF0633" w:rsidP="00DF0633">
      <w:r>
        <w:br w:type="page"/>
      </w:r>
    </w:p>
    <w:p w14:paraId="7A54C8FD" w14:textId="52F23B6A" w:rsidR="00DF0633" w:rsidRPr="00DF0633" w:rsidRDefault="00432E8E" w:rsidP="00DF0633">
      <w:pPr>
        <w:ind w:left="0" w:firstLine="0"/>
      </w:pPr>
      <w:r>
        <w:lastRenderedPageBreak/>
        <w:fldChar w:fldCharType="end"/>
      </w:r>
      <w:r w:rsidR="00DF0633" w:rsidRPr="00122A92">
        <w:t xml:space="preserve">ANEXO 1. </w:t>
      </w:r>
      <w:r w:rsidR="00DF0633" w:rsidRPr="00DF0633">
        <w:t>Checklist dos itens da STROBE p</w:t>
      </w:r>
      <w:r w:rsidR="00DF0633">
        <w:t>ara estudos de caso-controle.</w:t>
      </w:r>
    </w:p>
    <w:p w14:paraId="490D8611" w14:textId="26DD1631" w:rsidR="00DF0633" w:rsidRPr="00DF0633" w:rsidRDefault="00DF0633" w:rsidP="00C03B10"/>
    <w:tbl>
      <w:tblPr>
        <w:tblW w:w="9896" w:type="dxa"/>
        <w:tblBorders>
          <w:insideH w:val="single" w:sz="4" w:space="0" w:color="auto"/>
        </w:tblBorders>
        <w:tblLook w:val="0000" w:firstRow="0" w:lastRow="0" w:firstColumn="0" w:lastColumn="0" w:noHBand="0" w:noVBand="0"/>
      </w:tblPr>
      <w:tblGrid>
        <w:gridCol w:w="1949"/>
        <w:gridCol w:w="616"/>
        <w:gridCol w:w="6615"/>
        <w:gridCol w:w="716"/>
      </w:tblGrid>
      <w:tr w:rsidR="00DF0633" w:rsidRPr="00DF0633" w14:paraId="4EDC53BD" w14:textId="77777777" w:rsidTr="007D026F">
        <w:tc>
          <w:tcPr>
            <w:tcW w:w="0" w:type="auto"/>
            <w:tcBorders>
              <w:top w:val="nil"/>
              <w:bottom w:val="single" w:sz="4" w:space="0" w:color="auto"/>
            </w:tcBorders>
          </w:tcPr>
          <w:p w14:paraId="3C5A1C70"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eastAsia="en-US"/>
                <w14:ligatures w14:val="none"/>
              </w:rPr>
            </w:pPr>
          </w:p>
        </w:tc>
        <w:tc>
          <w:tcPr>
            <w:tcW w:w="0" w:type="auto"/>
            <w:tcBorders>
              <w:top w:val="nil"/>
              <w:bottom w:val="single" w:sz="4" w:space="0" w:color="auto"/>
            </w:tcBorders>
          </w:tcPr>
          <w:p w14:paraId="6801D14C" w14:textId="77777777" w:rsidR="00DF0633" w:rsidRPr="00DF0633" w:rsidRDefault="00DF0633" w:rsidP="00DF0633">
            <w:pPr>
              <w:tabs>
                <w:tab w:val="left" w:pos="5400"/>
              </w:tabs>
              <w:spacing w:before="120" w:after="0" w:line="240" w:lineRule="auto"/>
              <w:ind w:left="0" w:right="0" w:firstLine="0"/>
              <w:jc w:val="center"/>
              <w:rPr>
                <w:rFonts w:ascii="Times New Roman" w:eastAsia="MS Mincho" w:hAnsi="Times New Roman" w:cs="Times New Roman"/>
                <w:b/>
                <w:bCs/>
                <w:color w:val="auto"/>
                <w:kern w:val="0"/>
                <w:sz w:val="20"/>
                <w:szCs w:val="20"/>
                <w:lang w:val="en-GB" w:eastAsia="en-US"/>
                <w14:ligatures w14:val="none"/>
              </w:rPr>
            </w:pPr>
            <w:r w:rsidRPr="00DF0633">
              <w:rPr>
                <w:rFonts w:ascii="Times New Roman" w:eastAsia="MS Mincho" w:hAnsi="Times New Roman" w:cs="Times New Roman"/>
                <w:b/>
                <w:bCs/>
                <w:color w:val="auto"/>
                <w:kern w:val="0"/>
                <w:sz w:val="20"/>
                <w:szCs w:val="20"/>
                <w:lang w:val="en-GB" w:eastAsia="en-US"/>
                <w14:ligatures w14:val="none"/>
              </w:rPr>
              <w:t>Item No</w:t>
            </w:r>
          </w:p>
        </w:tc>
        <w:tc>
          <w:tcPr>
            <w:tcW w:w="6615" w:type="dxa"/>
            <w:tcBorders>
              <w:top w:val="nil"/>
              <w:bottom w:val="single" w:sz="4" w:space="0" w:color="auto"/>
              <w:right w:val="nil"/>
            </w:tcBorders>
            <w:vAlign w:val="bottom"/>
          </w:tcPr>
          <w:p w14:paraId="28C73DEE" w14:textId="77777777" w:rsidR="00DF0633" w:rsidRPr="00DF0633" w:rsidRDefault="00DF0633" w:rsidP="00DF0633">
            <w:pPr>
              <w:tabs>
                <w:tab w:val="left" w:pos="5400"/>
              </w:tabs>
              <w:spacing w:before="120" w:after="0" w:line="240" w:lineRule="auto"/>
              <w:ind w:left="0" w:right="0" w:firstLine="0"/>
              <w:jc w:val="center"/>
              <w:rPr>
                <w:rFonts w:ascii="Times New Roman" w:eastAsia="MS Mincho" w:hAnsi="Times New Roman" w:cs="Times New Roman"/>
                <w:b/>
                <w:bCs/>
                <w:color w:val="auto"/>
                <w:kern w:val="0"/>
                <w:sz w:val="20"/>
                <w:szCs w:val="20"/>
                <w:lang w:val="en-GB" w:eastAsia="en-US"/>
                <w14:ligatures w14:val="none"/>
              </w:rPr>
            </w:pPr>
            <w:r w:rsidRPr="00DF0633">
              <w:rPr>
                <w:rFonts w:ascii="Times New Roman" w:eastAsia="MS Mincho" w:hAnsi="Times New Roman" w:cs="Times New Roman"/>
                <w:b/>
                <w:bCs/>
                <w:color w:val="auto"/>
                <w:kern w:val="0"/>
                <w:sz w:val="20"/>
                <w:szCs w:val="20"/>
                <w:lang w:val="en-GB" w:eastAsia="en-US"/>
                <w14:ligatures w14:val="none"/>
              </w:rPr>
              <w:t>Recommendation</w:t>
            </w:r>
          </w:p>
        </w:tc>
        <w:tc>
          <w:tcPr>
            <w:tcW w:w="716" w:type="dxa"/>
            <w:tcBorders>
              <w:top w:val="nil"/>
              <w:left w:val="nil"/>
              <w:bottom w:val="single" w:sz="4" w:space="0" w:color="auto"/>
              <w:right w:val="nil"/>
            </w:tcBorders>
            <w:shd w:val="clear" w:color="auto" w:fill="auto"/>
          </w:tcPr>
          <w:p w14:paraId="7E9FADD2" w14:textId="77777777" w:rsidR="00DF0633" w:rsidRPr="00DF0633" w:rsidRDefault="00DF0633" w:rsidP="00DF0633">
            <w:pPr>
              <w:tabs>
                <w:tab w:val="left" w:pos="5400"/>
              </w:tabs>
              <w:spacing w:before="120" w:after="0" w:line="240" w:lineRule="auto"/>
              <w:ind w:left="0" w:right="0" w:firstLine="0"/>
              <w:jc w:val="center"/>
              <w:rPr>
                <w:rFonts w:ascii="Times New Roman" w:eastAsia="MS Mincho" w:hAnsi="Times New Roman" w:cs="Times New Roman"/>
                <w:b/>
                <w:color w:val="auto"/>
                <w:kern w:val="0"/>
                <w:sz w:val="20"/>
                <w:szCs w:val="20"/>
                <w:lang w:val="en-GB" w:eastAsia="en-US"/>
                <w14:ligatures w14:val="none"/>
              </w:rPr>
            </w:pPr>
            <w:r w:rsidRPr="00DF0633">
              <w:rPr>
                <w:rFonts w:ascii="Times New Roman" w:eastAsia="MS Mincho" w:hAnsi="Times New Roman" w:cs="Times New Roman"/>
                <w:b/>
                <w:color w:val="auto"/>
                <w:kern w:val="0"/>
                <w:sz w:val="20"/>
                <w:szCs w:val="20"/>
                <w:lang w:val="en-GB" w:eastAsia="en-US"/>
                <w14:ligatures w14:val="none"/>
              </w:rPr>
              <w:t>Page No</w:t>
            </w:r>
          </w:p>
        </w:tc>
      </w:tr>
      <w:tr w:rsidR="00DF0633" w:rsidRPr="00DF0633" w14:paraId="0F6C9D38" w14:textId="77777777" w:rsidTr="007D026F">
        <w:tc>
          <w:tcPr>
            <w:tcW w:w="0" w:type="auto"/>
            <w:vMerge w:val="restart"/>
            <w:tcBorders>
              <w:top w:val="single" w:sz="4" w:space="0" w:color="auto"/>
              <w:bottom w:val="single" w:sz="4" w:space="0" w:color="auto"/>
            </w:tcBorders>
          </w:tcPr>
          <w:p w14:paraId="75855CA3"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
                <w:bCs/>
                <w:color w:val="auto"/>
                <w:kern w:val="0"/>
                <w:sz w:val="20"/>
                <w:szCs w:val="20"/>
                <w:lang w:val="en-GB" w:eastAsia="en-US"/>
                <w14:ligatures w14:val="none"/>
              </w:rPr>
            </w:pPr>
            <w:r w:rsidRPr="00DF0633">
              <w:rPr>
                <w:rFonts w:ascii="Times New Roman" w:eastAsia="MS Mincho" w:hAnsi="Times New Roman" w:cs="Times New Roman"/>
                <w:b/>
                <w:color w:val="auto"/>
                <w:kern w:val="0"/>
                <w:sz w:val="20"/>
                <w:szCs w:val="20"/>
                <w:lang w:val="en-GB" w:eastAsia="en-US"/>
                <w14:ligatures w14:val="none"/>
              </w:rPr>
              <w:t>Title and abstract</w:t>
            </w:r>
          </w:p>
        </w:tc>
        <w:tc>
          <w:tcPr>
            <w:tcW w:w="0" w:type="auto"/>
            <w:vMerge w:val="restart"/>
            <w:tcBorders>
              <w:top w:val="single" w:sz="4" w:space="0" w:color="auto"/>
              <w:bottom w:val="single" w:sz="4" w:space="0" w:color="auto"/>
            </w:tcBorders>
          </w:tcPr>
          <w:p w14:paraId="183FD766"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w:t>
            </w:r>
          </w:p>
        </w:tc>
        <w:tc>
          <w:tcPr>
            <w:tcW w:w="6615" w:type="dxa"/>
            <w:tcBorders>
              <w:top w:val="single" w:sz="4" w:space="0" w:color="auto"/>
              <w:bottom w:val="single" w:sz="4" w:space="0" w:color="auto"/>
              <w:right w:val="single" w:sz="4" w:space="0" w:color="auto"/>
            </w:tcBorders>
          </w:tcPr>
          <w:p w14:paraId="64371308"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a</w:t>
            </w:r>
            <w:r w:rsidRPr="00DF0633">
              <w:rPr>
                <w:rFonts w:ascii="Times New Roman" w:eastAsia="MS Mincho" w:hAnsi="Times New Roman" w:cs="Times New Roman"/>
                <w:color w:val="auto"/>
                <w:kern w:val="0"/>
                <w:sz w:val="20"/>
                <w:szCs w:val="20"/>
                <w:lang w:val="en-GB" w:eastAsia="en-US"/>
                <w14:ligatures w14:val="none"/>
              </w:rPr>
              <w:t>) Indicate the study’s design with a commonly used term in the title or the abstract</w:t>
            </w:r>
          </w:p>
        </w:tc>
        <w:tc>
          <w:tcPr>
            <w:tcW w:w="716" w:type="dxa"/>
            <w:tcBorders>
              <w:top w:val="single" w:sz="4" w:space="0" w:color="auto"/>
              <w:left w:val="single" w:sz="4" w:space="0" w:color="auto"/>
              <w:bottom w:val="single" w:sz="4" w:space="0" w:color="auto"/>
              <w:right w:val="nil"/>
            </w:tcBorders>
            <w:shd w:val="clear" w:color="auto" w:fill="auto"/>
          </w:tcPr>
          <w:p w14:paraId="2FE215D7"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w:t>
            </w:r>
          </w:p>
        </w:tc>
      </w:tr>
      <w:tr w:rsidR="00DF0633" w:rsidRPr="00DF0633" w14:paraId="070BA32F" w14:textId="77777777" w:rsidTr="007D026F">
        <w:tc>
          <w:tcPr>
            <w:tcW w:w="0" w:type="auto"/>
            <w:vMerge/>
            <w:tcBorders>
              <w:top w:val="single" w:sz="4" w:space="0" w:color="auto"/>
              <w:bottom w:val="single" w:sz="4" w:space="0" w:color="auto"/>
            </w:tcBorders>
          </w:tcPr>
          <w:p w14:paraId="54D8251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0313C298"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281CEF8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b</w:t>
            </w:r>
            <w:r w:rsidRPr="00DF0633">
              <w:rPr>
                <w:rFonts w:ascii="Times New Roman" w:eastAsia="MS Mincho" w:hAnsi="Times New Roman" w:cs="Times New Roman"/>
                <w:color w:val="auto"/>
                <w:kern w:val="0"/>
                <w:sz w:val="20"/>
                <w:szCs w:val="20"/>
                <w:lang w:val="en-GB" w:eastAsia="en-US"/>
                <w14:ligatures w14:val="none"/>
              </w:rPr>
              <w:t>) Provide in the abstract an informative and balanced summary of what was done and what was found</w:t>
            </w:r>
          </w:p>
        </w:tc>
        <w:tc>
          <w:tcPr>
            <w:tcW w:w="716" w:type="dxa"/>
            <w:tcBorders>
              <w:top w:val="single" w:sz="4" w:space="0" w:color="auto"/>
              <w:left w:val="single" w:sz="4" w:space="0" w:color="auto"/>
              <w:bottom w:val="single" w:sz="4" w:space="0" w:color="auto"/>
              <w:right w:val="nil"/>
            </w:tcBorders>
            <w:shd w:val="clear" w:color="auto" w:fill="auto"/>
          </w:tcPr>
          <w:p w14:paraId="791DCB42"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4</w:t>
            </w:r>
          </w:p>
        </w:tc>
      </w:tr>
      <w:tr w:rsidR="00DF0633" w:rsidRPr="00DF0633" w14:paraId="1AC581DD" w14:textId="77777777" w:rsidTr="007D026F">
        <w:tc>
          <w:tcPr>
            <w:tcW w:w="9896" w:type="dxa"/>
            <w:gridSpan w:val="4"/>
            <w:tcBorders>
              <w:top w:val="single" w:sz="4" w:space="0" w:color="auto"/>
              <w:bottom w:val="single" w:sz="4" w:space="0" w:color="auto"/>
              <w:right w:val="nil"/>
            </w:tcBorders>
          </w:tcPr>
          <w:p w14:paraId="647FED75" w14:textId="77777777" w:rsidR="00DF0633" w:rsidRPr="00DF0633" w:rsidRDefault="00DF0633" w:rsidP="00DF0633">
            <w:pPr>
              <w:tabs>
                <w:tab w:val="left" w:pos="5400"/>
              </w:tabs>
              <w:spacing w:before="120" w:after="0" w:line="240" w:lineRule="auto"/>
              <w:ind w:left="0" w:right="0" w:firstLine="0"/>
              <w:jc w:val="left"/>
              <w:rPr>
                <w:rFonts w:ascii="Times New Roman" w:eastAsia="MS Mincho" w:hAnsi="Times New Roman" w:cs="Times New Roman"/>
                <w:b/>
                <w:color w:val="auto"/>
                <w:kern w:val="0"/>
                <w:sz w:val="20"/>
                <w:szCs w:val="20"/>
                <w:lang w:val="en-GB" w:eastAsia="en-US"/>
                <w14:ligatures w14:val="none"/>
              </w:rPr>
            </w:pPr>
            <w:r w:rsidRPr="00DF0633">
              <w:rPr>
                <w:rFonts w:ascii="Times New Roman" w:eastAsia="MS Mincho" w:hAnsi="Times New Roman" w:cs="Times New Roman"/>
                <w:b/>
                <w:color w:val="auto"/>
                <w:kern w:val="0"/>
                <w:sz w:val="20"/>
                <w:szCs w:val="20"/>
                <w:lang w:val="en-GB" w:eastAsia="en-US"/>
                <w14:ligatures w14:val="none"/>
              </w:rPr>
              <w:t>Introduction</w:t>
            </w:r>
          </w:p>
        </w:tc>
      </w:tr>
      <w:tr w:rsidR="00DF0633" w:rsidRPr="00DF0633" w14:paraId="75548255" w14:textId="77777777" w:rsidTr="007D026F">
        <w:tc>
          <w:tcPr>
            <w:tcW w:w="0" w:type="auto"/>
            <w:tcBorders>
              <w:top w:val="single" w:sz="4" w:space="0" w:color="auto"/>
              <w:bottom w:val="single" w:sz="4" w:space="0" w:color="auto"/>
            </w:tcBorders>
          </w:tcPr>
          <w:p w14:paraId="2613C564"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Background/rationale</w:t>
            </w:r>
          </w:p>
        </w:tc>
        <w:tc>
          <w:tcPr>
            <w:tcW w:w="0" w:type="auto"/>
            <w:tcBorders>
              <w:top w:val="single" w:sz="4" w:space="0" w:color="auto"/>
              <w:bottom w:val="single" w:sz="4" w:space="0" w:color="auto"/>
            </w:tcBorders>
          </w:tcPr>
          <w:p w14:paraId="5F885974"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2</w:t>
            </w:r>
          </w:p>
        </w:tc>
        <w:tc>
          <w:tcPr>
            <w:tcW w:w="6615" w:type="dxa"/>
            <w:tcBorders>
              <w:top w:val="single" w:sz="4" w:space="0" w:color="auto"/>
              <w:bottom w:val="single" w:sz="4" w:space="0" w:color="auto"/>
              <w:right w:val="single" w:sz="4" w:space="0" w:color="auto"/>
            </w:tcBorders>
          </w:tcPr>
          <w:p w14:paraId="0CDCA5F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Explain the scientific background and rationale for the investigation being reported</w:t>
            </w:r>
          </w:p>
        </w:tc>
        <w:tc>
          <w:tcPr>
            <w:tcW w:w="716" w:type="dxa"/>
            <w:tcBorders>
              <w:top w:val="single" w:sz="4" w:space="0" w:color="auto"/>
              <w:left w:val="single" w:sz="4" w:space="0" w:color="auto"/>
              <w:bottom w:val="single" w:sz="4" w:space="0" w:color="auto"/>
              <w:right w:val="nil"/>
            </w:tcBorders>
            <w:shd w:val="clear" w:color="auto" w:fill="auto"/>
          </w:tcPr>
          <w:p w14:paraId="07D79AA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8</w:t>
            </w:r>
          </w:p>
        </w:tc>
      </w:tr>
      <w:tr w:rsidR="00DF0633" w:rsidRPr="00DF0633" w14:paraId="426AA977" w14:textId="77777777" w:rsidTr="007D026F">
        <w:tc>
          <w:tcPr>
            <w:tcW w:w="0" w:type="auto"/>
            <w:tcBorders>
              <w:top w:val="single" w:sz="4" w:space="0" w:color="auto"/>
              <w:bottom w:val="single" w:sz="4" w:space="0" w:color="auto"/>
            </w:tcBorders>
          </w:tcPr>
          <w:p w14:paraId="4618E14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Objectives</w:t>
            </w:r>
          </w:p>
        </w:tc>
        <w:tc>
          <w:tcPr>
            <w:tcW w:w="0" w:type="auto"/>
            <w:tcBorders>
              <w:top w:val="single" w:sz="4" w:space="0" w:color="auto"/>
              <w:bottom w:val="single" w:sz="4" w:space="0" w:color="auto"/>
            </w:tcBorders>
          </w:tcPr>
          <w:p w14:paraId="438737EF"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3</w:t>
            </w:r>
          </w:p>
        </w:tc>
        <w:tc>
          <w:tcPr>
            <w:tcW w:w="6615" w:type="dxa"/>
            <w:tcBorders>
              <w:top w:val="single" w:sz="4" w:space="0" w:color="auto"/>
              <w:bottom w:val="single" w:sz="4" w:space="0" w:color="auto"/>
              <w:right w:val="single" w:sz="4" w:space="0" w:color="auto"/>
            </w:tcBorders>
          </w:tcPr>
          <w:p w14:paraId="3579AF2E"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State specific objectives, including any prespecified hypotheses</w:t>
            </w:r>
          </w:p>
        </w:tc>
        <w:tc>
          <w:tcPr>
            <w:tcW w:w="716" w:type="dxa"/>
            <w:tcBorders>
              <w:top w:val="single" w:sz="4" w:space="0" w:color="auto"/>
              <w:left w:val="single" w:sz="4" w:space="0" w:color="auto"/>
              <w:bottom w:val="single" w:sz="4" w:space="0" w:color="auto"/>
              <w:right w:val="nil"/>
            </w:tcBorders>
            <w:shd w:val="clear" w:color="auto" w:fill="auto"/>
          </w:tcPr>
          <w:p w14:paraId="18424C02"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11</w:t>
            </w:r>
          </w:p>
        </w:tc>
      </w:tr>
      <w:tr w:rsidR="00DF0633" w:rsidRPr="00DF0633" w14:paraId="7E56CC59" w14:textId="77777777" w:rsidTr="007D026F">
        <w:tc>
          <w:tcPr>
            <w:tcW w:w="9896" w:type="dxa"/>
            <w:gridSpan w:val="4"/>
            <w:tcBorders>
              <w:top w:val="single" w:sz="4" w:space="0" w:color="auto"/>
              <w:bottom w:val="single" w:sz="4" w:space="0" w:color="auto"/>
              <w:right w:val="nil"/>
            </w:tcBorders>
          </w:tcPr>
          <w:p w14:paraId="10F411AD" w14:textId="77777777" w:rsidR="00DF0633" w:rsidRPr="00DF0633" w:rsidRDefault="00DF0633" w:rsidP="00DF0633">
            <w:pPr>
              <w:tabs>
                <w:tab w:val="left" w:pos="5400"/>
              </w:tabs>
              <w:spacing w:before="120" w:after="0" w:line="240" w:lineRule="auto"/>
              <w:ind w:left="0" w:right="0" w:firstLine="0"/>
              <w:jc w:val="left"/>
              <w:rPr>
                <w:rFonts w:ascii="Times New Roman" w:eastAsia="MS Mincho" w:hAnsi="Times New Roman" w:cs="Times New Roman"/>
                <w:b/>
                <w:color w:val="auto"/>
                <w:kern w:val="0"/>
                <w:sz w:val="20"/>
                <w:szCs w:val="20"/>
                <w:lang w:val="en-GB" w:eastAsia="en-US"/>
                <w14:ligatures w14:val="none"/>
              </w:rPr>
            </w:pPr>
            <w:r w:rsidRPr="00DF0633">
              <w:rPr>
                <w:rFonts w:ascii="Times New Roman" w:eastAsia="MS Mincho" w:hAnsi="Times New Roman" w:cs="Times New Roman"/>
                <w:b/>
                <w:color w:val="auto"/>
                <w:kern w:val="0"/>
                <w:sz w:val="20"/>
                <w:szCs w:val="20"/>
                <w:lang w:val="en-GB" w:eastAsia="en-US"/>
                <w14:ligatures w14:val="none"/>
              </w:rPr>
              <w:t>Methods</w:t>
            </w:r>
          </w:p>
        </w:tc>
      </w:tr>
      <w:tr w:rsidR="00DF0633" w:rsidRPr="00DF0633" w14:paraId="0A05E944" w14:textId="77777777" w:rsidTr="007D026F">
        <w:tc>
          <w:tcPr>
            <w:tcW w:w="0" w:type="auto"/>
            <w:tcBorders>
              <w:top w:val="single" w:sz="4" w:space="0" w:color="auto"/>
              <w:bottom w:val="single" w:sz="4" w:space="0" w:color="auto"/>
            </w:tcBorders>
          </w:tcPr>
          <w:p w14:paraId="62EA5C81"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Study design</w:t>
            </w:r>
          </w:p>
        </w:tc>
        <w:tc>
          <w:tcPr>
            <w:tcW w:w="0" w:type="auto"/>
            <w:tcBorders>
              <w:top w:val="single" w:sz="4" w:space="0" w:color="auto"/>
              <w:bottom w:val="single" w:sz="4" w:space="0" w:color="auto"/>
            </w:tcBorders>
          </w:tcPr>
          <w:p w14:paraId="53EBA98A"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4</w:t>
            </w:r>
          </w:p>
        </w:tc>
        <w:tc>
          <w:tcPr>
            <w:tcW w:w="6615" w:type="dxa"/>
            <w:tcBorders>
              <w:top w:val="single" w:sz="4" w:space="0" w:color="auto"/>
              <w:bottom w:val="single" w:sz="4" w:space="0" w:color="auto"/>
              <w:right w:val="single" w:sz="4" w:space="0" w:color="auto"/>
            </w:tcBorders>
          </w:tcPr>
          <w:p w14:paraId="12D3E376"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Present key elements of study design early in the paper</w:t>
            </w:r>
          </w:p>
        </w:tc>
        <w:tc>
          <w:tcPr>
            <w:tcW w:w="716" w:type="dxa"/>
            <w:tcBorders>
              <w:top w:val="single" w:sz="4" w:space="0" w:color="auto"/>
              <w:left w:val="single" w:sz="4" w:space="0" w:color="auto"/>
              <w:bottom w:val="single" w:sz="4" w:space="0" w:color="auto"/>
              <w:right w:val="nil"/>
            </w:tcBorders>
            <w:shd w:val="clear" w:color="auto" w:fill="auto"/>
          </w:tcPr>
          <w:p w14:paraId="65C9CE8D"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11</w:t>
            </w:r>
          </w:p>
        </w:tc>
      </w:tr>
      <w:tr w:rsidR="00DF0633" w:rsidRPr="00DF0633" w14:paraId="6C2F8B77" w14:textId="77777777" w:rsidTr="007D026F">
        <w:tc>
          <w:tcPr>
            <w:tcW w:w="0" w:type="auto"/>
            <w:tcBorders>
              <w:top w:val="single" w:sz="4" w:space="0" w:color="auto"/>
              <w:bottom w:val="single" w:sz="4" w:space="0" w:color="auto"/>
            </w:tcBorders>
          </w:tcPr>
          <w:p w14:paraId="1FD29AB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Setting</w:t>
            </w:r>
          </w:p>
        </w:tc>
        <w:tc>
          <w:tcPr>
            <w:tcW w:w="0" w:type="auto"/>
            <w:tcBorders>
              <w:top w:val="single" w:sz="4" w:space="0" w:color="auto"/>
              <w:bottom w:val="single" w:sz="4" w:space="0" w:color="auto"/>
            </w:tcBorders>
          </w:tcPr>
          <w:p w14:paraId="6D861D1E"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5</w:t>
            </w:r>
          </w:p>
        </w:tc>
        <w:tc>
          <w:tcPr>
            <w:tcW w:w="6615" w:type="dxa"/>
            <w:tcBorders>
              <w:top w:val="single" w:sz="4" w:space="0" w:color="auto"/>
              <w:bottom w:val="single" w:sz="4" w:space="0" w:color="auto"/>
              <w:right w:val="single" w:sz="4" w:space="0" w:color="auto"/>
            </w:tcBorders>
          </w:tcPr>
          <w:p w14:paraId="4D180268"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Describe the setting, locations, and relevant dates, including periods of recruitment, exposure, follow-up, and data collection</w:t>
            </w:r>
          </w:p>
        </w:tc>
        <w:tc>
          <w:tcPr>
            <w:tcW w:w="716" w:type="dxa"/>
            <w:tcBorders>
              <w:top w:val="single" w:sz="4" w:space="0" w:color="auto"/>
              <w:left w:val="single" w:sz="4" w:space="0" w:color="auto"/>
              <w:bottom w:val="single" w:sz="4" w:space="0" w:color="auto"/>
              <w:right w:val="nil"/>
            </w:tcBorders>
            <w:shd w:val="clear" w:color="auto" w:fill="auto"/>
          </w:tcPr>
          <w:p w14:paraId="2D21290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11</w:t>
            </w:r>
          </w:p>
        </w:tc>
      </w:tr>
      <w:tr w:rsidR="00DF0633" w:rsidRPr="00DF0633" w14:paraId="726901A1" w14:textId="77777777" w:rsidTr="007D026F">
        <w:tc>
          <w:tcPr>
            <w:tcW w:w="0" w:type="auto"/>
            <w:vMerge w:val="restart"/>
            <w:tcBorders>
              <w:top w:val="single" w:sz="4" w:space="0" w:color="auto"/>
              <w:bottom w:val="single" w:sz="4" w:space="0" w:color="auto"/>
            </w:tcBorders>
          </w:tcPr>
          <w:p w14:paraId="77064E96"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Participants</w:t>
            </w:r>
          </w:p>
        </w:tc>
        <w:tc>
          <w:tcPr>
            <w:tcW w:w="0" w:type="auto"/>
            <w:vMerge w:val="restart"/>
            <w:tcBorders>
              <w:top w:val="single" w:sz="4" w:space="0" w:color="auto"/>
              <w:bottom w:val="single" w:sz="4" w:space="0" w:color="auto"/>
            </w:tcBorders>
          </w:tcPr>
          <w:p w14:paraId="4801C229"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6</w:t>
            </w:r>
          </w:p>
        </w:tc>
        <w:tc>
          <w:tcPr>
            <w:tcW w:w="6615" w:type="dxa"/>
            <w:tcBorders>
              <w:top w:val="single" w:sz="4" w:space="0" w:color="auto"/>
              <w:bottom w:val="single" w:sz="4" w:space="0" w:color="auto"/>
              <w:right w:val="single" w:sz="4" w:space="0" w:color="auto"/>
            </w:tcBorders>
          </w:tcPr>
          <w:p w14:paraId="06826781"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a</w:t>
            </w:r>
            <w:r w:rsidRPr="00DF0633">
              <w:rPr>
                <w:rFonts w:ascii="Times New Roman" w:eastAsia="MS Mincho" w:hAnsi="Times New Roman" w:cs="Times New Roman"/>
                <w:color w:val="auto"/>
                <w:kern w:val="0"/>
                <w:sz w:val="20"/>
                <w:szCs w:val="20"/>
                <w:lang w:val="en-GB" w:eastAsia="en-US"/>
                <w14:ligatures w14:val="none"/>
              </w:rPr>
              <w:t>) Give the eligibility criteria, and the sources and methods of case ascertainment and control selection. Give the rationale for the choice of cases and controls</w:t>
            </w:r>
          </w:p>
        </w:tc>
        <w:tc>
          <w:tcPr>
            <w:tcW w:w="716" w:type="dxa"/>
            <w:tcBorders>
              <w:top w:val="single" w:sz="4" w:space="0" w:color="auto"/>
              <w:left w:val="single" w:sz="4" w:space="0" w:color="auto"/>
              <w:bottom w:val="single" w:sz="4" w:space="0" w:color="auto"/>
              <w:right w:val="nil"/>
            </w:tcBorders>
            <w:shd w:val="clear" w:color="auto" w:fill="auto"/>
          </w:tcPr>
          <w:p w14:paraId="53C973B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12</w:t>
            </w:r>
          </w:p>
        </w:tc>
      </w:tr>
      <w:tr w:rsidR="00DF0633" w:rsidRPr="00DF0633" w14:paraId="36695CFF" w14:textId="77777777" w:rsidTr="007D026F">
        <w:tc>
          <w:tcPr>
            <w:tcW w:w="0" w:type="auto"/>
            <w:vMerge/>
            <w:tcBorders>
              <w:top w:val="single" w:sz="4" w:space="0" w:color="auto"/>
              <w:bottom w:val="single" w:sz="4" w:space="0" w:color="auto"/>
            </w:tcBorders>
          </w:tcPr>
          <w:p w14:paraId="417068A3"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106B0577"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74BD6E4F"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b</w:t>
            </w: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b/>
                <w:bCs/>
                <w:color w:val="auto"/>
                <w:kern w:val="0"/>
                <w:sz w:val="20"/>
                <w:szCs w:val="20"/>
                <w:lang w:val="en-GB" w:eastAsia="en-US"/>
                <w14:ligatures w14:val="none"/>
              </w:rPr>
              <w:t xml:space="preserve"> </w:t>
            </w:r>
            <w:r w:rsidRPr="00DF0633">
              <w:rPr>
                <w:rFonts w:ascii="Times New Roman" w:eastAsia="MS Mincho" w:hAnsi="Times New Roman" w:cs="Times New Roman"/>
                <w:color w:val="auto"/>
                <w:kern w:val="0"/>
                <w:sz w:val="20"/>
                <w:szCs w:val="20"/>
                <w:lang w:val="en-GB" w:eastAsia="en-US"/>
                <w14:ligatures w14:val="none"/>
              </w:rPr>
              <w:t>For matched studies, give matching criteria and the number of controls per case</w:t>
            </w:r>
          </w:p>
        </w:tc>
        <w:tc>
          <w:tcPr>
            <w:tcW w:w="716" w:type="dxa"/>
            <w:tcBorders>
              <w:top w:val="single" w:sz="4" w:space="0" w:color="auto"/>
              <w:left w:val="single" w:sz="4" w:space="0" w:color="auto"/>
              <w:bottom w:val="single" w:sz="4" w:space="0" w:color="auto"/>
              <w:right w:val="nil"/>
            </w:tcBorders>
            <w:shd w:val="clear" w:color="auto" w:fill="auto"/>
          </w:tcPr>
          <w:p w14:paraId="223DC2DD"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p>
        </w:tc>
      </w:tr>
      <w:tr w:rsidR="00DF0633" w:rsidRPr="00DF0633" w14:paraId="2156E150" w14:textId="77777777" w:rsidTr="007D026F">
        <w:tc>
          <w:tcPr>
            <w:tcW w:w="0" w:type="auto"/>
            <w:tcBorders>
              <w:top w:val="single" w:sz="4" w:space="0" w:color="auto"/>
              <w:bottom w:val="single" w:sz="4" w:space="0" w:color="auto"/>
            </w:tcBorders>
          </w:tcPr>
          <w:p w14:paraId="03216BC5"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Variables</w:t>
            </w:r>
          </w:p>
        </w:tc>
        <w:tc>
          <w:tcPr>
            <w:tcW w:w="0" w:type="auto"/>
            <w:tcBorders>
              <w:top w:val="single" w:sz="4" w:space="0" w:color="auto"/>
              <w:bottom w:val="single" w:sz="4" w:space="0" w:color="auto"/>
            </w:tcBorders>
          </w:tcPr>
          <w:p w14:paraId="343022D5"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7</w:t>
            </w:r>
          </w:p>
        </w:tc>
        <w:tc>
          <w:tcPr>
            <w:tcW w:w="6615" w:type="dxa"/>
            <w:tcBorders>
              <w:top w:val="single" w:sz="4" w:space="0" w:color="auto"/>
              <w:bottom w:val="single" w:sz="4" w:space="0" w:color="auto"/>
              <w:right w:val="single" w:sz="4" w:space="0" w:color="auto"/>
            </w:tcBorders>
          </w:tcPr>
          <w:p w14:paraId="35B51D0C"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Clearly define all outcomes, exposures, predictors, potential confounders, and effect modifiers. Give diagnostic criteria, if applicable</w:t>
            </w:r>
          </w:p>
        </w:tc>
        <w:tc>
          <w:tcPr>
            <w:tcW w:w="716" w:type="dxa"/>
            <w:tcBorders>
              <w:top w:val="single" w:sz="4" w:space="0" w:color="auto"/>
              <w:left w:val="single" w:sz="4" w:space="0" w:color="auto"/>
              <w:bottom w:val="single" w:sz="4" w:space="0" w:color="auto"/>
              <w:right w:val="nil"/>
            </w:tcBorders>
            <w:shd w:val="clear" w:color="auto" w:fill="auto"/>
          </w:tcPr>
          <w:p w14:paraId="002833C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13</w:t>
            </w:r>
          </w:p>
        </w:tc>
      </w:tr>
      <w:tr w:rsidR="00DF0633" w:rsidRPr="00DF0633" w14:paraId="4CC60494" w14:textId="77777777" w:rsidTr="007D026F">
        <w:trPr>
          <w:trHeight w:val="294"/>
        </w:trPr>
        <w:tc>
          <w:tcPr>
            <w:tcW w:w="0" w:type="auto"/>
            <w:tcBorders>
              <w:top w:val="single" w:sz="4" w:space="0" w:color="auto"/>
              <w:bottom w:val="single" w:sz="4" w:space="0" w:color="auto"/>
            </w:tcBorders>
          </w:tcPr>
          <w:p w14:paraId="1D0E7E40"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Data sources/ measurement</w:t>
            </w:r>
          </w:p>
        </w:tc>
        <w:tc>
          <w:tcPr>
            <w:tcW w:w="0" w:type="auto"/>
            <w:tcBorders>
              <w:top w:val="single" w:sz="4" w:space="0" w:color="auto"/>
              <w:bottom w:val="single" w:sz="4" w:space="0" w:color="auto"/>
            </w:tcBorders>
          </w:tcPr>
          <w:p w14:paraId="500E2A5A"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8</w:t>
            </w:r>
            <w:r w:rsidRPr="00DF0633">
              <w:rPr>
                <w:rFonts w:ascii="Times New Roman" w:eastAsia="MS Mincho" w:hAnsi="Times New Roman" w:cs="Times New Roman"/>
                <w:bCs/>
                <w:color w:val="auto"/>
                <w:kern w:val="0"/>
                <w:sz w:val="20"/>
                <w:szCs w:val="20"/>
                <w:lang w:val="en-GB" w:eastAsia="en-US"/>
                <w14:ligatures w14:val="none"/>
              </w:rPr>
              <w:t>*</w:t>
            </w:r>
          </w:p>
        </w:tc>
        <w:tc>
          <w:tcPr>
            <w:tcW w:w="6615" w:type="dxa"/>
            <w:tcBorders>
              <w:top w:val="single" w:sz="4" w:space="0" w:color="auto"/>
              <w:bottom w:val="single" w:sz="4" w:space="0" w:color="auto"/>
              <w:right w:val="single" w:sz="4" w:space="0" w:color="auto"/>
            </w:tcBorders>
          </w:tcPr>
          <w:p w14:paraId="4A7B9503"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i/>
                <w:color w:val="auto"/>
                <w:kern w:val="0"/>
                <w:sz w:val="20"/>
                <w:szCs w:val="20"/>
                <w:lang w:val="en-GB" w:eastAsia="en-US"/>
                <w14:ligatures w14:val="none"/>
              </w:rPr>
              <w:t xml:space="preserve"> </w:t>
            </w:r>
            <w:r w:rsidRPr="00DF0633">
              <w:rPr>
                <w:rFonts w:ascii="Times New Roman" w:eastAsia="MS Mincho" w:hAnsi="Times New Roman" w:cs="Times New Roman"/>
                <w:color w:val="auto"/>
                <w:kern w:val="0"/>
                <w:sz w:val="20"/>
                <w:szCs w:val="20"/>
                <w:lang w:val="en-GB" w:eastAsia="en-US"/>
                <w14:ligatures w14:val="none"/>
              </w:rPr>
              <w:t>For each variable of interest, give sources of data and details of methods of assessment (measurement). Describe comparability of assessment methods if there is more than one group</w:t>
            </w:r>
          </w:p>
        </w:tc>
        <w:tc>
          <w:tcPr>
            <w:tcW w:w="716" w:type="dxa"/>
            <w:tcBorders>
              <w:top w:val="single" w:sz="4" w:space="0" w:color="auto"/>
              <w:left w:val="single" w:sz="4" w:space="0" w:color="auto"/>
              <w:bottom w:val="single" w:sz="4" w:space="0" w:color="auto"/>
              <w:right w:val="nil"/>
            </w:tcBorders>
            <w:shd w:val="clear" w:color="auto" w:fill="auto"/>
          </w:tcPr>
          <w:p w14:paraId="0210778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13</w:t>
            </w:r>
          </w:p>
        </w:tc>
      </w:tr>
      <w:tr w:rsidR="00DF0633" w:rsidRPr="00DF0633" w14:paraId="7C496681" w14:textId="77777777" w:rsidTr="007D026F">
        <w:tc>
          <w:tcPr>
            <w:tcW w:w="0" w:type="auto"/>
            <w:tcBorders>
              <w:top w:val="single" w:sz="4" w:space="0" w:color="auto"/>
              <w:bottom w:val="single" w:sz="4" w:space="0" w:color="auto"/>
            </w:tcBorders>
          </w:tcPr>
          <w:p w14:paraId="63AA84BF"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000000"/>
                <w:kern w:val="0"/>
                <w:sz w:val="20"/>
                <w:szCs w:val="20"/>
                <w:lang w:val="en-GB" w:eastAsia="en-US"/>
                <w14:ligatures w14:val="none"/>
              </w:rPr>
            </w:pPr>
            <w:r w:rsidRPr="00DF0633">
              <w:rPr>
                <w:rFonts w:ascii="Times New Roman" w:eastAsia="MS Mincho" w:hAnsi="Times New Roman" w:cs="Times New Roman"/>
                <w:bCs/>
                <w:color w:val="000000"/>
                <w:kern w:val="0"/>
                <w:sz w:val="20"/>
                <w:szCs w:val="20"/>
                <w:lang w:val="en-GB" w:eastAsia="en-US"/>
                <w14:ligatures w14:val="none"/>
              </w:rPr>
              <w:t>Bias</w:t>
            </w:r>
          </w:p>
        </w:tc>
        <w:tc>
          <w:tcPr>
            <w:tcW w:w="0" w:type="auto"/>
            <w:tcBorders>
              <w:top w:val="single" w:sz="4" w:space="0" w:color="auto"/>
              <w:bottom w:val="single" w:sz="4" w:space="0" w:color="auto"/>
            </w:tcBorders>
          </w:tcPr>
          <w:p w14:paraId="1FB38235"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9</w:t>
            </w:r>
          </w:p>
        </w:tc>
        <w:tc>
          <w:tcPr>
            <w:tcW w:w="6615" w:type="dxa"/>
            <w:tcBorders>
              <w:top w:val="single" w:sz="4" w:space="0" w:color="auto"/>
              <w:bottom w:val="single" w:sz="4" w:space="0" w:color="auto"/>
              <w:right w:val="single" w:sz="4" w:space="0" w:color="auto"/>
            </w:tcBorders>
          </w:tcPr>
          <w:p w14:paraId="4496F788"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000000"/>
                <w:kern w:val="0"/>
                <w:sz w:val="20"/>
                <w:szCs w:val="20"/>
                <w:lang w:val="en-GB" w:eastAsia="en-US"/>
                <w14:ligatures w14:val="none"/>
              </w:rPr>
            </w:pPr>
            <w:r w:rsidRPr="00DF0633">
              <w:rPr>
                <w:rFonts w:ascii="Times New Roman" w:eastAsia="MS Mincho" w:hAnsi="Times New Roman" w:cs="Times New Roman"/>
                <w:color w:val="000000"/>
                <w:kern w:val="0"/>
                <w:sz w:val="20"/>
                <w:szCs w:val="20"/>
                <w:lang w:val="en-GB" w:eastAsia="en-US"/>
                <w14:ligatures w14:val="none"/>
              </w:rPr>
              <w:t>Describe any efforts to address potential sources of bias</w:t>
            </w:r>
          </w:p>
        </w:tc>
        <w:tc>
          <w:tcPr>
            <w:tcW w:w="716" w:type="dxa"/>
            <w:tcBorders>
              <w:top w:val="single" w:sz="4" w:space="0" w:color="auto"/>
              <w:left w:val="single" w:sz="4" w:space="0" w:color="auto"/>
              <w:bottom w:val="single" w:sz="4" w:space="0" w:color="auto"/>
              <w:right w:val="nil"/>
            </w:tcBorders>
            <w:shd w:val="clear" w:color="auto" w:fill="auto"/>
          </w:tcPr>
          <w:p w14:paraId="6EA2F2CC"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13</w:t>
            </w:r>
          </w:p>
        </w:tc>
      </w:tr>
      <w:tr w:rsidR="00DF0633" w:rsidRPr="00DF0633" w14:paraId="6A1D0D7E" w14:textId="77777777" w:rsidTr="007D026F">
        <w:tc>
          <w:tcPr>
            <w:tcW w:w="0" w:type="auto"/>
            <w:tcBorders>
              <w:top w:val="single" w:sz="4" w:space="0" w:color="auto"/>
              <w:bottom w:val="single" w:sz="4" w:space="0" w:color="auto"/>
            </w:tcBorders>
          </w:tcPr>
          <w:p w14:paraId="26EE605F"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Study size</w:t>
            </w:r>
          </w:p>
        </w:tc>
        <w:tc>
          <w:tcPr>
            <w:tcW w:w="0" w:type="auto"/>
            <w:tcBorders>
              <w:top w:val="single" w:sz="4" w:space="0" w:color="auto"/>
              <w:bottom w:val="single" w:sz="4" w:space="0" w:color="auto"/>
            </w:tcBorders>
          </w:tcPr>
          <w:p w14:paraId="21F3D995"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10</w:t>
            </w:r>
          </w:p>
        </w:tc>
        <w:tc>
          <w:tcPr>
            <w:tcW w:w="6615" w:type="dxa"/>
            <w:tcBorders>
              <w:top w:val="single" w:sz="4" w:space="0" w:color="auto"/>
              <w:bottom w:val="single" w:sz="4" w:space="0" w:color="auto"/>
              <w:right w:val="single" w:sz="4" w:space="0" w:color="auto"/>
            </w:tcBorders>
          </w:tcPr>
          <w:p w14:paraId="22EEDE08"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Explain how the study size was arrived at</w:t>
            </w:r>
          </w:p>
        </w:tc>
        <w:tc>
          <w:tcPr>
            <w:tcW w:w="716" w:type="dxa"/>
            <w:tcBorders>
              <w:top w:val="single" w:sz="4" w:space="0" w:color="auto"/>
              <w:left w:val="single" w:sz="4" w:space="0" w:color="auto"/>
              <w:bottom w:val="single" w:sz="4" w:space="0" w:color="auto"/>
              <w:right w:val="nil"/>
            </w:tcBorders>
            <w:shd w:val="clear" w:color="auto" w:fill="auto"/>
          </w:tcPr>
          <w:p w14:paraId="40C8958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13</w:t>
            </w:r>
          </w:p>
        </w:tc>
      </w:tr>
      <w:tr w:rsidR="00DF0633" w:rsidRPr="00DF0633" w14:paraId="7CD2C470" w14:textId="77777777" w:rsidTr="007D026F">
        <w:tc>
          <w:tcPr>
            <w:tcW w:w="0" w:type="auto"/>
            <w:tcBorders>
              <w:top w:val="single" w:sz="4" w:space="0" w:color="auto"/>
              <w:bottom w:val="single" w:sz="4" w:space="0" w:color="auto"/>
            </w:tcBorders>
          </w:tcPr>
          <w:p w14:paraId="779B967A"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Quantitative variables</w:t>
            </w:r>
          </w:p>
        </w:tc>
        <w:tc>
          <w:tcPr>
            <w:tcW w:w="0" w:type="auto"/>
            <w:tcBorders>
              <w:top w:val="single" w:sz="4" w:space="0" w:color="auto"/>
              <w:bottom w:val="single" w:sz="4" w:space="0" w:color="auto"/>
            </w:tcBorders>
          </w:tcPr>
          <w:p w14:paraId="26E8C241"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11</w:t>
            </w:r>
          </w:p>
        </w:tc>
        <w:tc>
          <w:tcPr>
            <w:tcW w:w="6615" w:type="dxa"/>
            <w:tcBorders>
              <w:top w:val="single" w:sz="4" w:space="0" w:color="auto"/>
              <w:bottom w:val="single" w:sz="4" w:space="0" w:color="auto"/>
              <w:right w:val="single" w:sz="4" w:space="0" w:color="auto"/>
            </w:tcBorders>
          </w:tcPr>
          <w:p w14:paraId="4A70FBDF"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Explain how quantitative variables were handled in the analyses. If applicable, describe which groupings were chosen and why</w:t>
            </w:r>
          </w:p>
        </w:tc>
        <w:tc>
          <w:tcPr>
            <w:tcW w:w="716" w:type="dxa"/>
            <w:tcBorders>
              <w:top w:val="single" w:sz="4" w:space="0" w:color="auto"/>
              <w:left w:val="single" w:sz="4" w:space="0" w:color="auto"/>
              <w:bottom w:val="single" w:sz="4" w:space="0" w:color="auto"/>
              <w:right w:val="nil"/>
            </w:tcBorders>
            <w:shd w:val="clear" w:color="auto" w:fill="auto"/>
          </w:tcPr>
          <w:p w14:paraId="6B7B860E"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13</w:t>
            </w:r>
          </w:p>
        </w:tc>
      </w:tr>
      <w:tr w:rsidR="00DF0633" w:rsidRPr="00DF0633" w14:paraId="3FE405A4" w14:textId="77777777" w:rsidTr="007D026F">
        <w:tc>
          <w:tcPr>
            <w:tcW w:w="0" w:type="auto"/>
            <w:vMerge w:val="restart"/>
            <w:tcBorders>
              <w:top w:val="single" w:sz="4" w:space="0" w:color="auto"/>
              <w:bottom w:val="single" w:sz="4" w:space="0" w:color="auto"/>
            </w:tcBorders>
          </w:tcPr>
          <w:p w14:paraId="3CC6F88B"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Statistical methods</w:t>
            </w:r>
          </w:p>
        </w:tc>
        <w:tc>
          <w:tcPr>
            <w:tcW w:w="0" w:type="auto"/>
            <w:vMerge w:val="restart"/>
            <w:tcBorders>
              <w:top w:val="single" w:sz="4" w:space="0" w:color="auto"/>
              <w:bottom w:val="single" w:sz="4" w:space="0" w:color="auto"/>
            </w:tcBorders>
          </w:tcPr>
          <w:p w14:paraId="3839D014"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12</w:t>
            </w:r>
          </w:p>
        </w:tc>
        <w:tc>
          <w:tcPr>
            <w:tcW w:w="6615" w:type="dxa"/>
            <w:tcBorders>
              <w:top w:val="single" w:sz="4" w:space="0" w:color="auto"/>
              <w:bottom w:val="single" w:sz="4" w:space="0" w:color="auto"/>
              <w:right w:val="single" w:sz="4" w:space="0" w:color="auto"/>
            </w:tcBorders>
          </w:tcPr>
          <w:p w14:paraId="1CF0521B"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a</w:t>
            </w:r>
            <w:r w:rsidRPr="00DF0633">
              <w:rPr>
                <w:rFonts w:ascii="Times New Roman" w:eastAsia="MS Mincho" w:hAnsi="Times New Roman" w:cs="Times New Roman"/>
                <w:color w:val="auto"/>
                <w:kern w:val="0"/>
                <w:sz w:val="20"/>
                <w:szCs w:val="20"/>
                <w:lang w:val="en-GB" w:eastAsia="en-US"/>
                <w14:ligatures w14:val="none"/>
              </w:rPr>
              <w:t>) Describe all statistical methods, including those used to control for confounding</w:t>
            </w:r>
          </w:p>
        </w:tc>
        <w:tc>
          <w:tcPr>
            <w:tcW w:w="716" w:type="dxa"/>
            <w:tcBorders>
              <w:top w:val="single" w:sz="4" w:space="0" w:color="auto"/>
              <w:left w:val="single" w:sz="4" w:space="0" w:color="auto"/>
              <w:bottom w:val="single" w:sz="4" w:space="0" w:color="auto"/>
              <w:right w:val="nil"/>
            </w:tcBorders>
            <w:shd w:val="clear" w:color="auto" w:fill="auto"/>
          </w:tcPr>
          <w:p w14:paraId="4A8A8A2F"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p>
        </w:tc>
      </w:tr>
      <w:tr w:rsidR="00DF0633" w:rsidRPr="00DF0633" w14:paraId="46CBC23A" w14:textId="77777777" w:rsidTr="007D026F">
        <w:tc>
          <w:tcPr>
            <w:tcW w:w="0" w:type="auto"/>
            <w:vMerge/>
            <w:tcBorders>
              <w:top w:val="single" w:sz="4" w:space="0" w:color="auto"/>
              <w:bottom w:val="single" w:sz="4" w:space="0" w:color="auto"/>
            </w:tcBorders>
          </w:tcPr>
          <w:p w14:paraId="29B932E1"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40E1B476"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2DD4DABA"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b</w:t>
            </w:r>
            <w:r w:rsidRPr="00DF0633">
              <w:rPr>
                <w:rFonts w:ascii="Times New Roman" w:eastAsia="MS Mincho" w:hAnsi="Times New Roman" w:cs="Times New Roman"/>
                <w:color w:val="auto"/>
                <w:kern w:val="0"/>
                <w:sz w:val="20"/>
                <w:szCs w:val="20"/>
                <w:lang w:val="en-GB" w:eastAsia="en-US"/>
                <w14:ligatures w14:val="none"/>
              </w:rPr>
              <w:t>) Describe any methods used to examine subgroups and interactions</w:t>
            </w:r>
          </w:p>
        </w:tc>
        <w:tc>
          <w:tcPr>
            <w:tcW w:w="716" w:type="dxa"/>
            <w:tcBorders>
              <w:top w:val="single" w:sz="4" w:space="0" w:color="auto"/>
              <w:left w:val="single" w:sz="4" w:space="0" w:color="auto"/>
              <w:bottom w:val="single" w:sz="4" w:space="0" w:color="auto"/>
              <w:right w:val="nil"/>
            </w:tcBorders>
            <w:shd w:val="clear" w:color="auto" w:fill="auto"/>
          </w:tcPr>
          <w:p w14:paraId="59D7CC7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p>
        </w:tc>
      </w:tr>
      <w:tr w:rsidR="00DF0633" w:rsidRPr="00DF0633" w14:paraId="4A4155B5" w14:textId="77777777" w:rsidTr="007D026F">
        <w:tc>
          <w:tcPr>
            <w:tcW w:w="0" w:type="auto"/>
            <w:vMerge/>
            <w:tcBorders>
              <w:top w:val="single" w:sz="4" w:space="0" w:color="auto"/>
              <w:bottom w:val="single" w:sz="4" w:space="0" w:color="auto"/>
            </w:tcBorders>
          </w:tcPr>
          <w:p w14:paraId="11E71279"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68BC78E8"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21774B0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c</w:t>
            </w:r>
            <w:r w:rsidRPr="00DF0633">
              <w:rPr>
                <w:rFonts w:ascii="Times New Roman" w:eastAsia="MS Mincho" w:hAnsi="Times New Roman" w:cs="Times New Roman"/>
                <w:color w:val="auto"/>
                <w:kern w:val="0"/>
                <w:sz w:val="20"/>
                <w:szCs w:val="20"/>
                <w:lang w:val="en-GB" w:eastAsia="en-US"/>
                <w14:ligatures w14:val="none"/>
              </w:rPr>
              <w:t>) Explain how missing data were addressed</w:t>
            </w:r>
          </w:p>
        </w:tc>
        <w:tc>
          <w:tcPr>
            <w:tcW w:w="716" w:type="dxa"/>
            <w:tcBorders>
              <w:top w:val="single" w:sz="4" w:space="0" w:color="auto"/>
              <w:left w:val="single" w:sz="4" w:space="0" w:color="auto"/>
              <w:bottom w:val="single" w:sz="4" w:space="0" w:color="auto"/>
              <w:right w:val="nil"/>
            </w:tcBorders>
            <w:shd w:val="clear" w:color="auto" w:fill="auto"/>
          </w:tcPr>
          <w:p w14:paraId="788610D9"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p>
        </w:tc>
      </w:tr>
      <w:tr w:rsidR="00DF0633" w:rsidRPr="00DF0633" w14:paraId="3700A47F" w14:textId="77777777" w:rsidTr="007D026F">
        <w:tc>
          <w:tcPr>
            <w:tcW w:w="0" w:type="auto"/>
            <w:vMerge/>
            <w:tcBorders>
              <w:top w:val="single" w:sz="4" w:space="0" w:color="auto"/>
              <w:bottom w:val="single" w:sz="4" w:space="0" w:color="auto"/>
            </w:tcBorders>
          </w:tcPr>
          <w:p w14:paraId="4781EAC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5E18AEF4"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73FCBE99"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d</w:t>
            </w:r>
            <w:r w:rsidRPr="00DF0633">
              <w:rPr>
                <w:rFonts w:ascii="Times New Roman" w:eastAsia="MS Mincho" w:hAnsi="Times New Roman" w:cs="Times New Roman"/>
                <w:color w:val="auto"/>
                <w:kern w:val="0"/>
                <w:sz w:val="20"/>
                <w:szCs w:val="20"/>
                <w:lang w:val="en-GB" w:eastAsia="en-US"/>
                <w14:ligatures w14:val="none"/>
              </w:rPr>
              <w:t>) If applicable, explain how matching of cases and controls was addressed</w:t>
            </w:r>
          </w:p>
        </w:tc>
        <w:tc>
          <w:tcPr>
            <w:tcW w:w="716" w:type="dxa"/>
            <w:tcBorders>
              <w:top w:val="single" w:sz="4" w:space="0" w:color="auto"/>
              <w:left w:val="single" w:sz="4" w:space="0" w:color="auto"/>
              <w:bottom w:val="single" w:sz="4" w:space="0" w:color="auto"/>
              <w:right w:val="nil"/>
            </w:tcBorders>
            <w:shd w:val="clear" w:color="auto" w:fill="auto"/>
          </w:tcPr>
          <w:p w14:paraId="4228EC5E"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p>
        </w:tc>
      </w:tr>
      <w:tr w:rsidR="00DF0633" w:rsidRPr="00DF0633" w14:paraId="224CD796" w14:textId="77777777" w:rsidTr="007D026F">
        <w:tc>
          <w:tcPr>
            <w:tcW w:w="0" w:type="auto"/>
            <w:vMerge/>
            <w:tcBorders>
              <w:top w:val="single" w:sz="4" w:space="0" w:color="auto"/>
              <w:bottom w:val="single" w:sz="4" w:space="0" w:color="auto"/>
            </w:tcBorders>
          </w:tcPr>
          <w:p w14:paraId="2EB36784"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33970274"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4345EB44"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u w:val="single"/>
                <w:lang w:val="en-GB" w:eastAsia="en-US"/>
                <w14:ligatures w14:val="none"/>
              </w:rPr>
              <w:t>e</w:t>
            </w:r>
            <w:r w:rsidRPr="00DF0633">
              <w:rPr>
                <w:rFonts w:ascii="Times New Roman" w:eastAsia="MS Mincho" w:hAnsi="Times New Roman" w:cs="Times New Roman"/>
                <w:color w:val="auto"/>
                <w:kern w:val="0"/>
                <w:sz w:val="20"/>
                <w:szCs w:val="20"/>
                <w:lang w:val="en-GB" w:eastAsia="en-US"/>
                <w14:ligatures w14:val="none"/>
              </w:rPr>
              <w:t>) Describe any sensitivity analyses</w:t>
            </w:r>
          </w:p>
        </w:tc>
        <w:tc>
          <w:tcPr>
            <w:tcW w:w="716" w:type="dxa"/>
            <w:tcBorders>
              <w:top w:val="single" w:sz="4" w:space="0" w:color="auto"/>
              <w:left w:val="single" w:sz="4" w:space="0" w:color="auto"/>
              <w:bottom w:val="single" w:sz="4" w:space="0" w:color="auto"/>
              <w:right w:val="nil"/>
            </w:tcBorders>
            <w:shd w:val="clear" w:color="auto" w:fill="auto"/>
          </w:tcPr>
          <w:p w14:paraId="6C5F6259"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p>
        </w:tc>
      </w:tr>
      <w:tr w:rsidR="00DF0633" w:rsidRPr="00DF0633" w14:paraId="43778F97" w14:textId="77777777" w:rsidTr="007D026F">
        <w:tc>
          <w:tcPr>
            <w:tcW w:w="9896" w:type="dxa"/>
            <w:gridSpan w:val="4"/>
            <w:tcBorders>
              <w:top w:val="single" w:sz="4" w:space="0" w:color="auto"/>
              <w:bottom w:val="single" w:sz="4" w:space="0" w:color="auto"/>
              <w:right w:val="nil"/>
            </w:tcBorders>
          </w:tcPr>
          <w:p w14:paraId="78F754A7" w14:textId="77777777" w:rsidR="00DF0633" w:rsidRPr="00DF0633" w:rsidRDefault="00DF0633" w:rsidP="00DF0633">
            <w:pPr>
              <w:tabs>
                <w:tab w:val="left" w:pos="5400"/>
              </w:tabs>
              <w:spacing w:before="120" w:after="0" w:line="240" w:lineRule="auto"/>
              <w:ind w:left="0" w:right="0" w:firstLine="0"/>
              <w:jc w:val="left"/>
              <w:rPr>
                <w:rFonts w:ascii="Times New Roman" w:eastAsia="MS Mincho" w:hAnsi="Times New Roman" w:cs="Times New Roman"/>
                <w:b/>
                <w:color w:val="auto"/>
                <w:kern w:val="0"/>
                <w:sz w:val="20"/>
                <w:szCs w:val="20"/>
                <w:lang w:val="en-GB" w:eastAsia="en-US"/>
                <w14:ligatures w14:val="none"/>
              </w:rPr>
            </w:pPr>
            <w:r w:rsidRPr="00DF0633">
              <w:rPr>
                <w:rFonts w:ascii="Times New Roman" w:eastAsia="MS Mincho" w:hAnsi="Times New Roman" w:cs="Times New Roman"/>
                <w:b/>
                <w:color w:val="auto"/>
                <w:kern w:val="0"/>
                <w:sz w:val="20"/>
                <w:szCs w:val="20"/>
                <w:lang w:val="en-GB" w:eastAsia="en-US"/>
                <w14:ligatures w14:val="none"/>
              </w:rPr>
              <w:t>Results</w:t>
            </w:r>
          </w:p>
        </w:tc>
      </w:tr>
      <w:tr w:rsidR="00DF0633" w:rsidRPr="00DF0633" w14:paraId="7E016F4B" w14:textId="77777777" w:rsidTr="007D026F">
        <w:tc>
          <w:tcPr>
            <w:tcW w:w="0" w:type="auto"/>
            <w:vMerge w:val="restart"/>
            <w:tcBorders>
              <w:top w:val="single" w:sz="4" w:space="0" w:color="auto"/>
              <w:bottom w:val="single" w:sz="4" w:space="0" w:color="auto"/>
            </w:tcBorders>
          </w:tcPr>
          <w:p w14:paraId="5CCC76AF"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Participants</w:t>
            </w:r>
          </w:p>
        </w:tc>
        <w:tc>
          <w:tcPr>
            <w:tcW w:w="0" w:type="auto"/>
            <w:vMerge w:val="restart"/>
            <w:tcBorders>
              <w:top w:val="single" w:sz="4" w:space="0" w:color="auto"/>
              <w:bottom w:val="single" w:sz="4" w:space="0" w:color="auto"/>
            </w:tcBorders>
          </w:tcPr>
          <w:p w14:paraId="2AF207D2"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13</w:t>
            </w:r>
            <w:r w:rsidRPr="00DF0633">
              <w:rPr>
                <w:rFonts w:ascii="Times New Roman" w:eastAsia="MS Mincho" w:hAnsi="Times New Roman" w:cs="Times New Roman"/>
                <w:bCs/>
                <w:color w:val="auto"/>
                <w:kern w:val="0"/>
                <w:sz w:val="20"/>
                <w:szCs w:val="20"/>
                <w:lang w:val="en-GB" w:eastAsia="en-US"/>
                <w14:ligatures w14:val="none"/>
              </w:rPr>
              <w:t>*</w:t>
            </w:r>
          </w:p>
        </w:tc>
        <w:tc>
          <w:tcPr>
            <w:tcW w:w="6615" w:type="dxa"/>
            <w:tcBorders>
              <w:top w:val="single" w:sz="4" w:space="0" w:color="auto"/>
              <w:bottom w:val="single" w:sz="4" w:space="0" w:color="auto"/>
              <w:right w:val="single" w:sz="4" w:space="0" w:color="auto"/>
            </w:tcBorders>
          </w:tcPr>
          <w:p w14:paraId="2222BA83"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(a) Report numbers of individuals at each stage of study—</w:t>
            </w:r>
            <w:proofErr w:type="spellStart"/>
            <w:proofErr w:type="gramStart"/>
            <w:r w:rsidRPr="00DF0633">
              <w:rPr>
                <w:rFonts w:ascii="Times New Roman" w:eastAsia="MS Mincho" w:hAnsi="Times New Roman" w:cs="Times New Roman"/>
                <w:color w:val="auto"/>
                <w:kern w:val="0"/>
                <w:sz w:val="20"/>
                <w:szCs w:val="20"/>
                <w:lang w:val="en-GB" w:eastAsia="en-US"/>
                <w14:ligatures w14:val="none"/>
              </w:rPr>
              <w:t>eg</w:t>
            </w:r>
            <w:proofErr w:type="spellEnd"/>
            <w:proofErr w:type="gramEnd"/>
            <w:r w:rsidRPr="00DF0633">
              <w:rPr>
                <w:rFonts w:ascii="Times New Roman" w:eastAsia="MS Mincho" w:hAnsi="Times New Roman" w:cs="Times New Roman"/>
                <w:color w:val="auto"/>
                <w:kern w:val="0"/>
                <w:sz w:val="20"/>
                <w:szCs w:val="20"/>
                <w:lang w:val="en-GB" w:eastAsia="en-US"/>
                <w14:ligatures w14:val="none"/>
              </w:rPr>
              <w:t xml:space="preserve"> numbers potentially eligible, examined for eligibility, confirmed eligible, included in the study, completing follow-up, and analysed</w:t>
            </w:r>
          </w:p>
        </w:tc>
        <w:tc>
          <w:tcPr>
            <w:tcW w:w="716" w:type="dxa"/>
            <w:tcBorders>
              <w:top w:val="single" w:sz="4" w:space="0" w:color="auto"/>
              <w:left w:val="single" w:sz="4" w:space="0" w:color="auto"/>
              <w:bottom w:val="single" w:sz="4" w:space="0" w:color="auto"/>
              <w:right w:val="nil"/>
            </w:tcBorders>
            <w:shd w:val="clear" w:color="auto" w:fill="auto"/>
          </w:tcPr>
          <w:p w14:paraId="295A0869"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p>
        </w:tc>
      </w:tr>
      <w:tr w:rsidR="00DF0633" w:rsidRPr="00DF0633" w14:paraId="52D80E0B" w14:textId="77777777" w:rsidTr="007D026F">
        <w:tc>
          <w:tcPr>
            <w:tcW w:w="0" w:type="auto"/>
            <w:vMerge/>
            <w:tcBorders>
              <w:top w:val="single" w:sz="4" w:space="0" w:color="auto"/>
              <w:bottom w:val="single" w:sz="4" w:space="0" w:color="auto"/>
            </w:tcBorders>
          </w:tcPr>
          <w:p w14:paraId="18179792"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5C1E7150"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16EDE986"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(b) Give reasons for non-participation at each stage</w:t>
            </w:r>
          </w:p>
        </w:tc>
        <w:tc>
          <w:tcPr>
            <w:tcW w:w="716" w:type="dxa"/>
            <w:tcBorders>
              <w:top w:val="single" w:sz="4" w:space="0" w:color="auto"/>
              <w:left w:val="single" w:sz="4" w:space="0" w:color="auto"/>
              <w:bottom w:val="single" w:sz="4" w:space="0" w:color="auto"/>
              <w:right w:val="nil"/>
            </w:tcBorders>
            <w:shd w:val="clear" w:color="auto" w:fill="auto"/>
          </w:tcPr>
          <w:p w14:paraId="40247CE4"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p>
        </w:tc>
      </w:tr>
      <w:tr w:rsidR="00DF0633" w:rsidRPr="00DF0633" w14:paraId="14DFD197" w14:textId="77777777" w:rsidTr="007D026F">
        <w:tc>
          <w:tcPr>
            <w:tcW w:w="0" w:type="auto"/>
            <w:vMerge/>
            <w:tcBorders>
              <w:top w:val="single" w:sz="4" w:space="0" w:color="auto"/>
              <w:bottom w:val="single" w:sz="4" w:space="0" w:color="auto"/>
            </w:tcBorders>
          </w:tcPr>
          <w:p w14:paraId="459FA652"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18BC67F7"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0EED2FD9"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(c) Consider use of a flow diagram</w:t>
            </w:r>
          </w:p>
        </w:tc>
        <w:tc>
          <w:tcPr>
            <w:tcW w:w="716" w:type="dxa"/>
            <w:tcBorders>
              <w:top w:val="single" w:sz="4" w:space="0" w:color="auto"/>
              <w:left w:val="single" w:sz="4" w:space="0" w:color="auto"/>
              <w:bottom w:val="single" w:sz="4" w:space="0" w:color="auto"/>
              <w:right w:val="nil"/>
            </w:tcBorders>
            <w:shd w:val="clear" w:color="auto" w:fill="auto"/>
          </w:tcPr>
          <w:p w14:paraId="3C514564"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p>
        </w:tc>
      </w:tr>
      <w:tr w:rsidR="00DF0633" w:rsidRPr="00DF0633" w14:paraId="359746C3" w14:textId="77777777" w:rsidTr="007D026F">
        <w:tc>
          <w:tcPr>
            <w:tcW w:w="0" w:type="auto"/>
            <w:vMerge w:val="restart"/>
            <w:tcBorders>
              <w:top w:val="single" w:sz="4" w:space="0" w:color="auto"/>
              <w:bottom w:val="single" w:sz="4" w:space="0" w:color="auto"/>
            </w:tcBorders>
          </w:tcPr>
          <w:p w14:paraId="69785389"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Descriptive data</w:t>
            </w:r>
          </w:p>
        </w:tc>
        <w:tc>
          <w:tcPr>
            <w:tcW w:w="0" w:type="auto"/>
            <w:vMerge w:val="restart"/>
            <w:tcBorders>
              <w:top w:val="single" w:sz="4" w:space="0" w:color="auto"/>
              <w:bottom w:val="single" w:sz="4" w:space="0" w:color="auto"/>
            </w:tcBorders>
          </w:tcPr>
          <w:p w14:paraId="4829AC20"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r w:rsidRPr="00DF0633">
              <w:rPr>
                <w:rFonts w:ascii="Times New Roman" w:eastAsia="MS Mincho" w:hAnsi="Times New Roman" w:cs="Times New Roman"/>
                <w:bCs/>
                <w:color w:val="auto"/>
                <w:kern w:val="0"/>
                <w:sz w:val="20"/>
                <w:szCs w:val="20"/>
                <w:lang w:val="en-GB" w:eastAsia="en-US"/>
                <w14:ligatures w14:val="none"/>
              </w:rPr>
              <w:t>*</w:t>
            </w:r>
          </w:p>
        </w:tc>
        <w:tc>
          <w:tcPr>
            <w:tcW w:w="6615" w:type="dxa"/>
            <w:tcBorders>
              <w:top w:val="single" w:sz="4" w:space="0" w:color="auto"/>
              <w:bottom w:val="single" w:sz="4" w:space="0" w:color="auto"/>
              <w:right w:val="single" w:sz="4" w:space="0" w:color="auto"/>
            </w:tcBorders>
          </w:tcPr>
          <w:p w14:paraId="01BD1D0C"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(a) Give characteristics of study participants (</w:t>
            </w:r>
            <w:proofErr w:type="spellStart"/>
            <w:proofErr w:type="gramStart"/>
            <w:r w:rsidRPr="00DF0633">
              <w:rPr>
                <w:rFonts w:ascii="Times New Roman" w:eastAsia="MS Mincho" w:hAnsi="Times New Roman" w:cs="Times New Roman"/>
                <w:color w:val="auto"/>
                <w:kern w:val="0"/>
                <w:sz w:val="20"/>
                <w:szCs w:val="20"/>
                <w:lang w:val="en-GB" w:eastAsia="en-US"/>
                <w14:ligatures w14:val="none"/>
              </w:rPr>
              <w:t>eg</w:t>
            </w:r>
            <w:proofErr w:type="spellEnd"/>
            <w:proofErr w:type="gramEnd"/>
            <w:r w:rsidRPr="00DF0633">
              <w:rPr>
                <w:rFonts w:ascii="Times New Roman" w:eastAsia="MS Mincho" w:hAnsi="Times New Roman" w:cs="Times New Roman"/>
                <w:color w:val="auto"/>
                <w:kern w:val="0"/>
                <w:sz w:val="20"/>
                <w:szCs w:val="20"/>
                <w:lang w:val="en-GB" w:eastAsia="en-US"/>
                <w14:ligatures w14:val="none"/>
              </w:rPr>
              <w:t xml:space="preserve"> demographic, clinical, social) and information on exposures and potential confounders</w:t>
            </w:r>
          </w:p>
        </w:tc>
        <w:tc>
          <w:tcPr>
            <w:tcW w:w="716" w:type="dxa"/>
            <w:tcBorders>
              <w:top w:val="single" w:sz="4" w:space="0" w:color="auto"/>
              <w:left w:val="single" w:sz="4" w:space="0" w:color="auto"/>
              <w:bottom w:val="single" w:sz="4" w:space="0" w:color="auto"/>
              <w:right w:val="nil"/>
            </w:tcBorders>
            <w:shd w:val="clear" w:color="auto" w:fill="auto"/>
          </w:tcPr>
          <w:p w14:paraId="4F100B88"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p>
        </w:tc>
      </w:tr>
      <w:tr w:rsidR="00DF0633" w:rsidRPr="00DF0633" w14:paraId="4C8D10FC" w14:textId="77777777" w:rsidTr="007D026F">
        <w:tc>
          <w:tcPr>
            <w:tcW w:w="0" w:type="auto"/>
            <w:vMerge/>
            <w:tcBorders>
              <w:top w:val="single" w:sz="4" w:space="0" w:color="auto"/>
              <w:bottom w:val="single" w:sz="4" w:space="0" w:color="auto"/>
            </w:tcBorders>
          </w:tcPr>
          <w:p w14:paraId="078275F8"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32F45761"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62C8E520"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(b) Indicate number of participants with missing data for each variable of interest</w:t>
            </w:r>
          </w:p>
        </w:tc>
        <w:tc>
          <w:tcPr>
            <w:tcW w:w="716" w:type="dxa"/>
            <w:tcBorders>
              <w:top w:val="single" w:sz="4" w:space="0" w:color="auto"/>
              <w:left w:val="single" w:sz="4" w:space="0" w:color="auto"/>
              <w:bottom w:val="single" w:sz="4" w:space="0" w:color="auto"/>
              <w:right w:val="nil"/>
            </w:tcBorders>
            <w:shd w:val="clear" w:color="auto" w:fill="auto"/>
          </w:tcPr>
          <w:p w14:paraId="500AE201"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p>
        </w:tc>
      </w:tr>
      <w:tr w:rsidR="00DF0633" w:rsidRPr="00DF0633" w14:paraId="157141A8" w14:textId="77777777" w:rsidTr="007D026F">
        <w:trPr>
          <w:trHeight w:val="295"/>
        </w:trPr>
        <w:tc>
          <w:tcPr>
            <w:tcW w:w="0" w:type="auto"/>
            <w:tcBorders>
              <w:top w:val="single" w:sz="4" w:space="0" w:color="auto"/>
              <w:bottom w:val="single" w:sz="4" w:space="0" w:color="auto"/>
            </w:tcBorders>
          </w:tcPr>
          <w:p w14:paraId="5AD17E78"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Outcome data</w:t>
            </w:r>
          </w:p>
        </w:tc>
        <w:tc>
          <w:tcPr>
            <w:tcW w:w="0" w:type="auto"/>
            <w:tcBorders>
              <w:top w:val="single" w:sz="4" w:space="0" w:color="auto"/>
              <w:bottom w:val="single" w:sz="4" w:space="0" w:color="auto"/>
            </w:tcBorders>
          </w:tcPr>
          <w:p w14:paraId="31EDA327"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15</w:t>
            </w:r>
            <w:r w:rsidRPr="00DF0633">
              <w:rPr>
                <w:rFonts w:ascii="Times New Roman" w:eastAsia="MS Mincho" w:hAnsi="Times New Roman" w:cs="Times New Roman"/>
                <w:bCs/>
                <w:color w:val="auto"/>
                <w:kern w:val="0"/>
                <w:sz w:val="20"/>
                <w:szCs w:val="20"/>
                <w:lang w:val="en-GB" w:eastAsia="en-US"/>
                <w14:ligatures w14:val="none"/>
              </w:rPr>
              <w:t>*</w:t>
            </w:r>
          </w:p>
        </w:tc>
        <w:tc>
          <w:tcPr>
            <w:tcW w:w="6615" w:type="dxa"/>
            <w:tcBorders>
              <w:top w:val="single" w:sz="4" w:space="0" w:color="auto"/>
              <w:bottom w:val="single" w:sz="4" w:space="0" w:color="auto"/>
              <w:right w:val="single" w:sz="4" w:space="0" w:color="auto"/>
            </w:tcBorders>
          </w:tcPr>
          <w:p w14:paraId="0498D5AE"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Report numbers in each exposure category, or summary measures of exposure</w:t>
            </w:r>
          </w:p>
        </w:tc>
        <w:tc>
          <w:tcPr>
            <w:tcW w:w="716" w:type="dxa"/>
            <w:tcBorders>
              <w:top w:val="single" w:sz="4" w:space="0" w:color="auto"/>
              <w:left w:val="single" w:sz="4" w:space="0" w:color="auto"/>
              <w:bottom w:val="single" w:sz="4" w:space="0" w:color="auto"/>
              <w:right w:val="nil"/>
            </w:tcBorders>
            <w:shd w:val="clear" w:color="auto" w:fill="auto"/>
          </w:tcPr>
          <w:p w14:paraId="764A24C3"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15</w:t>
            </w:r>
          </w:p>
        </w:tc>
      </w:tr>
    </w:tbl>
    <w:p w14:paraId="0AA90B61" w14:textId="122636D9" w:rsidR="00DF0633" w:rsidRDefault="00DF0633" w:rsidP="00C03B10">
      <w:pPr>
        <w:rPr>
          <w:lang w:val="en-US"/>
        </w:rPr>
      </w:pPr>
    </w:p>
    <w:p w14:paraId="5F12D58F" w14:textId="77777777" w:rsidR="00DF0633" w:rsidRPr="00DF0633" w:rsidRDefault="00DF0633" w:rsidP="00C03B10">
      <w:pPr>
        <w:rPr>
          <w:lang w:val="en-US"/>
        </w:rPr>
      </w:pPr>
    </w:p>
    <w:p w14:paraId="79021A49" w14:textId="77777777" w:rsidR="00DF0633" w:rsidRPr="00E5692D" w:rsidRDefault="00DF0633" w:rsidP="00DF0633">
      <w:pPr>
        <w:pStyle w:val="TableTitle"/>
        <w:rPr>
          <w:szCs w:val="24"/>
        </w:rPr>
      </w:pPr>
    </w:p>
    <w:p w14:paraId="0482A616" w14:textId="77777777" w:rsidR="00DF0633" w:rsidRPr="00DF0633" w:rsidRDefault="00DF0633" w:rsidP="00DF0633">
      <w:pPr>
        <w:tabs>
          <w:tab w:val="left" w:pos="5400"/>
        </w:tabs>
        <w:ind w:hanging="85"/>
        <w:rPr>
          <w:b/>
          <w:sz w:val="20"/>
        </w:rPr>
      </w:pPr>
      <w:bookmarkStart w:id="19" w:name="italic40" w:colFirst="0" w:colLast="0"/>
      <w:bookmarkStart w:id="20" w:name="bold41" w:colFirst="0" w:colLast="0"/>
      <w:r w:rsidRPr="00DF0633">
        <w:rPr>
          <w:b/>
          <w:sz w:val="20"/>
        </w:rPr>
        <w:br w:type="page"/>
      </w:r>
    </w:p>
    <w:tbl>
      <w:tblPr>
        <w:tblW w:w="9936" w:type="dxa"/>
        <w:tblBorders>
          <w:insideH w:val="single" w:sz="4" w:space="0" w:color="auto"/>
        </w:tblBorders>
        <w:tblLayout w:type="fixed"/>
        <w:tblLook w:val="0000" w:firstRow="0" w:lastRow="0" w:firstColumn="0" w:lastColumn="0" w:noHBand="0" w:noVBand="0"/>
      </w:tblPr>
      <w:tblGrid>
        <w:gridCol w:w="1658"/>
        <w:gridCol w:w="752"/>
        <w:gridCol w:w="236"/>
        <w:gridCol w:w="6542"/>
        <w:gridCol w:w="129"/>
        <w:gridCol w:w="490"/>
        <w:gridCol w:w="129"/>
      </w:tblGrid>
      <w:tr w:rsidR="00DF0633" w:rsidRPr="00DF0633" w14:paraId="70164B91" w14:textId="77777777" w:rsidTr="00DF0633">
        <w:tc>
          <w:tcPr>
            <w:tcW w:w="2410" w:type="dxa"/>
            <w:gridSpan w:val="2"/>
            <w:vMerge w:val="restart"/>
            <w:tcBorders>
              <w:top w:val="single" w:sz="4" w:space="0" w:color="auto"/>
              <w:bottom w:val="single" w:sz="4" w:space="0" w:color="auto"/>
            </w:tcBorders>
          </w:tcPr>
          <w:p w14:paraId="232A4EAB" w14:textId="77777777" w:rsidR="00DF0633" w:rsidRPr="00DF0633" w:rsidRDefault="00DF0633" w:rsidP="00DF0633">
            <w:pPr>
              <w:tabs>
                <w:tab w:val="left" w:pos="5400"/>
              </w:tabs>
              <w:ind w:hanging="85"/>
              <w:rPr>
                <w:b/>
                <w:sz w:val="20"/>
              </w:rPr>
            </w:pPr>
            <w:proofErr w:type="spellStart"/>
            <w:r w:rsidRPr="00DF0633">
              <w:rPr>
                <w:b/>
                <w:sz w:val="20"/>
              </w:rPr>
              <w:lastRenderedPageBreak/>
              <w:t>Main</w:t>
            </w:r>
            <w:proofErr w:type="spellEnd"/>
            <w:r w:rsidRPr="00DF0633">
              <w:rPr>
                <w:b/>
                <w:sz w:val="20"/>
              </w:rPr>
              <w:t xml:space="preserve"> </w:t>
            </w:r>
            <w:proofErr w:type="spellStart"/>
            <w:r w:rsidRPr="00DF0633">
              <w:rPr>
                <w:b/>
                <w:sz w:val="20"/>
              </w:rPr>
              <w:t>results</w:t>
            </w:r>
            <w:proofErr w:type="spellEnd"/>
          </w:p>
        </w:tc>
        <w:tc>
          <w:tcPr>
            <w:tcW w:w="236" w:type="dxa"/>
            <w:vMerge w:val="restart"/>
            <w:tcBorders>
              <w:top w:val="single" w:sz="4" w:space="0" w:color="auto"/>
              <w:bottom w:val="single" w:sz="4" w:space="0" w:color="auto"/>
            </w:tcBorders>
          </w:tcPr>
          <w:p w14:paraId="2918C433" w14:textId="77777777" w:rsidR="00DF0633" w:rsidRPr="00DF0633" w:rsidRDefault="00DF0633" w:rsidP="00DF0633">
            <w:pPr>
              <w:tabs>
                <w:tab w:val="left" w:pos="5400"/>
              </w:tabs>
              <w:ind w:hanging="85"/>
              <w:rPr>
                <w:b/>
                <w:sz w:val="20"/>
              </w:rPr>
            </w:pPr>
            <w:r w:rsidRPr="00DF0633">
              <w:rPr>
                <w:b/>
                <w:sz w:val="20"/>
              </w:rPr>
              <w:t>16</w:t>
            </w:r>
          </w:p>
        </w:tc>
        <w:tc>
          <w:tcPr>
            <w:tcW w:w="6671" w:type="dxa"/>
            <w:gridSpan w:val="2"/>
            <w:tcBorders>
              <w:top w:val="single" w:sz="4" w:space="0" w:color="auto"/>
              <w:bottom w:val="single" w:sz="4" w:space="0" w:color="auto"/>
              <w:right w:val="single" w:sz="4" w:space="0" w:color="auto"/>
            </w:tcBorders>
          </w:tcPr>
          <w:p w14:paraId="362B9658" w14:textId="77777777" w:rsidR="00DF0633" w:rsidRPr="00122A92" w:rsidRDefault="00DF0633" w:rsidP="00DF0633">
            <w:pPr>
              <w:tabs>
                <w:tab w:val="left" w:pos="5400"/>
              </w:tabs>
              <w:ind w:hanging="85"/>
              <w:rPr>
                <w:b/>
                <w:sz w:val="20"/>
                <w:lang w:val="en-US"/>
              </w:rPr>
            </w:pPr>
            <w:r w:rsidRPr="00122A92">
              <w:rPr>
                <w:b/>
                <w:sz w:val="20"/>
                <w:lang w:val="en-US"/>
              </w:rPr>
              <w:t>(a) Give unadjusted estimates and, if applicable, confounder-adjusted estimates and their precision (</w:t>
            </w:r>
            <w:proofErr w:type="spellStart"/>
            <w:r w:rsidRPr="00122A92">
              <w:rPr>
                <w:b/>
                <w:sz w:val="20"/>
                <w:lang w:val="en-US"/>
              </w:rPr>
              <w:t>eg</w:t>
            </w:r>
            <w:proofErr w:type="spellEnd"/>
            <w:r w:rsidRPr="00122A92">
              <w:rPr>
                <w:b/>
                <w:sz w:val="20"/>
                <w:lang w:val="en-US"/>
              </w:rPr>
              <w:t>, 95% confidence interval). Make clear which confounders were adjusted for and why they were included</w:t>
            </w:r>
          </w:p>
        </w:tc>
        <w:tc>
          <w:tcPr>
            <w:tcW w:w="619" w:type="dxa"/>
            <w:gridSpan w:val="2"/>
            <w:tcBorders>
              <w:top w:val="single" w:sz="4" w:space="0" w:color="auto"/>
              <w:left w:val="single" w:sz="4" w:space="0" w:color="auto"/>
              <w:bottom w:val="single" w:sz="4" w:space="0" w:color="auto"/>
              <w:right w:val="nil"/>
            </w:tcBorders>
            <w:shd w:val="clear" w:color="auto" w:fill="auto"/>
          </w:tcPr>
          <w:p w14:paraId="41338230" w14:textId="77777777" w:rsidR="00DF0633" w:rsidRPr="00DF0633" w:rsidRDefault="00DF0633" w:rsidP="00DF0633">
            <w:pPr>
              <w:tabs>
                <w:tab w:val="left" w:pos="5400"/>
              </w:tabs>
              <w:ind w:hanging="85"/>
              <w:rPr>
                <w:b/>
                <w:sz w:val="20"/>
              </w:rPr>
            </w:pPr>
            <w:r w:rsidRPr="00DF0633">
              <w:rPr>
                <w:b/>
                <w:sz w:val="20"/>
              </w:rPr>
              <w:t>15</w:t>
            </w:r>
          </w:p>
        </w:tc>
      </w:tr>
      <w:tr w:rsidR="00DF0633" w:rsidRPr="00DF0633" w14:paraId="6242D05B" w14:textId="77777777" w:rsidTr="00DF0633">
        <w:tc>
          <w:tcPr>
            <w:tcW w:w="2410" w:type="dxa"/>
            <w:gridSpan w:val="2"/>
            <w:vMerge/>
            <w:tcBorders>
              <w:top w:val="single" w:sz="4" w:space="0" w:color="auto"/>
              <w:bottom w:val="single" w:sz="4" w:space="0" w:color="auto"/>
            </w:tcBorders>
          </w:tcPr>
          <w:p w14:paraId="225DFB9B" w14:textId="77777777" w:rsidR="00DF0633" w:rsidRPr="00DF0633" w:rsidRDefault="00DF0633" w:rsidP="00DF0633">
            <w:pPr>
              <w:tabs>
                <w:tab w:val="left" w:pos="5400"/>
              </w:tabs>
              <w:ind w:hanging="85"/>
              <w:rPr>
                <w:b/>
                <w:sz w:val="20"/>
              </w:rPr>
            </w:pPr>
            <w:bookmarkStart w:id="21" w:name="italic41" w:colFirst="0" w:colLast="0"/>
            <w:bookmarkStart w:id="22" w:name="bold42" w:colFirst="0" w:colLast="0"/>
            <w:bookmarkEnd w:id="19"/>
            <w:bookmarkEnd w:id="20"/>
          </w:p>
        </w:tc>
        <w:tc>
          <w:tcPr>
            <w:tcW w:w="236" w:type="dxa"/>
            <w:vMerge/>
            <w:tcBorders>
              <w:top w:val="single" w:sz="4" w:space="0" w:color="auto"/>
              <w:bottom w:val="single" w:sz="4" w:space="0" w:color="auto"/>
            </w:tcBorders>
          </w:tcPr>
          <w:p w14:paraId="0A8A1B97" w14:textId="77777777" w:rsidR="00DF0633" w:rsidRPr="00DF0633" w:rsidRDefault="00DF0633" w:rsidP="00DF0633">
            <w:pPr>
              <w:tabs>
                <w:tab w:val="left" w:pos="5400"/>
              </w:tabs>
              <w:ind w:hanging="85"/>
              <w:rPr>
                <w:b/>
                <w:sz w:val="20"/>
              </w:rPr>
            </w:pPr>
          </w:p>
        </w:tc>
        <w:tc>
          <w:tcPr>
            <w:tcW w:w="6671" w:type="dxa"/>
            <w:gridSpan w:val="2"/>
            <w:tcBorders>
              <w:top w:val="single" w:sz="4" w:space="0" w:color="auto"/>
              <w:bottom w:val="single" w:sz="4" w:space="0" w:color="auto"/>
              <w:right w:val="single" w:sz="4" w:space="0" w:color="auto"/>
            </w:tcBorders>
          </w:tcPr>
          <w:p w14:paraId="6F511EC2" w14:textId="77777777" w:rsidR="00DF0633" w:rsidRPr="00122A92" w:rsidRDefault="00DF0633" w:rsidP="00DF0633">
            <w:pPr>
              <w:tabs>
                <w:tab w:val="left" w:pos="5400"/>
              </w:tabs>
              <w:ind w:hanging="85"/>
              <w:rPr>
                <w:b/>
                <w:sz w:val="20"/>
                <w:lang w:val="en-US"/>
              </w:rPr>
            </w:pPr>
            <w:r w:rsidRPr="00122A92">
              <w:rPr>
                <w:b/>
                <w:sz w:val="20"/>
                <w:lang w:val="en-US"/>
              </w:rPr>
              <w:t>(b) Report category boundaries when continuous variables were categorized</w:t>
            </w:r>
          </w:p>
        </w:tc>
        <w:tc>
          <w:tcPr>
            <w:tcW w:w="619" w:type="dxa"/>
            <w:gridSpan w:val="2"/>
            <w:tcBorders>
              <w:top w:val="single" w:sz="4" w:space="0" w:color="auto"/>
              <w:left w:val="single" w:sz="4" w:space="0" w:color="auto"/>
              <w:bottom w:val="single" w:sz="4" w:space="0" w:color="auto"/>
              <w:right w:val="nil"/>
            </w:tcBorders>
            <w:shd w:val="clear" w:color="auto" w:fill="auto"/>
          </w:tcPr>
          <w:p w14:paraId="1615ED71" w14:textId="77777777" w:rsidR="00DF0633" w:rsidRPr="00DF0633" w:rsidRDefault="00DF0633" w:rsidP="00DF0633">
            <w:pPr>
              <w:tabs>
                <w:tab w:val="left" w:pos="5400"/>
              </w:tabs>
              <w:ind w:hanging="85"/>
              <w:rPr>
                <w:b/>
                <w:sz w:val="20"/>
              </w:rPr>
            </w:pPr>
            <w:r w:rsidRPr="00DF0633">
              <w:rPr>
                <w:b/>
                <w:sz w:val="20"/>
              </w:rPr>
              <w:t>-</w:t>
            </w:r>
          </w:p>
        </w:tc>
      </w:tr>
      <w:tr w:rsidR="00DF0633" w:rsidRPr="00DF0633" w14:paraId="32A95CFA" w14:textId="77777777" w:rsidTr="00DF0633">
        <w:tc>
          <w:tcPr>
            <w:tcW w:w="2410" w:type="dxa"/>
            <w:gridSpan w:val="2"/>
            <w:vMerge/>
            <w:tcBorders>
              <w:top w:val="single" w:sz="4" w:space="0" w:color="auto"/>
              <w:bottom w:val="single" w:sz="4" w:space="0" w:color="auto"/>
            </w:tcBorders>
          </w:tcPr>
          <w:p w14:paraId="384017C3" w14:textId="77777777" w:rsidR="00DF0633" w:rsidRPr="00DF0633" w:rsidRDefault="00DF0633" w:rsidP="00DF0633">
            <w:pPr>
              <w:tabs>
                <w:tab w:val="left" w:pos="5400"/>
              </w:tabs>
              <w:ind w:hanging="85"/>
              <w:rPr>
                <w:b/>
                <w:sz w:val="20"/>
              </w:rPr>
            </w:pPr>
            <w:bookmarkStart w:id="23" w:name="italic42" w:colFirst="0" w:colLast="0"/>
            <w:bookmarkStart w:id="24" w:name="bold43" w:colFirst="0" w:colLast="0"/>
            <w:bookmarkEnd w:id="21"/>
            <w:bookmarkEnd w:id="22"/>
          </w:p>
        </w:tc>
        <w:tc>
          <w:tcPr>
            <w:tcW w:w="236" w:type="dxa"/>
            <w:vMerge/>
            <w:tcBorders>
              <w:top w:val="single" w:sz="4" w:space="0" w:color="auto"/>
              <w:bottom w:val="single" w:sz="4" w:space="0" w:color="auto"/>
            </w:tcBorders>
          </w:tcPr>
          <w:p w14:paraId="0DDC727A" w14:textId="77777777" w:rsidR="00DF0633" w:rsidRPr="00DF0633" w:rsidRDefault="00DF0633" w:rsidP="00DF0633">
            <w:pPr>
              <w:tabs>
                <w:tab w:val="left" w:pos="5400"/>
              </w:tabs>
              <w:ind w:hanging="85"/>
              <w:rPr>
                <w:b/>
                <w:sz w:val="20"/>
              </w:rPr>
            </w:pPr>
          </w:p>
        </w:tc>
        <w:tc>
          <w:tcPr>
            <w:tcW w:w="6671" w:type="dxa"/>
            <w:gridSpan w:val="2"/>
            <w:tcBorders>
              <w:top w:val="single" w:sz="4" w:space="0" w:color="auto"/>
              <w:bottom w:val="single" w:sz="4" w:space="0" w:color="auto"/>
              <w:right w:val="single" w:sz="4" w:space="0" w:color="auto"/>
            </w:tcBorders>
          </w:tcPr>
          <w:p w14:paraId="5D20759B" w14:textId="77777777" w:rsidR="00DF0633" w:rsidRPr="00122A92" w:rsidRDefault="00DF0633" w:rsidP="00DF0633">
            <w:pPr>
              <w:tabs>
                <w:tab w:val="left" w:pos="5400"/>
              </w:tabs>
              <w:ind w:hanging="85"/>
              <w:rPr>
                <w:b/>
                <w:sz w:val="20"/>
                <w:lang w:val="en-US"/>
              </w:rPr>
            </w:pPr>
            <w:r w:rsidRPr="00122A92">
              <w:rPr>
                <w:b/>
                <w:sz w:val="20"/>
                <w:lang w:val="en-US"/>
              </w:rPr>
              <w:t xml:space="preserve">(c) If relevant, consider translating estimates of relative risk into absolute risk for a meaningful </w:t>
            </w:r>
            <w:proofErr w:type="gramStart"/>
            <w:r w:rsidRPr="00122A92">
              <w:rPr>
                <w:b/>
                <w:sz w:val="20"/>
                <w:lang w:val="en-US"/>
              </w:rPr>
              <w:t>time period</w:t>
            </w:r>
            <w:proofErr w:type="gramEnd"/>
          </w:p>
        </w:tc>
        <w:tc>
          <w:tcPr>
            <w:tcW w:w="619" w:type="dxa"/>
            <w:gridSpan w:val="2"/>
            <w:tcBorders>
              <w:top w:val="single" w:sz="4" w:space="0" w:color="auto"/>
              <w:left w:val="single" w:sz="4" w:space="0" w:color="auto"/>
              <w:bottom w:val="single" w:sz="4" w:space="0" w:color="auto"/>
              <w:right w:val="nil"/>
            </w:tcBorders>
            <w:shd w:val="clear" w:color="auto" w:fill="auto"/>
          </w:tcPr>
          <w:p w14:paraId="414C997E" w14:textId="77777777" w:rsidR="00DF0633" w:rsidRPr="00DF0633" w:rsidRDefault="00DF0633" w:rsidP="00DF0633">
            <w:pPr>
              <w:tabs>
                <w:tab w:val="left" w:pos="5400"/>
              </w:tabs>
              <w:ind w:hanging="85"/>
              <w:rPr>
                <w:b/>
                <w:sz w:val="20"/>
              </w:rPr>
            </w:pPr>
            <w:r w:rsidRPr="00DF0633">
              <w:rPr>
                <w:b/>
                <w:sz w:val="20"/>
              </w:rPr>
              <w:t>-</w:t>
            </w:r>
          </w:p>
        </w:tc>
      </w:tr>
      <w:tr w:rsidR="00DF0633" w:rsidRPr="00DF0633" w14:paraId="01CC5124" w14:textId="77777777" w:rsidTr="00DF0633">
        <w:trPr>
          <w:gridAfter w:val="1"/>
          <w:wAfter w:w="129" w:type="dxa"/>
        </w:trPr>
        <w:tc>
          <w:tcPr>
            <w:tcW w:w="1658" w:type="dxa"/>
            <w:tcBorders>
              <w:top w:val="single" w:sz="4" w:space="0" w:color="auto"/>
              <w:bottom w:val="single" w:sz="4" w:space="0" w:color="auto"/>
            </w:tcBorders>
          </w:tcPr>
          <w:p w14:paraId="2660B35F" w14:textId="69D82F33" w:rsidR="00DF0633" w:rsidRPr="00DF0633" w:rsidRDefault="00DF0633" w:rsidP="00DF0633">
            <w:pPr>
              <w:tabs>
                <w:tab w:val="left" w:pos="5400"/>
              </w:tabs>
              <w:ind w:hanging="85"/>
              <w:rPr>
                <w:b/>
                <w:sz w:val="20"/>
              </w:rPr>
            </w:pPr>
            <w:bookmarkStart w:id="25" w:name="italic43"/>
            <w:bookmarkStart w:id="26" w:name="bold44"/>
            <w:bookmarkEnd w:id="23"/>
            <w:bookmarkEnd w:id="24"/>
            <w:r w:rsidRPr="00DF0633">
              <w:rPr>
                <w:b/>
                <w:sz w:val="20"/>
              </w:rPr>
              <w:t xml:space="preserve">Other </w:t>
            </w:r>
            <w:proofErr w:type="spellStart"/>
            <w:r w:rsidRPr="00DF0633">
              <w:rPr>
                <w:b/>
                <w:sz w:val="20"/>
              </w:rPr>
              <w:t>analyses</w:t>
            </w:r>
            <w:bookmarkEnd w:id="25"/>
            <w:bookmarkEnd w:id="26"/>
            <w:proofErr w:type="spellEnd"/>
          </w:p>
        </w:tc>
        <w:tc>
          <w:tcPr>
            <w:tcW w:w="752" w:type="dxa"/>
            <w:tcBorders>
              <w:top w:val="single" w:sz="4" w:space="0" w:color="auto"/>
              <w:bottom w:val="single" w:sz="4" w:space="0" w:color="auto"/>
            </w:tcBorders>
          </w:tcPr>
          <w:p w14:paraId="66CE011A" w14:textId="77777777" w:rsidR="00DF0633" w:rsidRPr="00DF0633" w:rsidRDefault="00DF0633" w:rsidP="00DF0633">
            <w:pPr>
              <w:tabs>
                <w:tab w:val="left" w:pos="5400"/>
              </w:tabs>
              <w:ind w:hanging="85"/>
              <w:rPr>
                <w:b/>
                <w:sz w:val="20"/>
              </w:rPr>
            </w:pPr>
            <w:r w:rsidRPr="00DF0633">
              <w:rPr>
                <w:b/>
                <w:sz w:val="20"/>
              </w:rPr>
              <w:t>17</w:t>
            </w:r>
          </w:p>
        </w:tc>
        <w:tc>
          <w:tcPr>
            <w:tcW w:w="6778" w:type="dxa"/>
            <w:gridSpan w:val="2"/>
            <w:tcBorders>
              <w:top w:val="single" w:sz="4" w:space="0" w:color="auto"/>
              <w:bottom w:val="single" w:sz="4" w:space="0" w:color="auto"/>
              <w:right w:val="single" w:sz="4" w:space="0" w:color="auto"/>
            </w:tcBorders>
          </w:tcPr>
          <w:p w14:paraId="080D2820" w14:textId="77777777" w:rsidR="00DF0633" w:rsidRPr="00122A92" w:rsidRDefault="00DF0633" w:rsidP="00DF0633">
            <w:pPr>
              <w:tabs>
                <w:tab w:val="left" w:pos="5400"/>
              </w:tabs>
              <w:ind w:hanging="85"/>
              <w:rPr>
                <w:b/>
                <w:sz w:val="20"/>
                <w:lang w:val="en-US"/>
              </w:rPr>
            </w:pPr>
            <w:r w:rsidRPr="00122A92">
              <w:rPr>
                <w:b/>
                <w:sz w:val="20"/>
                <w:lang w:val="en-US"/>
              </w:rPr>
              <w:t>Report other analyses done—</w:t>
            </w:r>
            <w:proofErr w:type="spellStart"/>
            <w:proofErr w:type="gramStart"/>
            <w:r w:rsidRPr="00122A92">
              <w:rPr>
                <w:b/>
                <w:sz w:val="20"/>
                <w:lang w:val="en-US"/>
              </w:rPr>
              <w:t>eg</w:t>
            </w:r>
            <w:proofErr w:type="spellEnd"/>
            <w:proofErr w:type="gramEnd"/>
            <w:r w:rsidRPr="00122A92">
              <w:rPr>
                <w:b/>
                <w:sz w:val="20"/>
                <w:lang w:val="en-US"/>
              </w:rPr>
              <w:t xml:space="preserve"> analyses of subgroups and interactions, and sensitivity analyses</w:t>
            </w:r>
          </w:p>
          <w:p w14:paraId="7BC919C1" w14:textId="77777777" w:rsidR="00DF0633" w:rsidRPr="00122A92" w:rsidRDefault="00DF0633" w:rsidP="00DF0633">
            <w:pPr>
              <w:tabs>
                <w:tab w:val="left" w:pos="5400"/>
              </w:tabs>
              <w:ind w:hanging="85"/>
              <w:rPr>
                <w:b/>
                <w:sz w:val="20"/>
                <w:lang w:val="en-US"/>
              </w:rPr>
            </w:pPr>
          </w:p>
        </w:tc>
        <w:tc>
          <w:tcPr>
            <w:tcW w:w="619" w:type="dxa"/>
            <w:gridSpan w:val="2"/>
            <w:tcBorders>
              <w:top w:val="single" w:sz="4" w:space="0" w:color="auto"/>
              <w:left w:val="single" w:sz="4" w:space="0" w:color="auto"/>
              <w:bottom w:val="single" w:sz="4" w:space="0" w:color="auto"/>
              <w:right w:val="nil"/>
            </w:tcBorders>
            <w:shd w:val="clear" w:color="auto" w:fill="auto"/>
          </w:tcPr>
          <w:p w14:paraId="6CEE01EA" w14:textId="77777777" w:rsidR="00DF0633" w:rsidRPr="00DF0633" w:rsidRDefault="00DF0633" w:rsidP="00DF0633">
            <w:pPr>
              <w:tabs>
                <w:tab w:val="left" w:pos="5400"/>
              </w:tabs>
              <w:ind w:hanging="85"/>
              <w:rPr>
                <w:b/>
                <w:sz w:val="20"/>
              </w:rPr>
            </w:pPr>
            <w:r w:rsidRPr="00DF0633">
              <w:rPr>
                <w:b/>
                <w:sz w:val="20"/>
              </w:rPr>
              <w:t>-</w:t>
            </w:r>
          </w:p>
        </w:tc>
      </w:tr>
      <w:tr w:rsidR="00DF0633" w:rsidRPr="00DF0633" w14:paraId="52495591" w14:textId="77777777" w:rsidTr="00DF0633">
        <w:trPr>
          <w:gridAfter w:val="1"/>
          <w:wAfter w:w="129" w:type="dxa"/>
        </w:trPr>
        <w:tc>
          <w:tcPr>
            <w:tcW w:w="9807" w:type="dxa"/>
            <w:gridSpan w:val="6"/>
            <w:tcBorders>
              <w:top w:val="single" w:sz="4" w:space="0" w:color="auto"/>
              <w:bottom w:val="single" w:sz="4" w:space="0" w:color="auto"/>
              <w:right w:val="nil"/>
            </w:tcBorders>
          </w:tcPr>
          <w:p w14:paraId="1651918C" w14:textId="137D26FE" w:rsidR="00DF0633" w:rsidRPr="00DF0633" w:rsidRDefault="00DF0633" w:rsidP="00DF0633">
            <w:pPr>
              <w:tabs>
                <w:tab w:val="left" w:pos="5400"/>
              </w:tabs>
              <w:ind w:hanging="85"/>
              <w:rPr>
                <w:b/>
                <w:sz w:val="20"/>
              </w:rPr>
            </w:pPr>
            <w:bookmarkStart w:id="27" w:name="italic44"/>
            <w:bookmarkStart w:id="28" w:name="bold45"/>
            <w:proofErr w:type="spellStart"/>
            <w:r w:rsidRPr="00DF0633">
              <w:rPr>
                <w:b/>
                <w:sz w:val="20"/>
              </w:rPr>
              <w:t>Discussion</w:t>
            </w:r>
            <w:bookmarkEnd w:id="27"/>
            <w:bookmarkEnd w:id="28"/>
            <w:proofErr w:type="spellEnd"/>
          </w:p>
        </w:tc>
      </w:tr>
      <w:tr w:rsidR="00DF0633" w:rsidRPr="00DF0633" w14:paraId="00ECD21D" w14:textId="77777777" w:rsidTr="00DF0633">
        <w:trPr>
          <w:gridAfter w:val="1"/>
          <w:wAfter w:w="129" w:type="dxa"/>
        </w:trPr>
        <w:tc>
          <w:tcPr>
            <w:tcW w:w="1658" w:type="dxa"/>
          </w:tcPr>
          <w:p w14:paraId="626484E0" w14:textId="77777777" w:rsidR="00DF0633" w:rsidRPr="00DF0633" w:rsidRDefault="00DF0633" w:rsidP="00DF0633">
            <w:pPr>
              <w:tabs>
                <w:tab w:val="left" w:pos="5400"/>
              </w:tabs>
              <w:ind w:hanging="85"/>
              <w:rPr>
                <w:b/>
                <w:sz w:val="20"/>
              </w:rPr>
            </w:pPr>
            <w:bookmarkStart w:id="29" w:name="italic45" w:colFirst="0" w:colLast="0"/>
            <w:bookmarkStart w:id="30" w:name="bold46" w:colFirst="0" w:colLast="0"/>
            <w:r w:rsidRPr="00DF0633">
              <w:rPr>
                <w:b/>
                <w:sz w:val="20"/>
              </w:rPr>
              <w:t xml:space="preserve">Key </w:t>
            </w:r>
            <w:proofErr w:type="spellStart"/>
            <w:r w:rsidRPr="00DF0633">
              <w:rPr>
                <w:b/>
                <w:sz w:val="20"/>
              </w:rPr>
              <w:t>results</w:t>
            </w:r>
            <w:proofErr w:type="spellEnd"/>
          </w:p>
        </w:tc>
        <w:tc>
          <w:tcPr>
            <w:tcW w:w="752" w:type="dxa"/>
          </w:tcPr>
          <w:p w14:paraId="454A601D" w14:textId="77777777" w:rsidR="00DF0633" w:rsidRPr="00DF0633" w:rsidRDefault="00DF0633" w:rsidP="00DF0633">
            <w:pPr>
              <w:tabs>
                <w:tab w:val="left" w:pos="5400"/>
              </w:tabs>
              <w:ind w:hanging="85"/>
              <w:rPr>
                <w:b/>
                <w:sz w:val="20"/>
              </w:rPr>
            </w:pPr>
            <w:r w:rsidRPr="00DF0633">
              <w:rPr>
                <w:b/>
                <w:sz w:val="20"/>
              </w:rPr>
              <w:t>18</w:t>
            </w:r>
          </w:p>
        </w:tc>
        <w:tc>
          <w:tcPr>
            <w:tcW w:w="6778" w:type="dxa"/>
            <w:gridSpan w:val="2"/>
            <w:tcBorders>
              <w:right w:val="single" w:sz="4" w:space="0" w:color="auto"/>
            </w:tcBorders>
          </w:tcPr>
          <w:p w14:paraId="5156111A" w14:textId="77777777" w:rsidR="00DF0633" w:rsidRPr="00122A92" w:rsidRDefault="00DF0633" w:rsidP="00DF0633">
            <w:pPr>
              <w:tabs>
                <w:tab w:val="left" w:pos="5400"/>
              </w:tabs>
              <w:ind w:hanging="85"/>
              <w:rPr>
                <w:b/>
                <w:sz w:val="20"/>
                <w:lang w:val="en-US"/>
              </w:rPr>
            </w:pPr>
            <w:proofErr w:type="spellStart"/>
            <w:r w:rsidRPr="00122A92">
              <w:rPr>
                <w:b/>
                <w:sz w:val="20"/>
                <w:lang w:val="en-US"/>
              </w:rPr>
              <w:t>Summarise</w:t>
            </w:r>
            <w:proofErr w:type="spellEnd"/>
            <w:r w:rsidRPr="00122A92">
              <w:rPr>
                <w:b/>
                <w:sz w:val="20"/>
                <w:lang w:val="en-US"/>
              </w:rPr>
              <w:t xml:space="preserve"> key results with reference to study objectives</w:t>
            </w:r>
          </w:p>
        </w:tc>
        <w:tc>
          <w:tcPr>
            <w:tcW w:w="619" w:type="dxa"/>
            <w:gridSpan w:val="2"/>
            <w:tcBorders>
              <w:top w:val="single" w:sz="4" w:space="0" w:color="auto"/>
              <w:left w:val="single" w:sz="4" w:space="0" w:color="auto"/>
              <w:bottom w:val="single" w:sz="4" w:space="0" w:color="auto"/>
              <w:right w:val="nil"/>
            </w:tcBorders>
            <w:shd w:val="clear" w:color="auto" w:fill="auto"/>
          </w:tcPr>
          <w:p w14:paraId="6DDAE0BE" w14:textId="77777777" w:rsidR="00DF0633" w:rsidRPr="00DF0633" w:rsidRDefault="00DF0633" w:rsidP="00DF0633">
            <w:pPr>
              <w:tabs>
                <w:tab w:val="left" w:pos="5400"/>
              </w:tabs>
              <w:ind w:hanging="85"/>
              <w:rPr>
                <w:b/>
                <w:sz w:val="20"/>
              </w:rPr>
            </w:pPr>
            <w:r w:rsidRPr="00DF0633">
              <w:rPr>
                <w:b/>
                <w:sz w:val="20"/>
              </w:rPr>
              <w:t>16</w:t>
            </w:r>
          </w:p>
        </w:tc>
      </w:tr>
      <w:tr w:rsidR="00DF0633" w:rsidRPr="00DF0633" w14:paraId="48D951D8" w14:textId="77777777" w:rsidTr="00DF0633">
        <w:trPr>
          <w:gridAfter w:val="1"/>
          <w:wAfter w:w="129" w:type="dxa"/>
        </w:trPr>
        <w:tc>
          <w:tcPr>
            <w:tcW w:w="1658" w:type="dxa"/>
          </w:tcPr>
          <w:p w14:paraId="18454408" w14:textId="77777777" w:rsidR="00DF0633" w:rsidRPr="00DF0633" w:rsidRDefault="00DF0633" w:rsidP="00DF0633">
            <w:pPr>
              <w:tabs>
                <w:tab w:val="left" w:pos="5400"/>
              </w:tabs>
              <w:ind w:hanging="85"/>
              <w:rPr>
                <w:b/>
                <w:sz w:val="20"/>
              </w:rPr>
            </w:pPr>
            <w:bookmarkStart w:id="31" w:name="italic46" w:colFirst="0" w:colLast="0"/>
            <w:bookmarkStart w:id="32" w:name="bold47" w:colFirst="0" w:colLast="0"/>
            <w:bookmarkEnd w:id="29"/>
            <w:bookmarkEnd w:id="30"/>
            <w:proofErr w:type="spellStart"/>
            <w:r w:rsidRPr="00DF0633">
              <w:rPr>
                <w:b/>
                <w:sz w:val="20"/>
              </w:rPr>
              <w:t>Limitations</w:t>
            </w:r>
            <w:proofErr w:type="spellEnd"/>
          </w:p>
        </w:tc>
        <w:tc>
          <w:tcPr>
            <w:tcW w:w="752" w:type="dxa"/>
          </w:tcPr>
          <w:p w14:paraId="344FA1CD" w14:textId="77777777" w:rsidR="00DF0633" w:rsidRPr="00DF0633" w:rsidRDefault="00DF0633" w:rsidP="00DF0633">
            <w:pPr>
              <w:tabs>
                <w:tab w:val="left" w:pos="5400"/>
              </w:tabs>
              <w:ind w:hanging="85"/>
              <w:rPr>
                <w:b/>
                <w:sz w:val="20"/>
              </w:rPr>
            </w:pPr>
            <w:r w:rsidRPr="00DF0633">
              <w:rPr>
                <w:b/>
                <w:sz w:val="20"/>
              </w:rPr>
              <w:t>19</w:t>
            </w:r>
          </w:p>
        </w:tc>
        <w:tc>
          <w:tcPr>
            <w:tcW w:w="6778" w:type="dxa"/>
            <w:gridSpan w:val="2"/>
            <w:tcBorders>
              <w:right w:val="single" w:sz="4" w:space="0" w:color="auto"/>
            </w:tcBorders>
          </w:tcPr>
          <w:p w14:paraId="6DFF11F8" w14:textId="77777777" w:rsidR="00DF0633" w:rsidRPr="00DF0633" w:rsidRDefault="00DF0633" w:rsidP="00DF0633">
            <w:pPr>
              <w:tabs>
                <w:tab w:val="left" w:pos="5400"/>
              </w:tabs>
              <w:ind w:hanging="85"/>
              <w:rPr>
                <w:b/>
                <w:sz w:val="20"/>
              </w:rPr>
            </w:pPr>
            <w:r w:rsidRPr="00122A92">
              <w:rPr>
                <w:b/>
                <w:sz w:val="20"/>
                <w:lang w:val="en-US"/>
              </w:rPr>
              <w:t xml:space="preserve">Discuss limitations of the study, </w:t>
            </w:r>
            <w:proofErr w:type="gramStart"/>
            <w:r w:rsidRPr="00122A92">
              <w:rPr>
                <w:b/>
                <w:sz w:val="20"/>
                <w:lang w:val="en-US"/>
              </w:rPr>
              <w:t>taking into account</w:t>
            </w:r>
            <w:proofErr w:type="gramEnd"/>
            <w:r w:rsidRPr="00122A92">
              <w:rPr>
                <w:b/>
                <w:sz w:val="20"/>
                <w:lang w:val="en-US"/>
              </w:rPr>
              <w:t xml:space="preserve"> sources of potential bias or imprecision. </w:t>
            </w:r>
            <w:proofErr w:type="spellStart"/>
            <w:r w:rsidRPr="00DF0633">
              <w:rPr>
                <w:b/>
                <w:sz w:val="20"/>
              </w:rPr>
              <w:t>Discuss</w:t>
            </w:r>
            <w:proofErr w:type="spellEnd"/>
            <w:r w:rsidRPr="00DF0633">
              <w:rPr>
                <w:b/>
                <w:sz w:val="20"/>
              </w:rPr>
              <w:t xml:space="preserve"> </w:t>
            </w:r>
            <w:proofErr w:type="spellStart"/>
            <w:r w:rsidRPr="00DF0633">
              <w:rPr>
                <w:b/>
                <w:sz w:val="20"/>
              </w:rPr>
              <w:t>both</w:t>
            </w:r>
            <w:proofErr w:type="spellEnd"/>
            <w:r w:rsidRPr="00DF0633">
              <w:rPr>
                <w:b/>
                <w:sz w:val="20"/>
              </w:rPr>
              <w:t xml:space="preserve"> </w:t>
            </w:r>
            <w:proofErr w:type="spellStart"/>
            <w:r w:rsidRPr="00DF0633">
              <w:rPr>
                <w:b/>
                <w:sz w:val="20"/>
              </w:rPr>
              <w:t>direction</w:t>
            </w:r>
            <w:proofErr w:type="spellEnd"/>
            <w:r w:rsidRPr="00DF0633">
              <w:rPr>
                <w:b/>
                <w:sz w:val="20"/>
              </w:rPr>
              <w:t xml:space="preserve"> </w:t>
            </w:r>
            <w:proofErr w:type="spellStart"/>
            <w:r w:rsidRPr="00DF0633">
              <w:rPr>
                <w:b/>
                <w:sz w:val="20"/>
              </w:rPr>
              <w:t>and</w:t>
            </w:r>
            <w:proofErr w:type="spellEnd"/>
            <w:r w:rsidRPr="00DF0633">
              <w:rPr>
                <w:b/>
                <w:sz w:val="20"/>
              </w:rPr>
              <w:t xml:space="preserve"> magnitude </w:t>
            </w:r>
            <w:proofErr w:type="spellStart"/>
            <w:r w:rsidRPr="00DF0633">
              <w:rPr>
                <w:b/>
                <w:sz w:val="20"/>
              </w:rPr>
              <w:t>of</w:t>
            </w:r>
            <w:proofErr w:type="spellEnd"/>
            <w:r w:rsidRPr="00DF0633">
              <w:rPr>
                <w:b/>
                <w:sz w:val="20"/>
              </w:rPr>
              <w:t xml:space="preserve"> </w:t>
            </w:r>
            <w:proofErr w:type="spellStart"/>
            <w:r w:rsidRPr="00DF0633">
              <w:rPr>
                <w:b/>
                <w:sz w:val="20"/>
              </w:rPr>
              <w:t>any</w:t>
            </w:r>
            <w:proofErr w:type="spellEnd"/>
            <w:r w:rsidRPr="00DF0633">
              <w:rPr>
                <w:b/>
                <w:sz w:val="20"/>
              </w:rPr>
              <w:t xml:space="preserve"> </w:t>
            </w:r>
            <w:proofErr w:type="spellStart"/>
            <w:r w:rsidRPr="00DF0633">
              <w:rPr>
                <w:b/>
                <w:sz w:val="20"/>
              </w:rPr>
              <w:t>potential</w:t>
            </w:r>
            <w:proofErr w:type="spellEnd"/>
            <w:r w:rsidRPr="00DF0633">
              <w:rPr>
                <w:b/>
                <w:sz w:val="20"/>
              </w:rPr>
              <w:t xml:space="preserve"> bias</w:t>
            </w:r>
          </w:p>
        </w:tc>
        <w:tc>
          <w:tcPr>
            <w:tcW w:w="619" w:type="dxa"/>
            <w:gridSpan w:val="2"/>
            <w:tcBorders>
              <w:top w:val="single" w:sz="4" w:space="0" w:color="auto"/>
              <w:left w:val="single" w:sz="4" w:space="0" w:color="auto"/>
              <w:bottom w:val="single" w:sz="4" w:space="0" w:color="auto"/>
              <w:right w:val="nil"/>
            </w:tcBorders>
            <w:shd w:val="clear" w:color="auto" w:fill="auto"/>
          </w:tcPr>
          <w:p w14:paraId="6D614D24" w14:textId="77777777" w:rsidR="00DF0633" w:rsidRPr="00DF0633" w:rsidRDefault="00DF0633" w:rsidP="00DF0633">
            <w:pPr>
              <w:tabs>
                <w:tab w:val="left" w:pos="5400"/>
              </w:tabs>
              <w:ind w:hanging="85"/>
              <w:rPr>
                <w:b/>
                <w:sz w:val="20"/>
              </w:rPr>
            </w:pPr>
            <w:r w:rsidRPr="00DF0633">
              <w:rPr>
                <w:b/>
                <w:sz w:val="20"/>
              </w:rPr>
              <w:t>17</w:t>
            </w:r>
          </w:p>
        </w:tc>
      </w:tr>
      <w:tr w:rsidR="00DF0633" w:rsidRPr="00DF0633" w14:paraId="611692B5" w14:textId="77777777" w:rsidTr="00DF0633">
        <w:trPr>
          <w:gridAfter w:val="1"/>
          <w:wAfter w:w="129" w:type="dxa"/>
        </w:trPr>
        <w:tc>
          <w:tcPr>
            <w:tcW w:w="1658" w:type="dxa"/>
          </w:tcPr>
          <w:p w14:paraId="5425975F" w14:textId="77777777" w:rsidR="00DF0633" w:rsidRPr="00DF0633" w:rsidRDefault="00DF0633" w:rsidP="00DF0633">
            <w:pPr>
              <w:tabs>
                <w:tab w:val="left" w:pos="5400"/>
              </w:tabs>
              <w:ind w:hanging="85"/>
              <w:rPr>
                <w:b/>
                <w:sz w:val="20"/>
              </w:rPr>
            </w:pPr>
            <w:bookmarkStart w:id="33" w:name="italic47" w:colFirst="0" w:colLast="0"/>
            <w:bookmarkStart w:id="34" w:name="bold48" w:colFirst="0" w:colLast="0"/>
            <w:bookmarkEnd w:id="31"/>
            <w:bookmarkEnd w:id="32"/>
            <w:proofErr w:type="spellStart"/>
            <w:r w:rsidRPr="00DF0633">
              <w:rPr>
                <w:b/>
                <w:sz w:val="20"/>
              </w:rPr>
              <w:t>Interpretation</w:t>
            </w:r>
            <w:proofErr w:type="spellEnd"/>
          </w:p>
        </w:tc>
        <w:tc>
          <w:tcPr>
            <w:tcW w:w="752" w:type="dxa"/>
          </w:tcPr>
          <w:p w14:paraId="412CF16D" w14:textId="77777777" w:rsidR="00DF0633" w:rsidRPr="00DF0633" w:rsidRDefault="00DF0633" w:rsidP="00DF0633">
            <w:pPr>
              <w:tabs>
                <w:tab w:val="left" w:pos="5400"/>
              </w:tabs>
              <w:ind w:hanging="85"/>
              <w:rPr>
                <w:b/>
                <w:sz w:val="20"/>
              </w:rPr>
            </w:pPr>
            <w:r w:rsidRPr="00DF0633">
              <w:rPr>
                <w:b/>
                <w:sz w:val="20"/>
              </w:rPr>
              <w:t>20</w:t>
            </w:r>
          </w:p>
        </w:tc>
        <w:tc>
          <w:tcPr>
            <w:tcW w:w="6778" w:type="dxa"/>
            <w:gridSpan w:val="2"/>
            <w:tcBorders>
              <w:right w:val="single" w:sz="4" w:space="0" w:color="auto"/>
            </w:tcBorders>
          </w:tcPr>
          <w:p w14:paraId="7436BB3C" w14:textId="77777777" w:rsidR="00DF0633" w:rsidRPr="00122A92" w:rsidRDefault="00DF0633" w:rsidP="00DF0633">
            <w:pPr>
              <w:tabs>
                <w:tab w:val="left" w:pos="5400"/>
              </w:tabs>
              <w:ind w:hanging="85"/>
              <w:rPr>
                <w:b/>
                <w:sz w:val="20"/>
                <w:lang w:val="en-US"/>
              </w:rPr>
            </w:pPr>
            <w:r w:rsidRPr="00122A92">
              <w:rPr>
                <w:b/>
                <w:sz w:val="20"/>
                <w:lang w:val="en-US"/>
              </w:rPr>
              <w:t>Give a cautious overall interpretation of results considering objectives, limitations, multiplicity of analyses, results from similar studies, and other relevant evidence</w:t>
            </w:r>
          </w:p>
        </w:tc>
        <w:tc>
          <w:tcPr>
            <w:tcW w:w="619" w:type="dxa"/>
            <w:gridSpan w:val="2"/>
            <w:tcBorders>
              <w:top w:val="single" w:sz="4" w:space="0" w:color="auto"/>
              <w:left w:val="single" w:sz="4" w:space="0" w:color="auto"/>
              <w:bottom w:val="single" w:sz="4" w:space="0" w:color="auto"/>
              <w:right w:val="nil"/>
            </w:tcBorders>
            <w:shd w:val="clear" w:color="auto" w:fill="auto"/>
          </w:tcPr>
          <w:p w14:paraId="72B9E86D" w14:textId="77777777" w:rsidR="00DF0633" w:rsidRPr="00DF0633" w:rsidRDefault="00DF0633" w:rsidP="00DF0633">
            <w:pPr>
              <w:tabs>
                <w:tab w:val="left" w:pos="5400"/>
              </w:tabs>
              <w:ind w:hanging="85"/>
              <w:rPr>
                <w:b/>
                <w:sz w:val="20"/>
              </w:rPr>
            </w:pPr>
            <w:r w:rsidRPr="00DF0633">
              <w:rPr>
                <w:b/>
                <w:sz w:val="20"/>
              </w:rPr>
              <w:t>17</w:t>
            </w:r>
          </w:p>
        </w:tc>
      </w:tr>
      <w:tr w:rsidR="00DF0633" w:rsidRPr="00DF0633" w14:paraId="5506C101" w14:textId="77777777" w:rsidTr="00DF0633">
        <w:trPr>
          <w:gridAfter w:val="1"/>
          <w:wAfter w:w="129" w:type="dxa"/>
        </w:trPr>
        <w:tc>
          <w:tcPr>
            <w:tcW w:w="1658" w:type="dxa"/>
          </w:tcPr>
          <w:p w14:paraId="3A07265C" w14:textId="77777777" w:rsidR="00DF0633" w:rsidRPr="00DF0633" w:rsidRDefault="00DF0633" w:rsidP="00DF0633">
            <w:pPr>
              <w:tabs>
                <w:tab w:val="left" w:pos="5400"/>
              </w:tabs>
              <w:ind w:hanging="85"/>
              <w:rPr>
                <w:b/>
                <w:sz w:val="20"/>
              </w:rPr>
            </w:pPr>
            <w:bookmarkStart w:id="35" w:name="italic48" w:colFirst="0" w:colLast="0"/>
            <w:bookmarkStart w:id="36" w:name="bold49" w:colFirst="0" w:colLast="0"/>
            <w:bookmarkEnd w:id="33"/>
            <w:bookmarkEnd w:id="34"/>
            <w:proofErr w:type="spellStart"/>
            <w:r w:rsidRPr="00DF0633">
              <w:rPr>
                <w:b/>
                <w:sz w:val="20"/>
              </w:rPr>
              <w:t>Generalisability</w:t>
            </w:r>
            <w:proofErr w:type="spellEnd"/>
          </w:p>
        </w:tc>
        <w:tc>
          <w:tcPr>
            <w:tcW w:w="752" w:type="dxa"/>
          </w:tcPr>
          <w:p w14:paraId="3F5773E2" w14:textId="77777777" w:rsidR="00DF0633" w:rsidRPr="00DF0633" w:rsidRDefault="00DF0633" w:rsidP="00DF0633">
            <w:pPr>
              <w:tabs>
                <w:tab w:val="left" w:pos="5400"/>
              </w:tabs>
              <w:ind w:hanging="85"/>
              <w:rPr>
                <w:b/>
                <w:sz w:val="20"/>
              </w:rPr>
            </w:pPr>
            <w:r w:rsidRPr="00DF0633">
              <w:rPr>
                <w:b/>
                <w:sz w:val="20"/>
              </w:rPr>
              <w:t>21</w:t>
            </w:r>
          </w:p>
        </w:tc>
        <w:tc>
          <w:tcPr>
            <w:tcW w:w="6778" w:type="dxa"/>
            <w:gridSpan w:val="2"/>
            <w:tcBorders>
              <w:right w:val="single" w:sz="4" w:space="0" w:color="auto"/>
            </w:tcBorders>
          </w:tcPr>
          <w:p w14:paraId="1905847D" w14:textId="77777777" w:rsidR="00DF0633" w:rsidRPr="00122A92" w:rsidRDefault="00DF0633" w:rsidP="00DF0633">
            <w:pPr>
              <w:tabs>
                <w:tab w:val="left" w:pos="5400"/>
              </w:tabs>
              <w:ind w:hanging="85"/>
              <w:rPr>
                <w:b/>
                <w:sz w:val="20"/>
                <w:lang w:val="en-US"/>
              </w:rPr>
            </w:pPr>
            <w:r w:rsidRPr="00122A92">
              <w:rPr>
                <w:b/>
                <w:sz w:val="20"/>
                <w:lang w:val="en-US"/>
              </w:rPr>
              <w:t xml:space="preserve">Discuss the </w:t>
            </w:r>
            <w:proofErr w:type="spellStart"/>
            <w:r w:rsidRPr="00122A92">
              <w:rPr>
                <w:b/>
                <w:sz w:val="20"/>
                <w:lang w:val="en-US"/>
              </w:rPr>
              <w:t>generalisability</w:t>
            </w:r>
            <w:proofErr w:type="spellEnd"/>
            <w:r w:rsidRPr="00122A92">
              <w:rPr>
                <w:b/>
                <w:sz w:val="20"/>
                <w:lang w:val="en-US"/>
              </w:rPr>
              <w:t xml:space="preserve"> (external validity) of the study results</w:t>
            </w:r>
          </w:p>
        </w:tc>
        <w:tc>
          <w:tcPr>
            <w:tcW w:w="619" w:type="dxa"/>
            <w:gridSpan w:val="2"/>
            <w:tcBorders>
              <w:top w:val="single" w:sz="4" w:space="0" w:color="auto"/>
              <w:left w:val="single" w:sz="4" w:space="0" w:color="auto"/>
              <w:bottom w:val="single" w:sz="4" w:space="0" w:color="auto"/>
              <w:right w:val="nil"/>
            </w:tcBorders>
            <w:shd w:val="clear" w:color="auto" w:fill="auto"/>
          </w:tcPr>
          <w:p w14:paraId="03B86BA8" w14:textId="77777777" w:rsidR="00DF0633" w:rsidRPr="00DF0633" w:rsidRDefault="00DF0633" w:rsidP="00DF0633">
            <w:pPr>
              <w:tabs>
                <w:tab w:val="left" w:pos="5400"/>
              </w:tabs>
              <w:ind w:hanging="85"/>
              <w:rPr>
                <w:b/>
                <w:sz w:val="20"/>
              </w:rPr>
            </w:pPr>
            <w:r w:rsidRPr="00DF0633">
              <w:rPr>
                <w:b/>
                <w:sz w:val="20"/>
              </w:rPr>
              <w:t>18</w:t>
            </w:r>
          </w:p>
        </w:tc>
      </w:tr>
      <w:tr w:rsidR="00DF0633" w:rsidRPr="00DF0633" w14:paraId="1D0229C3" w14:textId="77777777" w:rsidTr="00DF0633">
        <w:trPr>
          <w:gridAfter w:val="1"/>
          <w:wAfter w:w="129" w:type="dxa"/>
        </w:trPr>
        <w:tc>
          <w:tcPr>
            <w:tcW w:w="9807" w:type="dxa"/>
            <w:gridSpan w:val="6"/>
            <w:tcBorders>
              <w:top w:val="single" w:sz="4" w:space="0" w:color="auto"/>
              <w:bottom w:val="single" w:sz="4" w:space="0" w:color="auto"/>
              <w:right w:val="nil"/>
            </w:tcBorders>
          </w:tcPr>
          <w:p w14:paraId="7F272D4F" w14:textId="36C3C90D" w:rsidR="00DF0633" w:rsidRPr="00DF0633" w:rsidRDefault="00DF0633" w:rsidP="00DF0633">
            <w:pPr>
              <w:tabs>
                <w:tab w:val="left" w:pos="5400"/>
              </w:tabs>
              <w:ind w:hanging="85"/>
              <w:rPr>
                <w:b/>
                <w:sz w:val="20"/>
              </w:rPr>
            </w:pPr>
            <w:bookmarkStart w:id="37" w:name="italic49"/>
            <w:bookmarkStart w:id="38" w:name="bold50"/>
            <w:bookmarkEnd w:id="35"/>
            <w:bookmarkEnd w:id="36"/>
            <w:r w:rsidRPr="00DF0633">
              <w:rPr>
                <w:b/>
                <w:sz w:val="20"/>
              </w:rPr>
              <w:t xml:space="preserve">Other </w:t>
            </w:r>
            <w:proofErr w:type="spellStart"/>
            <w:r w:rsidRPr="00DF0633">
              <w:rPr>
                <w:b/>
                <w:sz w:val="20"/>
              </w:rPr>
              <w:t>information</w:t>
            </w:r>
            <w:bookmarkEnd w:id="37"/>
            <w:bookmarkEnd w:id="38"/>
            <w:proofErr w:type="spellEnd"/>
          </w:p>
        </w:tc>
      </w:tr>
      <w:tr w:rsidR="00DF0633" w:rsidRPr="00DF0633" w14:paraId="5F715AE6" w14:textId="77777777" w:rsidTr="00DF0633">
        <w:trPr>
          <w:gridAfter w:val="1"/>
          <w:wAfter w:w="129" w:type="dxa"/>
        </w:trPr>
        <w:tc>
          <w:tcPr>
            <w:tcW w:w="1658" w:type="dxa"/>
            <w:tcBorders>
              <w:top w:val="single" w:sz="4" w:space="0" w:color="auto"/>
              <w:bottom w:val="single" w:sz="4" w:space="0" w:color="auto"/>
            </w:tcBorders>
          </w:tcPr>
          <w:p w14:paraId="7708CD44" w14:textId="77777777" w:rsidR="00DF0633" w:rsidRPr="00DF0633" w:rsidRDefault="00DF0633" w:rsidP="00DF0633">
            <w:pPr>
              <w:tabs>
                <w:tab w:val="left" w:pos="5400"/>
              </w:tabs>
              <w:ind w:hanging="85"/>
              <w:rPr>
                <w:b/>
                <w:sz w:val="20"/>
              </w:rPr>
            </w:pPr>
            <w:bookmarkStart w:id="39" w:name="italic50" w:colFirst="0" w:colLast="0"/>
            <w:bookmarkStart w:id="40" w:name="bold51" w:colFirst="0" w:colLast="0"/>
            <w:proofErr w:type="spellStart"/>
            <w:r w:rsidRPr="00DF0633">
              <w:rPr>
                <w:b/>
                <w:sz w:val="20"/>
              </w:rPr>
              <w:t>Funding</w:t>
            </w:r>
            <w:proofErr w:type="spellEnd"/>
          </w:p>
        </w:tc>
        <w:tc>
          <w:tcPr>
            <w:tcW w:w="752" w:type="dxa"/>
            <w:tcBorders>
              <w:top w:val="single" w:sz="4" w:space="0" w:color="auto"/>
              <w:bottom w:val="single" w:sz="4" w:space="0" w:color="auto"/>
            </w:tcBorders>
          </w:tcPr>
          <w:p w14:paraId="27B7A915" w14:textId="77777777" w:rsidR="00DF0633" w:rsidRPr="00DF0633" w:rsidRDefault="00DF0633" w:rsidP="00DF0633">
            <w:pPr>
              <w:tabs>
                <w:tab w:val="left" w:pos="5400"/>
              </w:tabs>
              <w:ind w:hanging="85"/>
              <w:rPr>
                <w:b/>
                <w:sz w:val="20"/>
              </w:rPr>
            </w:pPr>
            <w:r w:rsidRPr="00DF0633">
              <w:rPr>
                <w:b/>
                <w:sz w:val="20"/>
              </w:rPr>
              <w:t>22</w:t>
            </w:r>
          </w:p>
        </w:tc>
        <w:tc>
          <w:tcPr>
            <w:tcW w:w="6778" w:type="dxa"/>
            <w:gridSpan w:val="2"/>
            <w:tcBorders>
              <w:top w:val="single" w:sz="4" w:space="0" w:color="auto"/>
              <w:bottom w:val="single" w:sz="4" w:space="0" w:color="auto"/>
              <w:right w:val="single" w:sz="4" w:space="0" w:color="auto"/>
            </w:tcBorders>
          </w:tcPr>
          <w:p w14:paraId="4BDE5C60" w14:textId="77777777" w:rsidR="00DF0633" w:rsidRPr="00122A92" w:rsidRDefault="00DF0633" w:rsidP="00DF0633">
            <w:pPr>
              <w:tabs>
                <w:tab w:val="left" w:pos="5400"/>
              </w:tabs>
              <w:ind w:hanging="85"/>
              <w:rPr>
                <w:b/>
                <w:sz w:val="20"/>
                <w:lang w:val="en-US"/>
              </w:rPr>
            </w:pPr>
            <w:r w:rsidRPr="00122A92">
              <w:rPr>
                <w:b/>
                <w:sz w:val="20"/>
                <w:lang w:val="en-US"/>
              </w:rPr>
              <w:t>Give the source of funding and the role of the funders for the present study and, if applicable, for the original study on which the present article is based</w:t>
            </w:r>
          </w:p>
        </w:tc>
        <w:tc>
          <w:tcPr>
            <w:tcW w:w="619" w:type="dxa"/>
            <w:gridSpan w:val="2"/>
            <w:tcBorders>
              <w:top w:val="single" w:sz="4" w:space="0" w:color="auto"/>
              <w:left w:val="single" w:sz="4" w:space="0" w:color="auto"/>
              <w:bottom w:val="single" w:sz="4" w:space="0" w:color="auto"/>
              <w:right w:val="nil"/>
            </w:tcBorders>
            <w:shd w:val="clear" w:color="auto" w:fill="auto"/>
          </w:tcPr>
          <w:p w14:paraId="2C8AAF3C" w14:textId="77777777" w:rsidR="00DF0633" w:rsidRPr="00DF0633" w:rsidRDefault="00DF0633" w:rsidP="00DF0633">
            <w:pPr>
              <w:tabs>
                <w:tab w:val="left" w:pos="5400"/>
              </w:tabs>
              <w:ind w:hanging="85"/>
              <w:rPr>
                <w:b/>
                <w:sz w:val="20"/>
              </w:rPr>
            </w:pPr>
            <w:r w:rsidRPr="00DF0633">
              <w:rPr>
                <w:b/>
                <w:sz w:val="20"/>
              </w:rPr>
              <w:t>-</w:t>
            </w:r>
          </w:p>
        </w:tc>
      </w:tr>
      <w:bookmarkEnd w:id="39"/>
      <w:bookmarkEnd w:id="40"/>
    </w:tbl>
    <w:p w14:paraId="1AB91C0C" w14:textId="77777777" w:rsidR="00DF0633" w:rsidRDefault="00DF0633" w:rsidP="00DF0633">
      <w:pPr>
        <w:pStyle w:val="TableNote"/>
        <w:tabs>
          <w:tab w:val="left" w:pos="5400"/>
        </w:tabs>
        <w:rPr>
          <w:bCs/>
          <w:sz w:val="20"/>
        </w:rPr>
      </w:pPr>
    </w:p>
    <w:p w14:paraId="65A43A81" w14:textId="77777777" w:rsidR="00DF0633" w:rsidRPr="0003214C" w:rsidRDefault="00DF0633" w:rsidP="00C03B10">
      <w:pPr>
        <w:rPr>
          <w:lang w:val="en-US"/>
        </w:rPr>
      </w:pPr>
    </w:p>
    <w:sectPr w:rsidR="00DF0633" w:rsidRPr="0003214C" w:rsidSect="00B96847">
      <w:headerReference w:type="default" r:id="rId12"/>
      <w:pgSz w:w="11900" w:h="16840"/>
      <w:pgMar w:top="1418" w:right="1134" w:bottom="1418" w:left="1134" w:header="711" w:footer="720" w:gutter="0"/>
      <w:pgNumType w:start="8"/>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DE587" w14:textId="77777777" w:rsidR="001C3069" w:rsidRDefault="001C3069" w:rsidP="00C81291">
      <w:r>
        <w:separator/>
      </w:r>
    </w:p>
  </w:endnote>
  <w:endnote w:type="continuationSeparator" w:id="0">
    <w:p w14:paraId="274DAB41" w14:textId="77777777" w:rsidR="001C3069" w:rsidRDefault="001C3069" w:rsidP="00C81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Pro-Regular">
    <w:altName w:val="Cambria Math"/>
    <w:charset w:val="00"/>
    <w:family w:val="roman"/>
    <w:pitch w:val="variable"/>
    <w:sig w:usb0="00000001" w:usb1="00000001"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AD5B9" w14:textId="77777777" w:rsidR="001C3069" w:rsidRDefault="001C3069" w:rsidP="00C81291">
      <w:r>
        <w:separator/>
      </w:r>
    </w:p>
  </w:footnote>
  <w:footnote w:type="continuationSeparator" w:id="0">
    <w:p w14:paraId="35F3D432" w14:textId="77777777" w:rsidR="001C3069" w:rsidRDefault="001C3069" w:rsidP="00C81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80167"/>
      <w:docPartObj>
        <w:docPartGallery w:val="Page Numbers (Top of Page)"/>
        <w:docPartUnique/>
      </w:docPartObj>
    </w:sdtPr>
    <w:sdtContent>
      <w:p w14:paraId="20BEE600" w14:textId="3D1299DA" w:rsidR="00B94DB1" w:rsidRDefault="00B94DB1">
        <w:pPr>
          <w:pStyle w:val="Cabealho"/>
          <w:jc w:val="right"/>
        </w:pPr>
        <w:r>
          <w:fldChar w:fldCharType="begin"/>
        </w:r>
        <w:r>
          <w:instrText>PAGE   \* MERGEFORMAT</w:instrText>
        </w:r>
        <w:r>
          <w:fldChar w:fldCharType="separate"/>
        </w:r>
        <w:r>
          <w:t>2</w:t>
        </w:r>
        <w:r>
          <w:fldChar w:fldCharType="end"/>
        </w:r>
      </w:p>
    </w:sdtContent>
  </w:sdt>
  <w:p w14:paraId="119369CD" w14:textId="77777777" w:rsidR="00B94DB1" w:rsidRDefault="00B94DB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03CAC" w14:textId="1A168F15" w:rsidR="00B96847" w:rsidRDefault="00B96847">
    <w:pPr>
      <w:pStyle w:val="Cabealho"/>
      <w:jc w:val="right"/>
    </w:pPr>
  </w:p>
  <w:p w14:paraId="6E425AD6" w14:textId="77777777" w:rsidR="00B96847" w:rsidRDefault="00B9684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74892"/>
      <w:docPartObj>
        <w:docPartGallery w:val="Page Numbers (Top of Page)"/>
        <w:docPartUnique/>
      </w:docPartObj>
    </w:sdtPr>
    <w:sdtContent>
      <w:p w14:paraId="1EDE2197" w14:textId="77777777" w:rsidR="00B96847" w:rsidRDefault="00B96847">
        <w:pPr>
          <w:pStyle w:val="Cabealho"/>
          <w:jc w:val="right"/>
        </w:pPr>
        <w:r>
          <w:fldChar w:fldCharType="begin"/>
        </w:r>
        <w:r>
          <w:instrText>PAGE   \* MERGEFORMAT</w:instrText>
        </w:r>
        <w:r>
          <w:fldChar w:fldCharType="separate"/>
        </w:r>
        <w:r>
          <w:t>2</w:t>
        </w:r>
        <w:r>
          <w:fldChar w:fldCharType="end"/>
        </w:r>
      </w:p>
    </w:sdtContent>
  </w:sdt>
  <w:p w14:paraId="4ABB6509" w14:textId="77777777" w:rsidR="00B96847" w:rsidRDefault="00B9684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B3E0636"/>
    <w:lvl w:ilvl="0" w:tplc="B5785934">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C180BE10"/>
    <w:lvl w:ilvl="0" w:tplc="11266238">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A55EA230"/>
    <w:lvl w:ilvl="0" w:tplc="9A66B49E">
      <w:start w:val="1"/>
      <w:numFmt w:val="decimal"/>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AF32DB"/>
    <w:multiLevelType w:val="hybridMultilevel"/>
    <w:tmpl w:val="8F70247E"/>
    <w:lvl w:ilvl="0" w:tplc="FA68F7A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7B31F34"/>
    <w:multiLevelType w:val="hybridMultilevel"/>
    <w:tmpl w:val="A58EC63C"/>
    <w:lvl w:ilvl="0" w:tplc="93B403C0">
      <w:start w:val="1"/>
      <w:numFmt w:val="decimal"/>
      <w:lvlText w:val="%1."/>
      <w:lvlJc w:val="left"/>
      <w:pPr>
        <w:ind w:left="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703D1A">
      <w:start w:val="1"/>
      <w:numFmt w:val="lowerLetter"/>
      <w:lvlText w:val="%2"/>
      <w:lvlJc w:val="left"/>
      <w:pPr>
        <w:ind w:left="1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5C5FEE">
      <w:start w:val="1"/>
      <w:numFmt w:val="lowerRoman"/>
      <w:lvlText w:val="%3"/>
      <w:lvlJc w:val="left"/>
      <w:pPr>
        <w:ind w:left="1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D09B5E">
      <w:start w:val="1"/>
      <w:numFmt w:val="decimal"/>
      <w:lvlText w:val="%4"/>
      <w:lvlJc w:val="left"/>
      <w:pPr>
        <w:ind w:left="2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9C7F56">
      <w:start w:val="1"/>
      <w:numFmt w:val="lowerLetter"/>
      <w:lvlText w:val="%5"/>
      <w:lvlJc w:val="left"/>
      <w:pPr>
        <w:ind w:left="3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E8562C">
      <w:start w:val="1"/>
      <w:numFmt w:val="lowerRoman"/>
      <w:lvlText w:val="%6"/>
      <w:lvlJc w:val="left"/>
      <w:pPr>
        <w:ind w:left="4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981604">
      <w:start w:val="1"/>
      <w:numFmt w:val="decimal"/>
      <w:lvlText w:val="%7"/>
      <w:lvlJc w:val="left"/>
      <w:pPr>
        <w:ind w:left="4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00354">
      <w:start w:val="1"/>
      <w:numFmt w:val="lowerLetter"/>
      <w:lvlText w:val="%8"/>
      <w:lvlJc w:val="left"/>
      <w:pPr>
        <w:ind w:left="5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FC54F0">
      <w:start w:val="1"/>
      <w:numFmt w:val="lowerRoman"/>
      <w:lvlText w:val="%9"/>
      <w:lvlJc w:val="left"/>
      <w:pPr>
        <w:ind w:left="6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8661E3"/>
    <w:multiLevelType w:val="hybridMultilevel"/>
    <w:tmpl w:val="1E6204F4"/>
    <w:lvl w:ilvl="0" w:tplc="4364B582">
      <w:start w:val="1"/>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130125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F474B756">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C3EAE12">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891453D2">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0684515E">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DCE872E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7878FD72">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BAC6E526">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237D3115"/>
    <w:multiLevelType w:val="hybridMultilevel"/>
    <w:tmpl w:val="4ED47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3D54AF7"/>
    <w:multiLevelType w:val="hybridMultilevel"/>
    <w:tmpl w:val="130C2644"/>
    <w:lvl w:ilvl="0" w:tplc="EC50506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4672F8F"/>
    <w:multiLevelType w:val="hybridMultilevel"/>
    <w:tmpl w:val="2910A9AC"/>
    <w:lvl w:ilvl="0" w:tplc="9F1CA29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6D8671E"/>
    <w:multiLevelType w:val="hybridMultilevel"/>
    <w:tmpl w:val="79CE4F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AC17963"/>
    <w:multiLevelType w:val="hybridMultilevel"/>
    <w:tmpl w:val="D7A0B4C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C5275E8"/>
    <w:multiLevelType w:val="multilevel"/>
    <w:tmpl w:val="5074C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62084"/>
    <w:multiLevelType w:val="multilevel"/>
    <w:tmpl w:val="48C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D55370"/>
    <w:multiLevelType w:val="hybridMultilevel"/>
    <w:tmpl w:val="D924B160"/>
    <w:lvl w:ilvl="0" w:tplc="8C6A209E">
      <w:start w:val="1"/>
      <w:numFmt w:val="low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79A5C93"/>
    <w:multiLevelType w:val="hybridMultilevel"/>
    <w:tmpl w:val="924CF256"/>
    <w:lvl w:ilvl="0" w:tplc="DEFE4070">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7BA2C9E"/>
    <w:multiLevelType w:val="hybridMultilevel"/>
    <w:tmpl w:val="ED74299C"/>
    <w:lvl w:ilvl="0" w:tplc="439628E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B4E6441"/>
    <w:multiLevelType w:val="hybridMultilevel"/>
    <w:tmpl w:val="C27ED55A"/>
    <w:lvl w:ilvl="0" w:tplc="3632A948">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F7065FF"/>
    <w:multiLevelType w:val="hybridMultilevel"/>
    <w:tmpl w:val="410E2DF6"/>
    <w:lvl w:ilvl="0" w:tplc="3028CBE8">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1201751"/>
    <w:multiLevelType w:val="hybridMultilevel"/>
    <w:tmpl w:val="51E89948"/>
    <w:lvl w:ilvl="0" w:tplc="20723E7A">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9FE5A12"/>
    <w:multiLevelType w:val="hybridMultilevel"/>
    <w:tmpl w:val="8458AE58"/>
    <w:lvl w:ilvl="0" w:tplc="5F18B18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CC60D7D"/>
    <w:multiLevelType w:val="multilevel"/>
    <w:tmpl w:val="63A8BB60"/>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rPr>
        <w:rFonts w:ascii="Arial" w:hAnsi="Arial" w:cs="Arial" w:hint="default"/>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4906EC"/>
    <w:multiLevelType w:val="hybridMultilevel"/>
    <w:tmpl w:val="5A444FD2"/>
    <w:lvl w:ilvl="0" w:tplc="C6B47ADA">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709340A"/>
    <w:multiLevelType w:val="hybridMultilevel"/>
    <w:tmpl w:val="6834F092"/>
    <w:lvl w:ilvl="0" w:tplc="5D001B4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8950CA1"/>
    <w:multiLevelType w:val="hybridMultilevel"/>
    <w:tmpl w:val="7E10934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B064604"/>
    <w:multiLevelType w:val="multilevel"/>
    <w:tmpl w:val="B8BA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95CF8"/>
    <w:multiLevelType w:val="hybridMultilevel"/>
    <w:tmpl w:val="A5064212"/>
    <w:lvl w:ilvl="0" w:tplc="33CEE5C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C9922FB"/>
    <w:multiLevelType w:val="hybridMultilevel"/>
    <w:tmpl w:val="A3F6C6D0"/>
    <w:lvl w:ilvl="0" w:tplc="3EBAE234">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D555FD6"/>
    <w:multiLevelType w:val="multilevel"/>
    <w:tmpl w:val="DE4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3D717B"/>
    <w:multiLevelType w:val="hybridMultilevel"/>
    <w:tmpl w:val="E74017F4"/>
    <w:lvl w:ilvl="0" w:tplc="6E84466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07836AC"/>
    <w:multiLevelType w:val="hybridMultilevel"/>
    <w:tmpl w:val="3334B72A"/>
    <w:lvl w:ilvl="0" w:tplc="73C0E950">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30" w15:restartNumberingAfterBreak="0">
    <w:nsid w:val="63644591"/>
    <w:multiLevelType w:val="hybridMultilevel"/>
    <w:tmpl w:val="A420FC9E"/>
    <w:lvl w:ilvl="0" w:tplc="E70670C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3B03594"/>
    <w:multiLevelType w:val="hybridMultilevel"/>
    <w:tmpl w:val="8A766F92"/>
    <w:lvl w:ilvl="0" w:tplc="F394084C">
      <w:start w:val="1"/>
      <w:numFmt w:val="decimal"/>
      <w:lvlText w:val="%1)"/>
      <w:lvlJc w:val="left"/>
      <w:pPr>
        <w:ind w:left="1080" w:hanging="360"/>
      </w:pPr>
      <w:rPr>
        <w:rFonts w:ascii="Calibri" w:hAnsi="Calibri" w:cs="Calibri"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65054BD6"/>
    <w:multiLevelType w:val="hybridMultilevel"/>
    <w:tmpl w:val="B94C0EAC"/>
    <w:lvl w:ilvl="0" w:tplc="D82EFC82">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33" w15:restartNumberingAfterBreak="0">
    <w:nsid w:val="75AA4F30"/>
    <w:multiLevelType w:val="hybridMultilevel"/>
    <w:tmpl w:val="5CA48154"/>
    <w:lvl w:ilvl="0" w:tplc="191A508E">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F2113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1E054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4C9BC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C78E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9E1D2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BEC4F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A2EB2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1E59D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BA11236"/>
    <w:multiLevelType w:val="hybridMultilevel"/>
    <w:tmpl w:val="C8AE4738"/>
    <w:lvl w:ilvl="0" w:tplc="89A4F878">
      <w:start w:val="5"/>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8AE5DC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3ED0385A">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5DB66548">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13528744">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D6C83E96">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8F649B9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6F36C838">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A3764F9A">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16cid:durableId="1983999785">
    <w:abstractNumId w:val="33"/>
  </w:num>
  <w:num w:numId="2" w16cid:durableId="909772036">
    <w:abstractNumId w:val="5"/>
  </w:num>
  <w:num w:numId="3" w16cid:durableId="363018689">
    <w:abstractNumId w:val="34"/>
  </w:num>
  <w:num w:numId="4" w16cid:durableId="130446025">
    <w:abstractNumId w:val="4"/>
  </w:num>
  <w:num w:numId="5" w16cid:durableId="269318824">
    <w:abstractNumId w:val="20"/>
  </w:num>
  <w:num w:numId="6" w16cid:durableId="2109305773">
    <w:abstractNumId w:val="30"/>
  </w:num>
  <w:num w:numId="7" w16cid:durableId="1840195769">
    <w:abstractNumId w:val="0"/>
  </w:num>
  <w:num w:numId="8" w16cid:durableId="75833989">
    <w:abstractNumId w:val="1"/>
  </w:num>
  <w:num w:numId="9" w16cid:durableId="773015284">
    <w:abstractNumId w:val="23"/>
  </w:num>
  <w:num w:numId="10" w16cid:durableId="1851092758">
    <w:abstractNumId w:val="10"/>
  </w:num>
  <w:num w:numId="11" w16cid:durableId="1992366699">
    <w:abstractNumId w:val="29"/>
  </w:num>
  <w:num w:numId="12" w16cid:durableId="2139030021">
    <w:abstractNumId w:val="2"/>
  </w:num>
  <w:num w:numId="13" w16cid:durableId="41222909">
    <w:abstractNumId w:val="13"/>
  </w:num>
  <w:num w:numId="14" w16cid:durableId="281501526">
    <w:abstractNumId w:val="28"/>
  </w:num>
  <w:num w:numId="15" w16cid:durableId="130832350">
    <w:abstractNumId w:val="17"/>
  </w:num>
  <w:num w:numId="16" w16cid:durableId="1187406731">
    <w:abstractNumId w:val="16"/>
  </w:num>
  <w:num w:numId="17" w16cid:durableId="2028287305">
    <w:abstractNumId w:val="21"/>
  </w:num>
  <w:num w:numId="18" w16cid:durableId="1431657244">
    <w:abstractNumId w:val="3"/>
  </w:num>
  <w:num w:numId="19" w16cid:durableId="187791288">
    <w:abstractNumId w:val="25"/>
  </w:num>
  <w:num w:numId="20" w16cid:durableId="1410537500">
    <w:abstractNumId w:val="15"/>
  </w:num>
  <w:num w:numId="21" w16cid:durableId="1995135610">
    <w:abstractNumId w:val="8"/>
  </w:num>
  <w:num w:numId="22" w16cid:durableId="1066417514">
    <w:abstractNumId w:val="9"/>
  </w:num>
  <w:num w:numId="23" w16cid:durableId="948505818">
    <w:abstractNumId w:val="22"/>
  </w:num>
  <w:num w:numId="24" w16cid:durableId="1972861235">
    <w:abstractNumId w:val="32"/>
  </w:num>
  <w:num w:numId="25" w16cid:durableId="1007832315">
    <w:abstractNumId w:val="7"/>
  </w:num>
  <w:num w:numId="26" w16cid:durableId="1054810811">
    <w:abstractNumId w:val="18"/>
  </w:num>
  <w:num w:numId="27" w16cid:durableId="36247682">
    <w:abstractNumId w:val="31"/>
  </w:num>
  <w:num w:numId="28" w16cid:durableId="1558010583">
    <w:abstractNumId w:val="19"/>
  </w:num>
  <w:num w:numId="29" w16cid:durableId="1498374786">
    <w:abstractNumId w:val="14"/>
  </w:num>
  <w:num w:numId="30" w16cid:durableId="977995035">
    <w:abstractNumId w:val="26"/>
  </w:num>
  <w:num w:numId="31" w16cid:durableId="744717859">
    <w:abstractNumId w:val="24"/>
  </w:num>
  <w:num w:numId="32" w16cid:durableId="1707486890">
    <w:abstractNumId w:val="27"/>
  </w:num>
  <w:num w:numId="33" w16cid:durableId="1570457335">
    <w:abstractNumId w:val="12"/>
  </w:num>
  <w:num w:numId="34" w16cid:durableId="1129200843">
    <w:abstractNumId w:val="11"/>
  </w:num>
  <w:num w:numId="35" w16cid:durableId="1364551878">
    <w:abstractNumId w:val="20"/>
  </w:num>
  <w:num w:numId="36" w16cid:durableId="1003826526">
    <w:abstractNumId w:val="20"/>
  </w:num>
  <w:num w:numId="37" w16cid:durableId="128081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formsDesig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353"/>
    <w:rsid w:val="000131A3"/>
    <w:rsid w:val="00020824"/>
    <w:rsid w:val="00021731"/>
    <w:rsid w:val="00026A98"/>
    <w:rsid w:val="000273B0"/>
    <w:rsid w:val="0003214C"/>
    <w:rsid w:val="000538F5"/>
    <w:rsid w:val="00057112"/>
    <w:rsid w:val="00057331"/>
    <w:rsid w:val="00083831"/>
    <w:rsid w:val="00083EE4"/>
    <w:rsid w:val="00086675"/>
    <w:rsid w:val="00093BEE"/>
    <w:rsid w:val="000A22AF"/>
    <w:rsid w:val="000A5C10"/>
    <w:rsid w:val="000B245C"/>
    <w:rsid w:val="000C7353"/>
    <w:rsid w:val="000D0788"/>
    <w:rsid w:val="000D2349"/>
    <w:rsid w:val="000E5AF0"/>
    <w:rsid w:val="000F010F"/>
    <w:rsid w:val="000F17ED"/>
    <w:rsid w:val="001003AB"/>
    <w:rsid w:val="00106987"/>
    <w:rsid w:val="00122A92"/>
    <w:rsid w:val="001238AA"/>
    <w:rsid w:val="00127ECC"/>
    <w:rsid w:val="00130713"/>
    <w:rsid w:val="001311FD"/>
    <w:rsid w:val="00137F6B"/>
    <w:rsid w:val="00141200"/>
    <w:rsid w:val="00144286"/>
    <w:rsid w:val="00152452"/>
    <w:rsid w:val="00154E9E"/>
    <w:rsid w:val="00184463"/>
    <w:rsid w:val="00190160"/>
    <w:rsid w:val="00190B21"/>
    <w:rsid w:val="00191F67"/>
    <w:rsid w:val="001960D8"/>
    <w:rsid w:val="001C0C44"/>
    <w:rsid w:val="001C3069"/>
    <w:rsid w:val="001C4BC4"/>
    <w:rsid w:val="001D3E5A"/>
    <w:rsid w:val="001D6C5F"/>
    <w:rsid w:val="001E0A11"/>
    <w:rsid w:val="001E378C"/>
    <w:rsid w:val="00205879"/>
    <w:rsid w:val="00210C3D"/>
    <w:rsid w:val="00211167"/>
    <w:rsid w:val="00213BBE"/>
    <w:rsid w:val="00221878"/>
    <w:rsid w:val="002221BE"/>
    <w:rsid w:val="0022712C"/>
    <w:rsid w:val="002353FB"/>
    <w:rsid w:val="00241308"/>
    <w:rsid w:val="00241B5E"/>
    <w:rsid w:val="00242393"/>
    <w:rsid w:val="00266973"/>
    <w:rsid w:val="00270796"/>
    <w:rsid w:val="002734D6"/>
    <w:rsid w:val="002816D8"/>
    <w:rsid w:val="00295611"/>
    <w:rsid w:val="002A17EF"/>
    <w:rsid w:val="002A4096"/>
    <w:rsid w:val="002B22CA"/>
    <w:rsid w:val="002B7D66"/>
    <w:rsid w:val="002C164C"/>
    <w:rsid w:val="002C3B26"/>
    <w:rsid w:val="002C6189"/>
    <w:rsid w:val="002E77CE"/>
    <w:rsid w:val="003045CD"/>
    <w:rsid w:val="00312609"/>
    <w:rsid w:val="003141F9"/>
    <w:rsid w:val="003250EE"/>
    <w:rsid w:val="00326391"/>
    <w:rsid w:val="003267A0"/>
    <w:rsid w:val="003267B0"/>
    <w:rsid w:val="00327575"/>
    <w:rsid w:val="00327D5A"/>
    <w:rsid w:val="00333156"/>
    <w:rsid w:val="00333E79"/>
    <w:rsid w:val="00334524"/>
    <w:rsid w:val="00335C6C"/>
    <w:rsid w:val="003665B4"/>
    <w:rsid w:val="003717CD"/>
    <w:rsid w:val="003721D7"/>
    <w:rsid w:val="00386ED6"/>
    <w:rsid w:val="00392FBC"/>
    <w:rsid w:val="003A1292"/>
    <w:rsid w:val="003A30D1"/>
    <w:rsid w:val="003A6822"/>
    <w:rsid w:val="003B5068"/>
    <w:rsid w:val="003C2605"/>
    <w:rsid w:val="003C31A5"/>
    <w:rsid w:val="003C4DEE"/>
    <w:rsid w:val="003D2144"/>
    <w:rsid w:val="003E4227"/>
    <w:rsid w:val="00400A76"/>
    <w:rsid w:val="004153CF"/>
    <w:rsid w:val="00422568"/>
    <w:rsid w:val="004257FC"/>
    <w:rsid w:val="004308EE"/>
    <w:rsid w:val="00431D23"/>
    <w:rsid w:val="00432E8E"/>
    <w:rsid w:val="00435724"/>
    <w:rsid w:val="00446CC4"/>
    <w:rsid w:val="00451010"/>
    <w:rsid w:val="00453EE3"/>
    <w:rsid w:val="00460A29"/>
    <w:rsid w:val="00464696"/>
    <w:rsid w:val="004655A1"/>
    <w:rsid w:val="00470459"/>
    <w:rsid w:val="00475433"/>
    <w:rsid w:val="00483B6D"/>
    <w:rsid w:val="004859E1"/>
    <w:rsid w:val="004A34BC"/>
    <w:rsid w:val="004A5DA9"/>
    <w:rsid w:val="004B2842"/>
    <w:rsid w:val="004C0231"/>
    <w:rsid w:val="004C36C0"/>
    <w:rsid w:val="004D6312"/>
    <w:rsid w:val="004E3A87"/>
    <w:rsid w:val="004E3AE8"/>
    <w:rsid w:val="004F34BF"/>
    <w:rsid w:val="004F4176"/>
    <w:rsid w:val="004F5765"/>
    <w:rsid w:val="004F7697"/>
    <w:rsid w:val="0051794B"/>
    <w:rsid w:val="00526FD7"/>
    <w:rsid w:val="00527ADC"/>
    <w:rsid w:val="00544412"/>
    <w:rsid w:val="00544F72"/>
    <w:rsid w:val="00550EAD"/>
    <w:rsid w:val="005562EE"/>
    <w:rsid w:val="00560563"/>
    <w:rsid w:val="00561DBB"/>
    <w:rsid w:val="005626B4"/>
    <w:rsid w:val="00566617"/>
    <w:rsid w:val="00586A73"/>
    <w:rsid w:val="0059732C"/>
    <w:rsid w:val="005A4284"/>
    <w:rsid w:val="005B2F48"/>
    <w:rsid w:val="005C7F4C"/>
    <w:rsid w:val="005E07C0"/>
    <w:rsid w:val="005F3D8F"/>
    <w:rsid w:val="00601151"/>
    <w:rsid w:val="006051C5"/>
    <w:rsid w:val="00613D1C"/>
    <w:rsid w:val="00620F43"/>
    <w:rsid w:val="006371AD"/>
    <w:rsid w:val="00646A23"/>
    <w:rsid w:val="00662966"/>
    <w:rsid w:val="00665D92"/>
    <w:rsid w:val="00673500"/>
    <w:rsid w:val="00677CDF"/>
    <w:rsid w:val="00677F05"/>
    <w:rsid w:val="00683832"/>
    <w:rsid w:val="00683B9F"/>
    <w:rsid w:val="00684FD7"/>
    <w:rsid w:val="00693FD2"/>
    <w:rsid w:val="006A39CE"/>
    <w:rsid w:val="006B1F84"/>
    <w:rsid w:val="006B4FC5"/>
    <w:rsid w:val="006D6924"/>
    <w:rsid w:val="006E6E20"/>
    <w:rsid w:val="006E7C16"/>
    <w:rsid w:val="006F1D84"/>
    <w:rsid w:val="00711766"/>
    <w:rsid w:val="00714C81"/>
    <w:rsid w:val="00715ACF"/>
    <w:rsid w:val="00723709"/>
    <w:rsid w:val="007249B3"/>
    <w:rsid w:val="0072790E"/>
    <w:rsid w:val="00734A49"/>
    <w:rsid w:val="00740C22"/>
    <w:rsid w:val="007436F7"/>
    <w:rsid w:val="00752453"/>
    <w:rsid w:val="00760A57"/>
    <w:rsid w:val="00760DFA"/>
    <w:rsid w:val="007709EA"/>
    <w:rsid w:val="00772BFF"/>
    <w:rsid w:val="00775046"/>
    <w:rsid w:val="00784233"/>
    <w:rsid w:val="0079224F"/>
    <w:rsid w:val="007954A5"/>
    <w:rsid w:val="007C4229"/>
    <w:rsid w:val="007C5BB6"/>
    <w:rsid w:val="007C7270"/>
    <w:rsid w:val="007D05D4"/>
    <w:rsid w:val="007D260A"/>
    <w:rsid w:val="007E11BD"/>
    <w:rsid w:val="007F0827"/>
    <w:rsid w:val="007F4406"/>
    <w:rsid w:val="0081019E"/>
    <w:rsid w:val="008252AB"/>
    <w:rsid w:val="00871022"/>
    <w:rsid w:val="00880A48"/>
    <w:rsid w:val="00883822"/>
    <w:rsid w:val="00890FF7"/>
    <w:rsid w:val="00894484"/>
    <w:rsid w:val="00895F0E"/>
    <w:rsid w:val="00896AF4"/>
    <w:rsid w:val="008A040D"/>
    <w:rsid w:val="008A52BF"/>
    <w:rsid w:val="008C4D3C"/>
    <w:rsid w:val="008C5255"/>
    <w:rsid w:val="008D3C89"/>
    <w:rsid w:val="008D6294"/>
    <w:rsid w:val="008E5F39"/>
    <w:rsid w:val="008F10F6"/>
    <w:rsid w:val="008F162B"/>
    <w:rsid w:val="008F3C03"/>
    <w:rsid w:val="008F4372"/>
    <w:rsid w:val="00906456"/>
    <w:rsid w:val="00914C53"/>
    <w:rsid w:val="00921021"/>
    <w:rsid w:val="009217B4"/>
    <w:rsid w:val="00925821"/>
    <w:rsid w:val="009272A6"/>
    <w:rsid w:val="0093433F"/>
    <w:rsid w:val="00944E8E"/>
    <w:rsid w:val="00945E49"/>
    <w:rsid w:val="0094648D"/>
    <w:rsid w:val="00951127"/>
    <w:rsid w:val="009561AF"/>
    <w:rsid w:val="00962E3A"/>
    <w:rsid w:val="0096328A"/>
    <w:rsid w:val="00974FC2"/>
    <w:rsid w:val="0097631F"/>
    <w:rsid w:val="00981531"/>
    <w:rsid w:val="009A02DE"/>
    <w:rsid w:val="009A7250"/>
    <w:rsid w:val="009B4B5A"/>
    <w:rsid w:val="009C5C9C"/>
    <w:rsid w:val="009D769E"/>
    <w:rsid w:val="009E3A5E"/>
    <w:rsid w:val="009E45CA"/>
    <w:rsid w:val="009E4E4A"/>
    <w:rsid w:val="009F1568"/>
    <w:rsid w:val="009F3E72"/>
    <w:rsid w:val="00A07C20"/>
    <w:rsid w:val="00A1390B"/>
    <w:rsid w:val="00A150B9"/>
    <w:rsid w:val="00A30109"/>
    <w:rsid w:val="00A32680"/>
    <w:rsid w:val="00A351E7"/>
    <w:rsid w:val="00A36A7E"/>
    <w:rsid w:val="00A42753"/>
    <w:rsid w:val="00A44EA2"/>
    <w:rsid w:val="00A469F9"/>
    <w:rsid w:val="00A4716A"/>
    <w:rsid w:val="00A7413B"/>
    <w:rsid w:val="00A74E6A"/>
    <w:rsid w:val="00A91B6C"/>
    <w:rsid w:val="00A9328B"/>
    <w:rsid w:val="00A973BC"/>
    <w:rsid w:val="00AA0502"/>
    <w:rsid w:val="00AC50B7"/>
    <w:rsid w:val="00AD4A55"/>
    <w:rsid w:val="00AE4BDD"/>
    <w:rsid w:val="00AF227A"/>
    <w:rsid w:val="00AF4AA4"/>
    <w:rsid w:val="00AF57CC"/>
    <w:rsid w:val="00B15CF8"/>
    <w:rsid w:val="00B16B07"/>
    <w:rsid w:val="00B231DB"/>
    <w:rsid w:val="00B3053C"/>
    <w:rsid w:val="00B3140C"/>
    <w:rsid w:val="00B402B4"/>
    <w:rsid w:val="00B538F3"/>
    <w:rsid w:val="00B62177"/>
    <w:rsid w:val="00B77873"/>
    <w:rsid w:val="00B9497B"/>
    <w:rsid w:val="00B94DB1"/>
    <w:rsid w:val="00B96847"/>
    <w:rsid w:val="00BA2B55"/>
    <w:rsid w:val="00BA6F27"/>
    <w:rsid w:val="00BC04C4"/>
    <w:rsid w:val="00BC3484"/>
    <w:rsid w:val="00BC44CE"/>
    <w:rsid w:val="00BC6D4E"/>
    <w:rsid w:val="00BC7F9C"/>
    <w:rsid w:val="00BD31E8"/>
    <w:rsid w:val="00BE3381"/>
    <w:rsid w:val="00C03B10"/>
    <w:rsid w:val="00C109AA"/>
    <w:rsid w:val="00C1153A"/>
    <w:rsid w:val="00C15BBF"/>
    <w:rsid w:val="00C2052D"/>
    <w:rsid w:val="00C21E3D"/>
    <w:rsid w:val="00C3004C"/>
    <w:rsid w:val="00C34DE4"/>
    <w:rsid w:val="00C3790C"/>
    <w:rsid w:val="00C51295"/>
    <w:rsid w:val="00C640AC"/>
    <w:rsid w:val="00C72BB9"/>
    <w:rsid w:val="00C73373"/>
    <w:rsid w:val="00C761D9"/>
    <w:rsid w:val="00C765B0"/>
    <w:rsid w:val="00C768E4"/>
    <w:rsid w:val="00C80555"/>
    <w:rsid w:val="00C81291"/>
    <w:rsid w:val="00C834F5"/>
    <w:rsid w:val="00C83F89"/>
    <w:rsid w:val="00C92047"/>
    <w:rsid w:val="00CA3D6B"/>
    <w:rsid w:val="00CA5519"/>
    <w:rsid w:val="00CA5553"/>
    <w:rsid w:val="00CB2293"/>
    <w:rsid w:val="00CB5C50"/>
    <w:rsid w:val="00CC1CA6"/>
    <w:rsid w:val="00CD1AF7"/>
    <w:rsid w:val="00D0562C"/>
    <w:rsid w:val="00D250D6"/>
    <w:rsid w:val="00D37D29"/>
    <w:rsid w:val="00D52845"/>
    <w:rsid w:val="00D61E5F"/>
    <w:rsid w:val="00D61FD1"/>
    <w:rsid w:val="00D86621"/>
    <w:rsid w:val="00D9178B"/>
    <w:rsid w:val="00DA21DF"/>
    <w:rsid w:val="00DA6821"/>
    <w:rsid w:val="00DB3EE7"/>
    <w:rsid w:val="00DB418B"/>
    <w:rsid w:val="00DB6BD9"/>
    <w:rsid w:val="00DB6D72"/>
    <w:rsid w:val="00DC6A0E"/>
    <w:rsid w:val="00DD241D"/>
    <w:rsid w:val="00DD32A7"/>
    <w:rsid w:val="00DE4970"/>
    <w:rsid w:val="00DF0633"/>
    <w:rsid w:val="00E02AAF"/>
    <w:rsid w:val="00E21B12"/>
    <w:rsid w:val="00E24F35"/>
    <w:rsid w:val="00E306FD"/>
    <w:rsid w:val="00E3483A"/>
    <w:rsid w:val="00E40AA5"/>
    <w:rsid w:val="00E53424"/>
    <w:rsid w:val="00E54BE4"/>
    <w:rsid w:val="00E55E5F"/>
    <w:rsid w:val="00E67E44"/>
    <w:rsid w:val="00E82D49"/>
    <w:rsid w:val="00E85269"/>
    <w:rsid w:val="00E86BBC"/>
    <w:rsid w:val="00EB088C"/>
    <w:rsid w:val="00EB25ED"/>
    <w:rsid w:val="00EB42F5"/>
    <w:rsid w:val="00EB44AF"/>
    <w:rsid w:val="00EB4E01"/>
    <w:rsid w:val="00EC09F9"/>
    <w:rsid w:val="00EC38E4"/>
    <w:rsid w:val="00EC5D53"/>
    <w:rsid w:val="00EC6280"/>
    <w:rsid w:val="00ED05EF"/>
    <w:rsid w:val="00ED3A8A"/>
    <w:rsid w:val="00ED4A1F"/>
    <w:rsid w:val="00EE6BA6"/>
    <w:rsid w:val="00EF27EF"/>
    <w:rsid w:val="00EF440F"/>
    <w:rsid w:val="00F022D8"/>
    <w:rsid w:val="00F073EE"/>
    <w:rsid w:val="00F07ACF"/>
    <w:rsid w:val="00F07B6E"/>
    <w:rsid w:val="00F102E4"/>
    <w:rsid w:val="00F15E3E"/>
    <w:rsid w:val="00F15F2A"/>
    <w:rsid w:val="00F16D22"/>
    <w:rsid w:val="00F2094C"/>
    <w:rsid w:val="00F24733"/>
    <w:rsid w:val="00F3687D"/>
    <w:rsid w:val="00F37FAC"/>
    <w:rsid w:val="00F4057C"/>
    <w:rsid w:val="00F42EB9"/>
    <w:rsid w:val="00F42ED5"/>
    <w:rsid w:val="00F54469"/>
    <w:rsid w:val="00F55415"/>
    <w:rsid w:val="00F6701A"/>
    <w:rsid w:val="00F6726C"/>
    <w:rsid w:val="00F735B0"/>
    <w:rsid w:val="00F75581"/>
    <w:rsid w:val="00F8486E"/>
    <w:rsid w:val="00F855A3"/>
    <w:rsid w:val="00F93E6E"/>
    <w:rsid w:val="00F954EC"/>
    <w:rsid w:val="00FA0EA8"/>
    <w:rsid w:val="00FA2293"/>
    <w:rsid w:val="00FB02DB"/>
    <w:rsid w:val="00FB7A81"/>
    <w:rsid w:val="00FB7D89"/>
    <w:rsid w:val="00FD05C2"/>
    <w:rsid w:val="00FE4F00"/>
    <w:rsid w:val="00FF03D0"/>
    <w:rsid w:val="00FF2BD7"/>
    <w:rsid w:val="00FF3ABA"/>
    <w:rsid w:val="00FF5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3E8E"/>
  <w15:docId w15:val="{8EAA13B5-E907-8E44-BB14-C0544E54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531"/>
    <w:pPr>
      <w:spacing w:after="8" w:line="360" w:lineRule="auto"/>
      <w:ind w:left="-15" w:right="52" w:firstLine="708"/>
      <w:jc w:val="both"/>
    </w:pPr>
    <w:rPr>
      <w:rFonts w:ascii="Arial" w:eastAsia="Arial" w:hAnsi="Arial" w:cs="Arial"/>
      <w:color w:val="212121"/>
      <w:sz w:val="22"/>
      <w:szCs w:val="22"/>
    </w:rPr>
  </w:style>
  <w:style w:type="paragraph" w:styleId="Ttulo1">
    <w:name w:val="heading 1"/>
    <w:next w:val="Normal"/>
    <w:link w:val="Ttulo1Char"/>
    <w:uiPriority w:val="9"/>
    <w:qFormat/>
    <w:rsid w:val="000E5AF0"/>
    <w:pPr>
      <w:keepNext/>
      <w:keepLines/>
      <w:numPr>
        <w:numId w:val="5"/>
      </w:numPr>
      <w:spacing w:after="121" w:line="259" w:lineRule="auto"/>
      <w:ind w:right="67"/>
      <w:outlineLvl w:val="0"/>
    </w:pPr>
    <w:rPr>
      <w:rFonts w:ascii="Arial" w:eastAsia="Arial" w:hAnsi="Arial" w:cs="Arial"/>
      <w:b/>
      <w:color w:val="000000"/>
    </w:rPr>
  </w:style>
  <w:style w:type="paragraph" w:styleId="Ttulo2">
    <w:name w:val="heading 2"/>
    <w:next w:val="Normal"/>
    <w:link w:val="Ttulo2Char"/>
    <w:uiPriority w:val="9"/>
    <w:unhideWhenUsed/>
    <w:qFormat/>
    <w:pPr>
      <w:keepNext/>
      <w:keepLines/>
      <w:spacing w:after="3" w:line="259" w:lineRule="auto"/>
      <w:ind w:left="10" w:right="67" w:hanging="10"/>
      <w:jc w:val="center"/>
      <w:outlineLvl w:val="1"/>
    </w:pPr>
    <w:rPr>
      <w:rFonts w:ascii="Calibri" w:eastAsia="Calibri" w:hAnsi="Calibri" w:cs="Calibri"/>
      <w:color w:val="000000"/>
    </w:rPr>
  </w:style>
  <w:style w:type="paragraph" w:styleId="Ttulo3">
    <w:name w:val="heading 3"/>
    <w:next w:val="Normal"/>
    <w:link w:val="Ttulo3Char"/>
    <w:uiPriority w:val="9"/>
    <w:unhideWhenUsed/>
    <w:qFormat/>
    <w:pPr>
      <w:keepNext/>
      <w:keepLines/>
      <w:spacing w:after="121" w:line="259" w:lineRule="auto"/>
      <w:ind w:left="10" w:right="67" w:hanging="10"/>
      <w:outlineLvl w:val="2"/>
    </w:pPr>
    <w:rPr>
      <w:rFonts w:ascii="Arial" w:eastAsia="Arial" w:hAnsi="Arial" w:cs="Arial"/>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4"/>
    </w:rPr>
  </w:style>
  <w:style w:type="character" w:customStyle="1" w:styleId="Ttulo2Char">
    <w:name w:val="Título 2 Char"/>
    <w:link w:val="Ttulo2"/>
    <w:rPr>
      <w:rFonts w:ascii="Calibri" w:eastAsia="Calibri" w:hAnsi="Calibri" w:cs="Calibri"/>
      <w:color w:val="000000"/>
      <w:sz w:val="24"/>
    </w:rPr>
  </w:style>
  <w:style w:type="character" w:customStyle="1" w:styleId="Ttulo1Char">
    <w:name w:val="Título 1 Char"/>
    <w:link w:val="Ttulo1"/>
    <w:uiPriority w:val="9"/>
    <w:rsid w:val="000E5AF0"/>
    <w:rPr>
      <w:rFonts w:ascii="Arial" w:eastAsia="Arial" w:hAnsi="Arial" w:cs="Arial"/>
      <w:b/>
      <w:color w:val="000000"/>
    </w:rPr>
  </w:style>
  <w:style w:type="paragraph" w:styleId="PargrafodaLista">
    <w:name w:val="List Paragraph"/>
    <w:basedOn w:val="Normal"/>
    <w:uiPriority w:val="34"/>
    <w:qFormat/>
    <w:rsid w:val="008D6294"/>
    <w:pPr>
      <w:ind w:left="720"/>
      <w:contextualSpacing/>
    </w:pPr>
  </w:style>
  <w:style w:type="paragraph" w:customStyle="1" w:styleId="dor">
    <w:name w:val="dor"/>
    <w:basedOn w:val="Normal"/>
    <w:link w:val="dorChar"/>
    <w:qFormat/>
    <w:rsid w:val="00945E49"/>
    <w:pPr>
      <w:spacing w:after="52" w:line="353" w:lineRule="auto"/>
      <w:ind w:right="14"/>
    </w:pPr>
    <w:rPr>
      <w:color w:val="FF0000"/>
      <w:sz w:val="24"/>
    </w:rPr>
  </w:style>
  <w:style w:type="paragraph" w:customStyle="1" w:styleId="ttoFarmaco">
    <w:name w:val="ttoFarmaco"/>
    <w:basedOn w:val="Normal"/>
    <w:link w:val="ttoFarmacoChar"/>
    <w:qFormat/>
    <w:rsid w:val="00945E49"/>
    <w:pPr>
      <w:spacing w:line="362" w:lineRule="auto"/>
      <w:ind w:left="-5" w:hanging="10"/>
    </w:pPr>
    <w:rPr>
      <w:color w:val="4472C4" w:themeColor="accent1"/>
      <w:sz w:val="24"/>
    </w:rPr>
  </w:style>
  <w:style w:type="character" w:customStyle="1" w:styleId="dorChar">
    <w:name w:val="dor Char"/>
    <w:basedOn w:val="Fontepargpadro"/>
    <w:link w:val="dor"/>
    <w:rsid w:val="00945E49"/>
    <w:rPr>
      <w:rFonts w:ascii="Arial" w:eastAsia="Arial" w:hAnsi="Arial" w:cs="Arial"/>
      <w:color w:val="FF0000"/>
    </w:rPr>
  </w:style>
  <w:style w:type="paragraph" w:customStyle="1" w:styleId="ttoCirurgico">
    <w:name w:val="ttoCirurgico"/>
    <w:basedOn w:val="ttoFarmaco"/>
    <w:link w:val="ttoCirurgicoChar"/>
    <w:qFormat/>
    <w:rsid w:val="00C51295"/>
    <w:rPr>
      <w:color w:val="ED7D31" w:themeColor="accent2"/>
    </w:rPr>
  </w:style>
  <w:style w:type="character" w:customStyle="1" w:styleId="ttoFarmacoChar">
    <w:name w:val="ttoFarmaco Char"/>
    <w:basedOn w:val="Fontepargpadro"/>
    <w:link w:val="ttoFarmaco"/>
    <w:rsid w:val="00945E49"/>
    <w:rPr>
      <w:rFonts w:ascii="Arial" w:eastAsia="Arial" w:hAnsi="Arial" w:cs="Arial"/>
      <w:color w:val="4472C4" w:themeColor="accent1"/>
    </w:rPr>
  </w:style>
  <w:style w:type="paragraph" w:customStyle="1" w:styleId="ttoOutros">
    <w:name w:val="ttoOutros"/>
    <w:basedOn w:val="Normal"/>
    <w:link w:val="ttoOutrosChar"/>
    <w:qFormat/>
    <w:rsid w:val="00C51295"/>
    <w:pPr>
      <w:spacing w:after="29" w:line="362" w:lineRule="auto"/>
      <w:ind w:left="-5" w:hanging="10"/>
    </w:pPr>
    <w:rPr>
      <w:color w:val="70AD47" w:themeColor="accent6"/>
      <w:sz w:val="24"/>
    </w:rPr>
  </w:style>
  <w:style w:type="character" w:customStyle="1" w:styleId="ttoCirurgicoChar">
    <w:name w:val="ttoCirurgico Char"/>
    <w:basedOn w:val="ttoFarmacoChar"/>
    <w:link w:val="ttoCirurgico"/>
    <w:rsid w:val="00C51295"/>
    <w:rPr>
      <w:rFonts w:ascii="Arial" w:eastAsia="Arial" w:hAnsi="Arial" w:cs="Arial"/>
      <w:color w:val="ED7D31" w:themeColor="accent2"/>
    </w:rPr>
  </w:style>
  <w:style w:type="paragraph" w:customStyle="1" w:styleId="ttoRF">
    <w:name w:val="ttoRF"/>
    <w:basedOn w:val="Normal"/>
    <w:link w:val="ttoRFChar"/>
    <w:qFormat/>
    <w:rsid w:val="00C51295"/>
    <w:pPr>
      <w:spacing w:line="362" w:lineRule="auto"/>
      <w:ind w:left="-5" w:hanging="10"/>
    </w:pPr>
    <w:rPr>
      <w:color w:val="BF8F00" w:themeColor="accent4" w:themeShade="BF"/>
      <w:sz w:val="24"/>
    </w:rPr>
  </w:style>
  <w:style w:type="character" w:customStyle="1" w:styleId="ttoOutrosChar">
    <w:name w:val="ttoOutros Char"/>
    <w:basedOn w:val="Fontepargpadro"/>
    <w:link w:val="ttoOutros"/>
    <w:rsid w:val="00C51295"/>
    <w:rPr>
      <w:rFonts w:ascii="Arial" w:eastAsia="Arial" w:hAnsi="Arial" w:cs="Arial"/>
      <w:color w:val="70AD47" w:themeColor="accent6"/>
    </w:rPr>
  </w:style>
  <w:style w:type="character" w:customStyle="1" w:styleId="ttoRFChar">
    <w:name w:val="ttoRF Char"/>
    <w:basedOn w:val="Fontepargpadro"/>
    <w:link w:val="ttoRF"/>
    <w:rsid w:val="00C51295"/>
    <w:rPr>
      <w:rFonts w:ascii="Arial" w:eastAsia="Arial" w:hAnsi="Arial" w:cs="Arial"/>
      <w:color w:val="BF8F00" w:themeColor="accent4" w:themeShade="BF"/>
    </w:rPr>
  </w:style>
  <w:style w:type="paragraph" w:customStyle="1" w:styleId="BasicParagraph">
    <w:name w:val="[Basic Paragraph]"/>
    <w:basedOn w:val="Normal"/>
    <w:uiPriority w:val="99"/>
    <w:rsid w:val="00266973"/>
    <w:pPr>
      <w:widowControl w:val="0"/>
      <w:autoSpaceDE w:val="0"/>
      <w:autoSpaceDN w:val="0"/>
      <w:adjustRightInd w:val="0"/>
      <w:spacing w:after="0" w:line="288" w:lineRule="auto"/>
      <w:textAlignment w:val="center"/>
    </w:pPr>
    <w:rPr>
      <w:rFonts w:ascii="MinionPro-Regular" w:eastAsiaTheme="minorEastAsia" w:hAnsi="MinionPro-Regular" w:cs="MinionPro-Regular"/>
      <w:kern w:val="0"/>
      <w:sz w:val="24"/>
      <w:lang w:val="en-GB" w:eastAsia="en-US"/>
      <w14:ligatures w14:val="none"/>
    </w:rPr>
  </w:style>
  <w:style w:type="paragraph" w:customStyle="1" w:styleId="Default">
    <w:name w:val="Default"/>
    <w:rsid w:val="00266973"/>
    <w:pPr>
      <w:autoSpaceDE w:val="0"/>
      <w:autoSpaceDN w:val="0"/>
      <w:adjustRightInd w:val="0"/>
    </w:pPr>
    <w:rPr>
      <w:rFonts w:ascii="Gill Sans MT" w:hAnsi="Gill Sans MT" w:cs="Gill Sans MT"/>
      <w:color w:val="000000"/>
      <w:kern w:val="0"/>
    </w:rPr>
  </w:style>
  <w:style w:type="paragraph" w:customStyle="1" w:styleId="paragraph">
    <w:name w:val="paragraph"/>
    <w:basedOn w:val="Normal"/>
    <w:rsid w:val="00760A57"/>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customStyle="1" w:styleId="normaltextrun">
    <w:name w:val="normaltextrun"/>
    <w:basedOn w:val="Fontepargpadro"/>
    <w:rsid w:val="00760A57"/>
  </w:style>
  <w:style w:type="character" w:customStyle="1" w:styleId="eop">
    <w:name w:val="eop"/>
    <w:basedOn w:val="Fontepargpadro"/>
    <w:rsid w:val="00760A57"/>
  </w:style>
  <w:style w:type="table" w:styleId="Tabelacomgrade">
    <w:name w:val="Table Grid"/>
    <w:basedOn w:val="Tabelanormal"/>
    <w:uiPriority w:val="39"/>
    <w:rsid w:val="00760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981531"/>
    <w:pPr>
      <w:tabs>
        <w:tab w:val="center" w:pos="4252"/>
        <w:tab w:val="right" w:pos="8504"/>
      </w:tabs>
      <w:spacing w:after="0" w:line="240" w:lineRule="auto"/>
    </w:pPr>
  </w:style>
  <w:style w:type="character" w:customStyle="1" w:styleId="RodapChar">
    <w:name w:val="Rodapé Char"/>
    <w:basedOn w:val="Fontepargpadro"/>
    <w:link w:val="Rodap"/>
    <w:uiPriority w:val="99"/>
    <w:rsid w:val="00981531"/>
    <w:rPr>
      <w:rFonts w:ascii="Arial" w:eastAsia="Arial" w:hAnsi="Arial" w:cs="Arial"/>
      <w:color w:val="212121"/>
      <w:sz w:val="22"/>
      <w:szCs w:val="22"/>
    </w:rPr>
  </w:style>
  <w:style w:type="paragraph" w:styleId="Cabealho">
    <w:name w:val="header"/>
    <w:basedOn w:val="Normal"/>
    <w:link w:val="CabealhoChar"/>
    <w:uiPriority w:val="99"/>
    <w:unhideWhenUsed/>
    <w:rsid w:val="009815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1531"/>
    <w:rPr>
      <w:rFonts w:ascii="Arial" w:eastAsia="Arial" w:hAnsi="Arial" w:cs="Arial"/>
      <w:color w:val="212121"/>
      <w:sz w:val="22"/>
      <w:szCs w:val="22"/>
    </w:rPr>
  </w:style>
  <w:style w:type="paragraph" w:styleId="SemEspaamento">
    <w:name w:val="No Spacing"/>
    <w:uiPriority w:val="1"/>
    <w:qFormat/>
    <w:rsid w:val="009217B4"/>
    <w:pPr>
      <w:ind w:left="-15" w:right="52" w:firstLine="49"/>
      <w:jc w:val="both"/>
    </w:pPr>
    <w:rPr>
      <w:rFonts w:ascii="Arial" w:eastAsia="Arial" w:hAnsi="Arial" w:cs="Arial"/>
      <w:color w:val="212121"/>
      <w:sz w:val="22"/>
      <w:szCs w:val="22"/>
    </w:rPr>
  </w:style>
  <w:style w:type="paragraph" w:styleId="CabealhodoSumrio">
    <w:name w:val="TOC Heading"/>
    <w:basedOn w:val="Ttulo1"/>
    <w:next w:val="Normal"/>
    <w:uiPriority w:val="39"/>
    <w:unhideWhenUsed/>
    <w:qFormat/>
    <w:rsid w:val="009217B4"/>
    <w:pPr>
      <w:numPr>
        <w:numId w:val="0"/>
      </w:numPr>
      <w:spacing w:before="240" w:after="0"/>
      <w:ind w:right="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Sumrio1">
    <w:name w:val="toc 1"/>
    <w:basedOn w:val="Normal"/>
    <w:next w:val="Normal"/>
    <w:autoRedefine/>
    <w:uiPriority w:val="39"/>
    <w:unhideWhenUsed/>
    <w:rsid w:val="009217B4"/>
    <w:pPr>
      <w:spacing w:before="120" w:after="120"/>
      <w:ind w:left="0"/>
      <w:jc w:val="left"/>
    </w:pPr>
    <w:rPr>
      <w:rFonts w:asciiTheme="minorHAnsi" w:hAnsiTheme="minorHAnsi" w:cstheme="minorHAnsi"/>
      <w:b/>
      <w:bCs/>
      <w:caps/>
      <w:sz w:val="20"/>
      <w:szCs w:val="20"/>
    </w:rPr>
  </w:style>
  <w:style w:type="character" w:styleId="Hyperlink">
    <w:name w:val="Hyperlink"/>
    <w:basedOn w:val="Fontepargpadro"/>
    <w:uiPriority w:val="99"/>
    <w:unhideWhenUsed/>
    <w:rsid w:val="009217B4"/>
    <w:rPr>
      <w:color w:val="0563C1" w:themeColor="hyperlink"/>
      <w:u w:val="single"/>
    </w:rPr>
  </w:style>
  <w:style w:type="paragraph" w:styleId="Sumrio2">
    <w:name w:val="toc 2"/>
    <w:basedOn w:val="Normal"/>
    <w:next w:val="Normal"/>
    <w:autoRedefine/>
    <w:uiPriority w:val="39"/>
    <w:unhideWhenUsed/>
    <w:rsid w:val="009217B4"/>
    <w:pPr>
      <w:spacing w:after="0"/>
      <w:ind w:left="220"/>
      <w:jc w:val="left"/>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9217B4"/>
    <w:pPr>
      <w:spacing w:after="0"/>
      <w:ind w:left="440"/>
      <w:jc w:val="left"/>
    </w:pPr>
    <w:rPr>
      <w:rFonts w:asciiTheme="minorHAnsi" w:hAnsiTheme="minorHAnsi" w:cstheme="minorHAnsi"/>
      <w:i/>
      <w:iCs/>
      <w:sz w:val="20"/>
      <w:szCs w:val="20"/>
    </w:rPr>
  </w:style>
  <w:style w:type="paragraph" w:styleId="Sumrio4">
    <w:name w:val="toc 4"/>
    <w:basedOn w:val="Normal"/>
    <w:next w:val="Normal"/>
    <w:autoRedefine/>
    <w:uiPriority w:val="39"/>
    <w:unhideWhenUsed/>
    <w:rsid w:val="009217B4"/>
    <w:pPr>
      <w:spacing w:after="0"/>
      <w:ind w:left="66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9217B4"/>
    <w:pPr>
      <w:spacing w:after="0"/>
      <w:ind w:left="88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9217B4"/>
    <w:pPr>
      <w:spacing w:after="0"/>
      <w:ind w:left="11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9217B4"/>
    <w:pPr>
      <w:spacing w:after="0"/>
      <w:ind w:left="132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9217B4"/>
    <w:pPr>
      <w:spacing w:after="0"/>
      <w:ind w:left="154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9217B4"/>
    <w:pPr>
      <w:spacing w:after="0"/>
      <w:ind w:left="1760"/>
      <w:jc w:val="left"/>
    </w:pPr>
    <w:rPr>
      <w:rFonts w:asciiTheme="minorHAnsi" w:hAnsiTheme="minorHAnsi" w:cstheme="minorHAnsi"/>
      <w:sz w:val="18"/>
      <w:szCs w:val="18"/>
    </w:rPr>
  </w:style>
  <w:style w:type="character" w:styleId="MenoPendente">
    <w:name w:val="Unresolved Mention"/>
    <w:basedOn w:val="Fontepargpadro"/>
    <w:uiPriority w:val="99"/>
    <w:semiHidden/>
    <w:unhideWhenUsed/>
    <w:rsid w:val="00974FC2"/>
    <w:rPr>
      <w:color w:val="605E5C"/>
      <w:shd w:val="clear" w:color="auto" w:fill="E1DFDD"/>
    </w:rPr>
  </w:style>
  <w:style w:type="paragraph" w:styleId="Pr-formataoHTML">
    <w:name w:val="HTML Preformatted"/>
    <w:basedOn w:val="Normal"/>
    <w:link w:val="Pr-formataoHTMLChar"/>
    <w:uiPriority w:val="99"/>
    <w:semiHidden/>
    <w:unhideWhenUsed/>
    <w:rsid w:val="004E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kern w:val="0"/>
      <w:sz w:val="20"/>
      <w:szCs w:val="20"/>
      <w14:ligatures w14:val="none"/>
    </w:rPr>
  </w:style>
  <w:style w:type="character" w:customStyle="1" w:styleId="Pr-formataoHTMLChar">
    <w:name w:val="Pré-formatação HTML Char"/>
    <w:basedOn w:val="Fontepargpadro"/>
    <w:link w:val="Pr-formataoHTML"/>
    <w:uiPriority w:val="99"/>
    <w:semiHidden/>
    <w:rsid w:val="004E3A87"/>
    <w:rPr>
      <w:rFonts w:ascii="Courier New" w:eastAsia="Times New Roman" w:hAnsi="Courier New" w:cs="Courier New"/>
      <w:kern w:val="0"/>
      <w:sz w:val="20"/>
      <w:szCs w:val="20"/>
      <w14:ligatures w14:val="none"/>
    </w:rPr>
  </w:style>
  <w:style w:type="character" w:customStyle="1" w:styleId="y2iqfc">
    <w:name w:val="y2iqfc"/>
    <w:basedOn w:val="Fontepargpadro"/>
    <w:rsid w:val="004E3A87"/>
  </w:style>
  <w:style w:type="paragraph" w:styleId="NormalWeb">
    <w:name w:val="Normal (Web)"/>
    <w:basedOn w:val="Normal"/>
    <w:uiPriority w:val="99"/>
    <w:unhideWhenUsed/>
    <w:rsid w:val="00A9328B"/>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styleId="Refdecomentrio">
    <w:name w:val="annotation reference"/>
    <w:basedOn w:val="Fontepargpadro"/>
    <w:uiPriority w:val="99"/>
    <w:semiHidden/>
    <w:unhideWhenUsed/>
    <w:rsid w:val="00F55415"/>
    <w:rPr>
      <w:sz w:val="16"/>
      <w:szCs w:val="16"/>
    </w:rPr>
  </w:style>
  <w:style w:type="paragraph" w:styleId="Textodecomentrio">
    <w:name w:val="annotation text"/>
    <w:basedOn w:val="Normal"/>
    <w:link w:val="TextodecomentrioChar"/>
    <w:uiPriority w:val="99"/>
    <w:unhideWhenUsed/>
    <w:rsid w:val="00F55415"/>
    <w:pPr>
      <w:spacing w:line="240" w:lineRule="auto"/>
    </w:pPr>
    <w:rPr>
      <w:sz w:val="20"/>
      <w:szCs w:val="20"/>
    </w:rPr>
  </w:style>
  <w:style w:type="character" w:customStyle="1" w:styleId="TextodecomentrioChar">
    <w:name w:val="Texto de comentário Char"/>
    <w:basedOn w:val="Fontepargpadro"/>
    <w:link w:val="Textodecomentrio"/>
    <w:uiPriority w:val="99"/>
    <w:rsid w:val="00F55415"/>
    <w:rPr>
      <w:rFonts w:ascii="Arial" w:eastAsia="Arial" w:hAnsi="Arial" w:cs="Arial"/>
      <w:color w:val="212121"/>
      <w:sz w:val="20"/>
      <w:szCs w:val="20"/>
    </w:rPr>
  </w:style>
  <w:style w:type="paragraph" w:styleId="Assuntodocomentrio">
    <w:name w:val="annotation subject"/>
    <w:basedOn w:val="Textodecomentrio"/>
    <w:next w:val="Textodecomentrio"/>
    <w:link w:val="AssuntodocomentrioChar"/>
    <w:uiPriority w:val="99"/>
    <w:semiHidden/>
    <w:unhideWhenUsed/>
    <w:rsid w:val="00F55415"/>
    <w:rPr>
      <w:b/>
      <w:bCs/>
    </w:rPr>
  </w:style>
  <w:style w:type="character" w:customStyle="1" w:styleId="AssuntodocomentrioChar">
    <w:name w:val="Assunto do comentário Char"/>
    <w:basedOn w:val="TextodecomentrioChar"/>
    <w:link w:val="Assuntodocomentrio"/>
    <w:uiPriority w:val="99"/>
    <w:semiHidden/>
    <w:rsid w:val="00F55415"/>
    <w:rPr>
      <w:rFonts w:ascii="Arial" w:eastAsia="Arial" w:hAnsi="Arial" w:cs="Arial"/>
      <w:b/>
      <w:bCs/>
      <w:color w:val="212121"/>
      <w:sz w:val="20"/>
      <w:szCs w:val="20"/>
    </w:rPr>
  </w:style>
  <w:style w:type="paragraph" w:styleId="Bibliografia">
    <w:name w:val="Bibliography"/>
    <w:basedOn w:val="Normal"/>
    <w:next w:val="Normal"/>
    <w:uiPriority w:val="37"/>
    <w:unhideWhenUsed/>
    <w:rsid w:val="00432E8E"/>
    <w:pPr>
      <w:tabs>
        <w:tab w:val="left" w:pos="384"/>
      </w:tabs>
      <w:spacing w:after="240" w:line="240" w:lineRule="auto"/>
      <w:ind w:left="384" w:hanging="384"/>
    </w:pPr>
  </w:style>
  <w:style w:type="character" w:styleId="Nmerodelinha">
    <w:name w:val="line number"/>
    <w:basedOn w:val="Fontepargpadro"/>
    <w:uiPriority w:val="99"/>
    <w:semiHidden/>
    <w:unhideWhenUsed/>
    <w:rsid w:val="00B94DB1"/>
  </w:style>
  <w:style w:type="paragraph" w:styleId="Textodenotadefim">
    <w:name w:val="endnote text"/>
    <w:basedOn w:val="Normal"/>
    <w:link w:val="TextodenotadefimChar"/>
    <w:uiPriority w:val="99"/>
    <w:semiHidden/>
    <w:unhideWhenUsed/>
    <w:rsid w:val="002B7D66"/>
    <w:pPr>
      <w:spacing w:after="0" w:line="240" w:lineRule="auto"/>
      <w:ind w:left="0" w:right="0" w:firstLine="0"/>
      <w:jc w:val="left"/>
    </w:pPr>
    <w:rPr>
      <w:rFonts w:asciiTheme="minorHAnsi" w:eastAsiaTheme="minorHAnsi" w:hAnsiTheme="minorHAnsi" w:cstheme="minorBidi"/>
      <w:color w:val="auto"/>
      <w:sz w:val="20"/>
      <w:szCs w:val="20"/>
      <w:lang w:eastAsia="en-US"/>
    </w:rPr>
  </w:style>
  <w:style w:type="character" w:customStyle="1" w:styleId="TextodenotadefimChar">
    <w:name w:val="Texto de nota de fim Char"/>
    <w:basedOn w:val="Fontepargpadro"/>
    <w:link w:val="Textodenotadefim"/>
    <w:uiPriority w:val="99"/>
    <w:semiHidden/>
    <w:rsid w:val="002B7D66"/>
    <w:rPr>
      <w:rFonts w:eastAsiaTheme="minorHAnsi"/>
      <w:sz w:val="20"/>
      <w:szCs w:val="20"/>
      <w:lang w:eastAsia="en-US"/>
    </w:rPr>
  </w:style>
  <w:style w:type="character" w:styleId="Refdenotadefim">
    <w:name w:val="endnote reference"/>
    <w:basedOn w:val="Fontepargpadro"/>
    <w:uiPriority w:val="99"/>
    <w:semiHidden/>
    <w:unhideWhenUsed/>
    <w:rsid w:val="002B7D66"/>
    <w:rPr>
      <w:vertAlign w:val="superscript"/>
    </w:rPr>
  </w:style>
  <w:style w:type="character" w:customStyle="1" w:styleId="ref-journal">
    <w:name w:val="ref-journal"/>
    <w:basedOn w:val="Fontepargpadro"/>
    <w:rsid w:val="002B7D66"/>
  </w:style>
  <w:style w:type="character" w:customStyle="1" w:styleId="ref-vol">
    <w:name w:val="ref-vol"/>
    <w:basedOn w:val="Fontepargpadro"/>
    <w:rsid w:val="002B7D66"/>
  </w:style>
  <w:style w:type="character" w:customStyle="1" w:styleId="element-citation">
    <w:name w:val="element-citation"/>
    <w:basedOn w:val="Fontepargpadro"/>
    <w:rsid w:val="002B7D66"/>
  </w:style>
  <w:style w:type="paragraph" w:customStyle="1" w:styleId="contribs">
    <w:name w:val="contribs"/>
    <w:basedOn w:val="Normal"/>
    <w:rsid w:val="002B7D66"/>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paragraph" w:customStyle="1" w:styleId="full-docsum">
    <w:name w:val="full-docsum"/>
    <w:basedOn w:val="Normal"/>
    <w:rsid w:val="0097631F"/>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customStyle="1" w:styleId="docsum-authors">
    <w:name w:val="docsum-authors"/>
    <w:basedOn w:val="Fontepargpadro"/>
    <w:rsid w:val="0097631F"/>
  </w:style>
  <w:style w:type="character" w:customStyle="1" w:styleId="docsum-journal-citation">
    <w:name w:val="docsum-journal-citation"/>
    <w:basedOn w:val="Fontepargpadro"/>
    <w:rsid w:val="0097631F"/>
  </w:style>
  <w:style w:type="character" w:customStyle="1" w:styleId="citation-part">
    <w:name w:val="citation-part"/>
    <w:basedOn w:val="Fontepargpadro"/>
    <w:rsid w:val="0097631F"/>
  </w:style>
  <w:style w:type="character" w:customStyle="1" w:styleId="docsum-pmid">
    <w:name w:val="docsum-pmid"/>
    <w:basedOn w:val="Fontepargpadro"/>
    <w:rsid w:val="0097631F"/>
  </w:style>
  <w:style w:type="character" w:customStyle="1" w:styleId="publication-type">
    <w:name w:val="publication-type"/>
    <w:basedOn w:val="Fontepargpadro"/>
    <w:rsid w:val="0097631F"/>
  </w:style>
  <w:style w:type="character" w:customStyle="1" w:styleId="period">
    <w:name w:val="period"/>
    <w:basedOn w:val="Fontepargpadro"/>
    <w:rsid w:val="0097631F"/>
  </w:style>
  <w:style w:type="character" w:customStyle="1" w:styleId="cit">
    <w:name w:val="cit"/>
    <w:basedOn w:val="Fontepargpadro"/>
    <w:rsid w:val="0097631F"/>
  </w:style>
  <w:style w:type="character" w:customStyle="1" w:styleId="citation-doi">
    <w:name w:val="citation-doi"/>
    <w:basedOn w:val="Fontepargpadro"/>
    <w:rsid w:val="0097631F"/>
  </w:style>
  <w:style w:type="character" w:customStyle="1" w:styleId="authors-list-item">
    <w:name w:val="authors-list-item"/>
    <w:basedOn w:val="Fontepargpadro"/>
    <w:rsid w:val="0097631F"/>
  </w:style>
  <w:style w:type="character" w:customStyle="1" w:styleId="author-sup-separator">
    <w:name w:val="author-sup-separator"/>
    <w:basedOn w:val="Fontepargpadro"/>
    <w:rsid w:val="0097631F"/>
  </w:style>
  <w:style w:type="character" w:customStyle="1" w:styleId="comma">
    <w:name w:val="comma"/>
    <w:basedOn w:val="Fontepargpadro"/>
    <w:rsid w:val="0097631F"/>
  </w:style>
  <w:style w:type="character" w:customStyle="1" w:styleId="ref-title">
    <w:name w:val="ref-title"/>
    <w:basedOn w:val="Fontepargpadro"/>
    <w:rsid w:val="0097631F"/>
  </w:style>
  <w:style w:type="character" w:styleId="nfase">
    <w:name w:val="Emphasis"/>
    <w:basedOn w:val="Fontepargpadro"/>
    <w:uiPriority w:val="20"/>
    <w:qFormat/>
    <w:rsid w:val="0097631F"/>
    <w:rPr>
      <w:i/>
      <w:iCs/>
    </w:rPr>
  </w:style>
  <w:style w:type="character" w:customStyle="1" w:styleId="ref-iss">
    <w:name w:val="ref-iss"/>
    <w:basedOn w:val="Fontepargpadro"/>
    <w:rsid w:val="0097631F"/>
  </w:style>
  <w:style w:type="character" w:customStyle="1" w:styleId="fm-vol-iss-date">
    <w:name w:val="fm-vol-iss-date"/>
    <w:basedOn w:val="Fontepargpadro"/>
    <w:rsid w:val="0097631F"/>
  </w:style>
  <w:style w:type="character" w:customStyle="1" w:styleId="doi">
    <w:name w:val="doi"/>
    <w:basedOn w:val="Fontepargpadro"/>
    <w:rsid w:val="0097631F"/>
  </w:style>
  <w:style w:type="character" w:customStyle="1" w:styleId="fm-citation-ids-label">
    <w:name w:val="fm-citation-ids-label"/>
    <w:basedOn w:val="Fontepargpadro"/>
    <w:rsid w:val="0097631F"/>
  </w:style>
  <w:style w:type="table" w:customStyle="1" w:styleId="formatada">
    <w:name w:val="formatada"/>
    <w:basedOn w:val="Tabelanormal"/>
    <w:uiPriority w:val="99"/>
    <w:rsid w:val="00665D92"/>
    <w:pPr>
      <w:jc w:val="center"/>
    </w:pPr>
    <w:rPr>
      <w:rFonts w:ascii="Times New Roman" w:eastAsiaTheme="minorHAnsi" w:hAnsi="Times New Roman"/>
      <w:kern w:val="0"/>
      <w:szCs w:val="22"/>
      <w:lang w:eastAsia="en-US"/>
      <w14:ligatures w14:val="none"/>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 w:type="paragraph" w:customStyle="1" w:styleId="TableNote">
    <w:name w:val="TableNote"/>
    <w:basedOn w:val="Normal"/>
    <w:rsid w:val="00DF0633"/>
    <w:pPr>
      <w:spacing w:after="0" w:line="300" w:lineRule="exact"/>
      <w:ind w:left="0" w:right="0" w:firstLine="0"/>
      <w:jc w:val="left"/>
    </w:pPr>
    <w:rPr>
      <w:rFonts w:ascii="Times New Roman" w:eastAsia="Times New Roman" w:hAnsi="Times New Roman" w:cs="Times New Roman"/>
      <w:color w:val="auto"/>
      <w:kern w:val="0"/>
      <w:sz w:val="24"/>
      <w:szCs w:val="20"/>
      <w:lang w:val="en-GB" w:eastAsia="en-US"/>
      <w14:ligatures w14:val="none"/>
    </w:rPr>
  </w:style>
  <w:style w:type="paragraph" w:customStyle="1" w:styleId="TableTitle">
    <w:name w:val="TableTitle"/>
    <w:basedOn w:val="Normal"/>
    <w:rsid w:val="00DF0633"/>
    <w:pPr>
      <w:spacing w:after="0" w:line="300" w:lineRule="exact"/>
      <w:ind w:left="0" w:right="0" w:firstLine="0"/>
      <w:jc w:val="left"/>
    </w:pPr>
    <w:rPr>
      <w:rFonts w:ascii="Times New Roman" w:eastAsia="Times New Roman" w:hAnsi="Times New Roman" w:cs="Times New Roman"/>
      <w:color w:val="auto"/>
      <w:kern w:val="0"/>
      <w:sz w:val="24"/>
      <w:szCs w:val="20"/>
      <w:lang w:val="en-GB" w:eastAsia="en-US"/>
      <w14:ligatures w14:val="none"/>
    </w:rPr>
  </w:style>
  <w:style w:type="paragraph" w:customStyle="1" w:styleId="TableHeader">
    <w:name w:val="TableHeader"/>
    <w:basedOn w:val="Normal"/>
    <w:rsid w:val="00DF0633"/>
    <w:pPr>
      <w:spacing w:before="120" w:after="0" w:line="240" w:lineRule="auto"/>
      <w:ind w:left="0" w:right="0" w:firstLine="0"/>
      <w:jc w:val="left"/>
    </w:pPr>
    <w:rPr>
      <w:rFonts w:ascii="Times New Roman" w:eastAsia="Times New Roman" w:hAnsi="Times New Roman" w:cs="Times New Roman"/>
      <w:b/>
      <w:color w:val="auto"/>
      <w:kern w:val="0"/>
      <w:sz w:val="24"/>
      <w:szCs w:val="20"/>
      <w:lang w:val="en-GB" w:eastAsia="en-US"/>
      <w14:ligatures w14:val="none"/>
    </w:rPr>
  </w:style>
  <w:style w:type="paragraph" w:customStyle="1" w:styleId="TableSubHead">
    <w:name w:val="TableSubHead"/>
    <w:basedOn w:val="TableHeader"/>
    <w:rsid w:val="00DF0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6041">
      <w:bodyDiv w:val="1"/>
      <w:marLeft w:val="0"/>
      <w:marRight w:val="0"/>
      <w:marTop w:val="0"/>
      <w:marBottom w:val="0"/>
      <w:divBdr>
        <w:top w:val="none" w:sz="0" w:space="0" w:color="auto"/>
        <w:left w:val="none" w:sz="0" w:space="0" w:color="auto"/>
        <w:bottom w:val="none" w:sz="0" w:space="0" w:color="auto"/>
        <w:right w:val="none" w:sz="0" w:space="0" w:color="auto"/>
      </w:divBdr>
      <w:divsChild>
        <w:div w:id="2143451585">
          <w:marLeft w:val="0"/>
          <w:marRight w:val="0"/>
          <w:marTop w:val="0"/>
          <w:marBottom w:val="0"/>
          <w:divBdr>
            <w:top w:val="none" w:sz="0" w:space="0" w:color="auto"/>
            <w:left w:val="none" w:sz="0" w:space="0" w:color="auto"/>
            <w:bottom w:val="none" w:sz="0" w:space="0" w:color="auto"/>
            <w:right w:val="none" w:sz="0" w:space="0" w:color="auto"/>
          </w:divBdr>
          <w:divsChild>
            <w:div w:id="640424561">
              <w:marLeft w:val="0"/>
              <w:marRight w:val="0"/>
              <w:marTop w:val="0"/>
              <w:marBottom w:val="0"/>
              <w:divBdr>
                <w:top w:val="none" w:sz="0" w:space="0" w:color="auto"/>
                <w:left w:val="none" w:sz="0" w:space="0" w:color="auto"/>
                <w:bottom w:val="none" w:sz="0" w:space="0" w:color="auto"/>
                <w:right w:val="none" w:sz="0" w:space="0" w:color="auto"/>
              </w:divBdr>
              <w:divsChild>
                <w:div w:id="1227379956">
                  <w:marLeft w:val="0"/>
                  <w:marRight w:val="0"/>
                  <w:marTop w:val="0"/>
                  <w:marBottom w:val="0"/>
                  <w:divBdr>
                    <w:top w:val="none" w:sz="0" w:space="0" w:color="auto"/>
                    <w:left w:val="none" w:sz="0" w:space="0" w:color="auto"/>
                    <w:bottom w:val="none" w:sz="0" w:space="0" w:color="auto"/>
                    <w:right w:val="none" w:sz="0" w:space="0" w:color="auto"/>
                  </w:divBdr>
                  <w:divsChild>
                    <w:div w:id="9174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71991">
      <w:bodyDiv w:val="1"/>
      <w:marLeft w:val="0"/>
      <w:marRight w:val="0"/>
      <w:marTop w:val="0"/>
      <w:marBottom w:val="0"/>
      <w:divBdr>
        <w:top w:val="none" w:sz="0" w:space="0" w:color="auto"/>
        <w:left w:val="none" w:sz="0" w:space="0" w:color="auto"/>
        <w:bottom w:val="none" w:sz="0" w:space="0" w:color="auto"/>
        <w:right w:val="none" w:sz="0" w:space="0" w:color="auto"/>
      </w:divBdr>
      <w:divsChild>
        <w:div w:id="360589913">
          <w:marLeft w:val="0"/>
          <w:marRight w:val="0"/>
          <w:marTop w:val="0"/>
          <w:marBottom w:val="0"/>
          <w:divBdr>
            <w:top w:val="none" w:sz="0" w:space="0" w:color="auto"/>
            <w:left w:val="none" w:sz="0" w:space="0" w:color="auto"/>
            <w:bottom w:val="none" w:sz="0" w:space="0" w:color="auto"/>
            <w:right w:val="none" w:sz="0" w:space="0" w:color="auto"/>
          </w:divBdr>
        </w:div>
        <w:div w:id="676077912">
          <w:marLeft w:val="0"/>
          <w:marRight w:val="0"/>
          <w:marTop w:val="0"/>
          <w:marBottom w:val="0"/>
          <w:divBdr>
            <w:top w:val="none" w:sz="0" w:space="0" w:color="auto"/>
            <w:left w:val="none" w:sz="0" w:space="0" w:color="auto"/>
            <w:bottom w:val="none" w:sz="0" w:space="0" w:color="auto"/>
            <w:right w:val="none" w:sz="0" w:space="0" w:color="auto"/>
          </w:divBdr>
        </w:div>
        <w:div w:id="1232082138">
          <w:marLeft w:val="0"/>
          <w:marRight w:val="0"/>
          <w:marTop w:val="0"/>
          <w:marBottom w:val="0"/>
          <w:divBdr>
            <w:top w:val="none" w:sz="0" w:space="0" w:color="auto"/>
            <w:left w:val="none" w:sz="0" w:space="0" w:color="auto"/>
            <w:bottom w:val="none" w:sz="0" w:space="0" w:color="auto"/>
            <w:right w:val="none" w:sz="0" w:space="0" w:color="auto"/>
          </w:divBdr>
        </w:div>
        <w:div w:id="231041409">
          <w:marLeft w:val="0"/>
          <w:marRight w:val="0"/>
          <w:marTop w:val="0"/>
          <w:marBottom w:val="0"/>
          <w:divBdr>
            <w:top w:val="none" w:sz="0" w:space="0" w:color="auto"/>
            <w:left w:val="none" w:sz="0" w:space="0" w:color="auto"/>
            <w:bottom w:val="none" w:sz="0" w:space="0" w:color="auto"/>
            <w:right w:val="none" w:sz="0" w:space="0" w:color="auto"/>
          </w:divBdr>
        </w:div>
      </w:divsChild>
    </w:div>
    <w:div w:id="1208908132">
      <w:bodyDiv w:val="1"/>
      <w:marLeft w:val="0"/>
      <w:marRight w:val="0"/>
      <w:marTop w:val="0"/>
      <w:marBottom w:val="0"/>
      <w:divBdr>
        <w:top w:val="none" w:sz="0" w:space="0" w:color="auto"/>
        <w:left w:val="none" w:sz="0" w:space="0" w:color="auto"/>
        <w:bottom w:val="none" w:sz="0" w:space="0" w:color="auto"/>
        <w:right w:val="none" w:sz="0" w:space="0" w:color="auto"/>
      </w:divBdr>
    </w:div>
    <w:div w:id="1435514377">
      <w:bodyDiv w:val="1"/>
      <w:marLeft w:val="0"/>
      <w:marRight w:val="0"/>
      <w:marTop w:val="0"/>
      <w:marBottom w:val="0"/>
      <w:divBdr>
        <w:top w:val="none" w:sz="0" w:space="0" w:color="auto"/>
        <w:left w:val="none" w:sz="0" w:space="0" w:color="auto"/>
        <w:bottom w:val="none" w:sz="0" w:space="0" w:color="auto"/>
        <w:right w:val="none" w:sz="0" w:space="0" w:color="auto"/>
      </w:divBdr>
      <w:divsChild>
        <w:div w:id="2103140841">
          <w:marLeft w:val="0"/>
          <w:marRight w:val="0"/>
          <w:marTop w:val="0"/>
          <w:marBottom w:val="0"/>
          <w:divBdr>
            <w:top w:val="none" w:sz="0" w:space="0" w:color="auto"/>
            <w:left w:val="none" w:sz="0" w:space="0" w:color="auto"/>
            <w:bottom w:val="none" w:sz="0" w:space="0" w:color="auto"/>
            <w:right w:val="none" w:sz="0" w:space="0" w:color="auto"/>
          </w:divBdr>
          <w:divsChild>
            <w:div w:id="163667494">
              <w:marLeft w:val="0"/>
              <w:marRight w:val="0"/>
              <w:marTop w:val="0"/>
              <w:marBottom w:val="0"/>
              <w:divBdr>
                <w:top w:val="none" w:sz="0" w:space="0" w:color="auto"/>
                <w:left w:val="none" w:sz="0" w:space="0" w:color="auto"/>
                <w:bottom w:val="none" w:sz="0" w:space="0" w:color="auto"/>
                <w:right w:val="none" w:sz="0" w:space="0" w:color="auto"/>
              </w:divBdr>
              <w:divsChild>
                <w:div w:id="15930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4981">
      <w:bodyDiv w:val="1"/>
      <w:marLeft w:val="0"/>
      <w:marRight w:val="0"/>
      <w:marTop w:val="0"/>
      <w:marBottom w:val="0"/>
      <w:divBdr>
        <w:top w:val="none" w:sz="0" w:space="0" w:color="auto"/>
        <w:left w:val="none" w:sz="0" w:space="0" w:color="auto"/>
        <w:bottom w:val="none" w:sz="0" w:space="0" w:color="auto"/>
        <w:right w:val="none" w:sz="0" w:space="0" w:color="auto"/>
      </w:divBdr>
    </w:div>
    <w:div w:id="1785886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3E94-0789-5849-B0B9-115FBEA5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26</Pages>
  <Words>18264</Words>
  <Characters>98626</Characters>
  <Application>Microsoft Office Word</Application>
  <DocSecurity>0</DocSecurity>
  <Lines>821</Lines>
  <Paragraphs>233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Moreira Tavares</dc:creator>
  <cp:keywords/>
  <cp:lastModifiedBy>Winter Figueiredo</cp:lastModifiedBy>
  <cp:revision>4</cp:revision>
  <cp:lastPrinted>2023-11-29T21:43:00Z</cp:lastPrinted>
  <dcterms:created xsi:type="dcterms:W3CDTF">2023-11-29T00:02:00Z</dcterms:created>
  <dcterms:modified xsi:type="dcterms:W3CDTF">2023-11-29T21:44:00Z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id="x0cHt06J"/&gt;&lt;style id="http://www.zotero.org/styles/vancouver" locale="pt-BR" hasBibliography="1" bibliographyStyleHasBeenSet="1"/&gt;&lt;prefs&gt;&lt;pref name="fieldType" value="Field"/&gt;&lt;/prefs&gt;&lt;/data&gt;</vt:lpwstr>
  </property>
</Properties>
</file>