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7D8F" w14:textId="246DA5CA" w:rsidR="00E2033B" w:rsidRDefault="00E2033B" w:rsidP="00BF211C">
      <w:pPr>
        <w:rPr>
          <w:b/>
          <w:bCs/>
        </w:rPr>
      </w:pPr>
      <w:r>
        <w:rPr>
          <w:b/>
          <w:bCs/>
        </w:rPr>
        <w:t>Método da análise estatística</w:t>
      </w:r>
    </w:p>
    <w:p w14:paraId="1D7DF0FB" w14:textId="6DE3E5DA" w:rsidR="00E2033B" w:rsidRPr="00E2033B" w:rsidRDefault="00E2033B" w:rsidP="004B0632">
      <w:pPr>
        <w:jc w:val="both"/>
      </w:pPr>
      <w:r>
        <w:t xml:space="preserve">As variáveis quantitativas foram avaliadas quanto a aderência a distribuição normal pelo teste de Shapiro-Wilk. Por não apresentar aderência a distribuição normal, utilizou-se mediana e percentis 25 e 75%, respectivamente, bem como testes não paramétricos. Ainda, as variáveis categóricas foram descritas por frequências absolutas(n) e relativas (%). Para comparação das variáveis quantitativas entre os grupos utilizou-se teste de Mann-Whitney, enquanto para as qualitativas utilizou-se teste de </w:t>
      </w:r>
      <w:proofErr w:type="spellStart"/>
      <w:r>
        <w:t>Qui</w:t>
      </w:r>
      <w:proofErr w:type="spellEnd"/>
      <w:r>
        <w:t xml:space="preserve">-quadrado. </w:t>
      </w:r>
      <w:r w:rsidR="002E37C1">
        <w:t>O nível de significância foi de 5%. O programa utilizado para as análises foi o STATA (</w:t>
      </w:r>
      <w:proofErr w:type="spellStart"/>
      <w:r w:rsidR="002E37C1">
        <w:t>Stata</w:t>
      </w:r>
      <w:proofErr w:type="spellEnd"/>
      <w:r w:rsidR="002E37C1">
        <w:t xml:space="preserve"> </w:t>
      </w:r>
      <w:proofErr w:type="spellStart"/>
      <w:r w:rsidR="002E37C1">
        <w:t>Corp</w:t>
      </w:r>
      <w:proofErr w:type="spellEnd"/>
      <w:r w:rsidR="002E37C1">
        <w:t>, LC) versão 11.0.</w:t>
      </w:r>
      <w:r>
        <w:t xml:space="preserve"> </w:t>
      </w:r>
    </w:p>
    <w:p w14:paraId="27CFD547" w14:textId="77777777" w:rsidR="00E2033B" w:rsidRDefault="00E2033B" w:rsidP="00BF211C"/>
    <w:p w14:paraId="5602D093" w14:textId="7A44431E" w:rsidR="00BF211C" w:rsidRPr="00E870BA" w:rsidRDefault="00BF211C" w:rsidP="00BF211C">
      <w:r w:rsidRPr="00E870BA">
        <w:t>RESULTADOS</w:t>
      </w:r>
    </w:p>
    <w:p w14:paraId="45088985" w14:textId="77777777" w:rsidR="00BF211C" w:rsidRPr="00E870BA" w:rsidRDefault="00BF211C" w:rsidP="00BF211C"/>
    <w:p w14:paraId="73907F4A" w14:textId="69BA2A76" w:rsidR="00BF211C" w:rsidRDefault="00BF211C" w:rsidP="00BF211C">
      <w:pPr>
        <w:ind w:firstLine="708"/>
      </w:pPr>
      <w:r w:rsidRPr="00707B3A">
        <w:t>Um total de 52 ciclos foram s</w:t>
      </w:r>
      <w:r>
        <w:t xml:space="preserve">elecionados para este estudo, sendo que 35 foram alocados no grupo Antagonista e 17 no Grupo Didrogesterona. </w:t>
      </w:r>
      <w:r w:rsidR="00B20769">
        <w:t xml:space="preserve">Os dados </w:t>
      </w:r>
      <w:proofErr w:type="gramStart"/>
      <w:r w:rsidR="00B20769">
        <w:t xml:space="preserve">antropométricos </w:t>
      </w:r>
      <w:r>
        <w:t xml:space="preserve"> das</w:t>
      </w:r>
      <w:proofErr w:type="gramEnd"/>
      <w:r>
        <w:t xml:space="preserve"> pacientes incluídas neste estudo estão descritas na </w:t>
      </w:r>
      <w:r w:rsidRPr="001C72FB">
        <w:t>tabela 1</w:t>
      </w:r>
      <w:r>
        <w:t xml:space="preserve">, sendo que, </w:t>
      </w:r>
      <w:r w:rsidRPr="001C72FB">
        <w:t xml:space="preserve">idade, </w:t>
      </w:r>
      <w:r w:rsidR="001C72FB">
        <w:t>índice de massa corpórea (</w:t>
      </w:r>
      <w:r w:rsidRPr="001C72FB">
        <w:t>IMC</w:t>
      </w:r>
      <w:r w:rsidR="001C72FB">
        <w:t>)</w:t>
      </w:r>
      <w:r w:rsidRPr="001C72FB">
        <w:t>, duração da fertilidade, tipo de infertilidade (primaria ou secundária) e a reserva ovariana</w:t>
      </w:r>
      <w:r w:rsidR="001C72FB" w:rsidRPr="001C72FB">
        <w:t>, definida pelo hormônio anti</w:t>
      </w:r>
      <w:r w:rsidR="001C72FB">
        <w:t>-</w:t>
      </w:r>
      <w:r w:rsidR="001C72FB" w:rsidRPr="001C72FB">
        <w:t>mulleriano</w:t>
      </w:r>
      <w:r w:rsidR="001C72FB">
        <w:t xml:space="preserve"> (HAM)</w:t>
      </w:r>
      <w:r w:rsidRPr="001C72FB">
        <w:t xml:space="preserve"> foram similares entre os dois grupos (p&gt;0,05).</w:t>
      </w:r>
      <w:r>
        <w:t xml:space="preserve"> </w:t>
      </w:r>
      <w:commentRangeStart w:id="0"/>
      <w:r>
        <w:t>Além disso, n</w:t>
      </w:r>
      <w:r w:rsidRPr="00096FF5">
        <w:t xml:space="preserve">ão houve diferença no método de </w:t>
      </w:r>
      <w:r>
        <w:t>fertilização entre</w:t>
      </w:r>
      <w:r w:rsidRPr="00096FF5">
        <w:t xml:space="preserve"> </w:t>
      </w:r>
      <w:r>
        <w:t>os</w:t>
      </w:r>
      <w:r w:rsidRPr="00096FF5">
        <w:t xml:space="preserve"> grupos</w:t>
      </w:r>
      <w:r>
        <w:t>.</w:t>
      </w:r>
      <w:commentRangeEnd w:id="0"/>
      <w:r w:rsidR="007A70E8">
        <w:rPr>
          <w:rStyle w:val="Refdecomentrio"/>
        </w:rPr>
        <w:commentReference w:id="0"/>
      </w:r>
    </w:p>
    <w:p w14:paraId="09704122" w14:textId="48C1863C" w:rsidR="00BF211C" w:rsidRPr="00C549AA" w:rsidRDefault="00C549AA" w:rsidP="004B0632">
      <w:r w:rsidRPr="004B0632">
        <w:rPr>
          <w:b/>
          <w:bCs/>
          <w:highlight w:val="green"/>
        </w:rPr>
        <w:t>Tabela 1.</w:t>
      </w:r>
      <w:r>
        <w:rPr>
          <w:b/>
          <w:bCs/>
        </w:rPr>
        <w:t xml:space="preserve"> </w:t>
      </w:r>
      <w:r>
        <w:t xml:space="preserve">Características </w:t>
      </w:r>
      <w:r w:rsidR="007A70E8">
        <w:t>antropométricas</w:t>
      </w:r>
      <w:r>
        <w:t xml:space="preserve"> das pacientes estudadas entre os grupos.</w:t>
      </w:r>
    </w:p>
    <w:tbl>
      <w:tblPr>
        <w:tblStyle w:val="formatada"/>
        <w:tblW w:w="5544" w:type="pct"/>
        <w:tblLook w:val="04A0" w:firstRow="1" w:lastRow="0" w:firstColumn="1" w:lastColumn="0" w:noHBand="0" w:noVBand="1"/>
      </w:tblPr>
      <w:tblGrid>
        <w:gridCol w:w="4288"/>
        <w:gridCol w:w="1943"/>
        <w:gridCol w:w="1896"/>
        <w:gridCol w:w="1302"/>
      </w:tblGrid>
      <w:tr w:rsidR="004106A0" w:rsidRPr="00E870BA" w14:paraId="320B4BF3" w14:textId="77777777" w:rsidTr="00793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27F6395" w14:textId="41EBF8D2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V</w:t>
            </w:r>
            <w:r w:rsidR="004106A0" w:rsidRPr="00E870BA">
              <w:rPr>
                <w:lang w:eastAsia="pt-BR"/>
              </w:rPr>
              <w:t>ariáveis</w:t>
            </w:r>
          </w:p>
        </w:tc>
        <w:tc>
          <w:tcPr>
            <w:tcW w:w="1062" w:type="pct"/>
            <w:noWrap/>
            <w:hideMark/>
          </w:tcPr>
          <w:p w14:paraId="5C1C27BD" w14:textId="40D999CB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A</w:t>
            </w:r>
            <w:r w:rsidR="001C72FB">
              <w:rPr>
                <w:lang w:eastAsia="pt-BR"/>
              </w:rPr>
              <w:t>ntagonista</w:t>
            </w:r>
          </w:p>
        </w:tc>
        <w:tc>
          <w:tcPr>
            <w:tcW w:w="942" w:type="pct"/>
            <w:noWrap/>
            <w:hideMark/>
          </w:tcPr>
          <w:p w14:paraId="3F2D6AFB" w14:textId="4039C779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D</w:t>
            </w:r>
            <w:r w:rsidR="001C72FB">
              <w:rPr>
                <w:lang w:eastAsia="pt-BR"/>
              </w:rPr>
              <w:t>idrosgesterona</w:t>
            </w:r>
          </w:p>
        </w:tc>
        <w:tc>
          <w:tcPr>
            <w:tcW w:w="723" w:type="pct"/>
            <w:noWrap/>
            <w:hideMark/>
          </w:tcPr>
          <w:p w14:paraId="4C6DF98C" w14:textId="77777777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p-value</w:t>
            </w:r>
          </w:p>
        </w:tc>
      </w:tr>
      <w:tr w:rsidR="004106A0" w:rsidRPr="00E870BA" w14:paraId="70DAE4C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66D65D1" w14:textId="48716E10" w:rsidR="00BF211C" w:rsidRPr="00E870BA" w:rsidRDefault="00BF211C" w:rsidP="008E7DFA">
            <w:pPr>
              <w:pStyle w:val="SemEspaamento"/>
              <w:rPr>
                <w:lang w:eastAsia="pt-BR"/>
              </w:rPr>
            </w:pPr>
          </w:p>
        </w:tc>
        <w:tc>
          <w:tcPr>
            <w:tcW w:w="1062" w:type="pct"/>
            <w:noWrap/>
            <w:hideMark/>
          </w:tcPr>
          <w:p w14:paraId="5DE7FA23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N=35</w:t>
            </w:r>
          </w:p>
        </w:tc>
        <w:tc>
          <w:tcPr>
            <w:tcW w:w="942" w:type="pct"/>
            <w:noWrap/>
            <w:hideMark/>
          </w:tcPr>
          <w:p w14:paraId="2773EA42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N=17</w:t>
            </w:r>
          </w:p>
        </w:tc>
        <w:tc>
          <w:tcPr>
            <w:tcW w:w="723" w:type="pct"/>
            <w:noWrap/>
            <w:hideMark/>
          </w:tcPr>
          <w:p w14:paraId="24EE9BC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3495895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18887F91" w14:textId="1759AF7C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Idade</w:t>
            </w:r>
            <w:r>
              <w:rPr>
                <w:lang w:eastAsia="pt-BR"/>
              </w:rPr>
              <w:t xml:space="preserve"> </w:t>
            </w:r>
            <w:r w:rsidR="004106A0">
              <w:rPr>
                <w:lang w:eastAsia="pt-BR"/>
              </w:rPr>
              <w:t>mediana (p25.p75)</w:t>
            </w:r>
          </w:p>
        </w:tc>
        <w:tc>
          <w:tcPr>
            <w:tcW w:w="1062" w:type="pct"/>
            <w:noWrap/>
            <w:hideMark/>
          </w:tcPr>
          <w:p w14:paraId="4792912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36,0 (35,0-38,0)</w:t>
            </w:r>
          </w:p>
        </w:tc>
        <w:tc>
          <w:tcPr>
            <w:tcW w:w="942" w:type="pct"/>
            <w:noWrap/>
            <w:hideMark/>
          </w:tcPr>
          <w:p w14:paraId="5CD756D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37,0 (35,0-39,0)</w:t>
            </w:r>
          </w:p>
        </w:tc>
        <w:tc>
          <w:tcPr>
            <w:tcW w:w="723" w:type="pct"/>
            <w:noWrap/>
            <w:hideMark/>
          </w:tcPr>
          <w:p w14:paraId="4C2B4F7F" w14:textId="7F80D5F1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56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B3FF5F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7C38089" w14:textId="21F9D77B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IMC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226FA1C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22,1 (21,0-25,7)</w:t>
            </w:r>
          </w:p>
        </w:tc>
        <w:tc>
          <w:tcPr>
            <w:tcW w:w="942" w:type="pct"/>
            <w:noWrap/>
            <w:hideMark/>
          </w:tcPr>
          <w:p w14:paraId="3C55E50E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25,2 (22,2-26,3)</w:t>
            </w:r>
          </w:p>
        </w:tc>
        <w:tc>
          <w:tcPr>
            <w:tcW w:w="723" w:type="pct"/>
            <w:noWrap/>
            <w:hideMark/>
          </w:tcPr>
          <w:p w14:paraId="46411E9B" w14:textId="0C9C7C0F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13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706395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FCB5CB7" w14:textId="1971688F" w:rsidR="00BF211C" w:rsidRPr="00E870BA" w:rsidRDefault="004106A0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Tempo de infertilidade mediana (p25.p75)</w:t>
            </w:r>
          </w:p>
        </w:tc>
        <w:tc>
          <w:tcPr>
            <w:tcW w:w="1062" w:type="pct"/>
            <w:noWrap/>
            <w:hideMark/>
          </w:tcPr>
          <w:p w14:paraId="67B0D8D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(1,0-3,0)</w:t>
            </w:r>
          </w:p>
        </w:tc>
        <w:tc>
          <w:tcPr>
            <w:tcW w:w="942" w:type="pct"/>
            <w:noWrap/>
            <w:hideMark/>
          </w:tcPr>
          <w:p w14:paraId="067B4311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(1,5-3,0)</w:t>
            </w:r>
          </w:p>
        </w:tc>
        <w:tc>
          <w:tcPr>
            <w:tcW w:w="723" w:type="pct"/>
            <w:noWrap/>
            <w:hideMark/>
          </w:tcPr>
          <w:p w14:paraId="41C894EE" w14:textId="6A500883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52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5CB72B0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54D19D82" w14:textId="015AAC63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Infertilidade primária</w:t>
            </w:r>
            <w:r>
              <w:rPr>
                <w:lang w:eastAsia="pt-BR"/>
              </w:rPr>
              <w:t>, n (%)</w:t>
            </w:r>
          </w:p>
        </w:tc>
        <w:tc>
          <w:tcPr>
            <w:tcW w:w="1062" w:type="pct"/>
            <w:noWrap/>
            <w:hideMark/>
          </w:tcPr>
          <w:p w14:paraId="0894703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942" w:type="pct"/>
            <w:noWrap/>
            <w:hideMark/>
          </w:tcPr>
          <w:p w14:paraId="41A1248D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pct"/>
            <w:noWrap/>
            <w:hideMark/>
          </w:tcPr>
          <w:p w14:paraId="5E040EC3" w14:textId="54E09FF6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77</w:t>
            </w:r>
            <w:r w:rsidR="002310E4">
              <w:rPr>
                <w:lang w:eastAsia="pt-BR"/>
              </w:rPr>
              <w:t>**</w:t>
            </w:r>
          </w:p>
        </w:tc>
      </w:tr>
      <w:tr w:rsidR="004106A0" w:rsidRPr="00E870BA" w14:paraId="4D75600F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9F988DF" w14:textId="4C6C313F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Não</w:t>
            </w:r>
          </w:p>
        </w:tc>
        <w:tc>
          <w:tcPr>
            <w:tcW w:w="1062" w:type="pct"/>
            <w:noWrap/>
            <w:hideMark/>
          </w:tcPr>
          <w:p w14:paraId="7504C61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19 (54,3%)</w:t>
            </w:r>
          </w:p>
        </w:tc>
        <w:tc>
          <w:tcPr>
            <w:tcW w:w="942" w:type="pct"/>
            <w:noWrap/>
            <w:hideMark/>
          </w:tcPr>
          <w:p w14:paraId="5330AD4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8 (47,1%)</w:t>
            </w:r>
          </w:p>
        </w:tc>
        <w:tc>
          <w:tcPr>
            <w:tcW w:w="723" w:type="pct"/>
            <w:noWrap/>
            <w:hideMark/>
          </w:tcPr>
          <w:p w14:paraId="0D749B4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02FCABB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2AF30FEB" w14:textId="313D6DAA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Sim</w:t>
            </w:r>
          </w:p>
        </w:tc>
        <w:tc>
          <w:tcPr>
            <w:tcW w:w="1062" w:type="pct"/>
            <w:noWrap/>
            <w:hideMark/>
          </w:tcPr>
          <w:p w14:paraId="49B6767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16 (45,7%)</w:t>
            </w:r>
          </w:p>
        </w:tc>
        <w:tc>
          <w:tcPr>
            <w:tcW w:w="942" w:type="pct"/>
            <w:noWrap/>
            <w:hideMark/>
          </w:tcPr>
          <w:p w14:paraId="77ECD4F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9 (52,9%)</w:t>
            </w:r>
          </w:p>
        </w:tc>
        <w:tc>
          <w:tcPr>
            <w:tcW w:w="723" w:type="pct"/>
            <w:noWrap/>
            <w:hideMark/>
          </w:tcPr>
          <w:p w14:paraId="53B28748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7890B75C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0233658" w14:textId="51CB770F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HAM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1E89AC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1,9 (0,8-2,6)</w:t>
            </w:r>
          </w:p>
        </w:tc>
        <w:tc>
          <w:tcPr>
            <w:tcW w:w="942" w:type="pct"/>
            <w:noWrap/>
            <w:hideMark/>
          </w:tcPr>
          <w:p w14:paraId="6386585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2,7 (1,4-4,6)</w:t>
            </w:r>
          </w:p>
        </w:tc>
        <w:tc>
          <w:tcPr>
            <w:tcW w:w="723" w:type="pct"/>
            <w:noWrap/>
            <w:hideMark/>
          </w:tcPr>
          <w:p w14:paraId="33F9286D" w14:textId="77C0786A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093</w:t>
            </w:r>
            <w:r w:rsidR="002310E4">
              <w:rPr>
                <w:lang w:eastAsia="pt-BR"/>
              </w:rPr>
              <w:t>*</w:t>
            </w:r>
          </w:p>
        </w:tc>
      </w:tr>
    </w:tbl>
    <w:p w14:paraId="62D7357D" w14:textId="1F5448FD" w:rsidR="00BF211C" w:rsidRPr="008E7DFA" w:rsidRDefault="004106A0" w:rsidP="004427E4">
      <w:pPr>
        <w:ind w:firstLine="708"/>
        <w:jc w:val="both"/>
      </w:pPr>
      <w:commentRangeStart w:id="1"/>
      <w:commentRangeStart w:id="2"/>
      <w:r w:rsidRPr="008E7DFA">
        <w:t>*Mann-Whitney; *</w:t>
      </w:r>
      <w:r w:rsidR="002310E4">
        <w:t>*</w:t>
      </w:r>
      <w:r w:rsidRPr="008E7DFA">
        <w:t>Teste de Qui-quadrado</w:t>
      </w:r>
      <w:commentRangeEnd w:id="1"/>
      <w:r w:rsidR="00FF3DA6">
        <w:rPr>
          <w:rStyle w:val="Refdecomentrio"/>
        </w:rPr>
        <w:commentReference w:id="1"/>
      </w:r>
      <w:commentRangeEnd w:id="2"/>
      <w:r w:rsidR="0090208D">
        <w:rPr>
          <w:rStyle w:val="Refdecomentrio"/>
        </w:rPr>
        <w:commentReference w:id="2"/>
      </w:r>
      <w:r w:rsidR="008E7DFA" w:rsidRPr="008E7DFA">
        <w:t>. P.25; p.75: Percentis 25 e</w:t>
      </w:r>
      <w:r w:rsidR="008E7DFA">
        <w:t xml:space="preserve"> 75%, respectivamente.</w:t>
      </w:r>
    </w:p>
    <w:p w14:paraId="4C09FCBD" w14:textId="160F73FF" w:rsidR="004106A0" w:rsidRPr="008E7DFA" w:rsidRDefault="004106A0" w:rsidP="00BF211C">
      <w:pPr>
        <w:ind w:firstLine="708"/>
      </w:pPr>
    </w:p>
    <w:p w14:paraId="2E8DE082" w14:textId="77777777" w:rsidR="004106A0" w:rsidRPr="008E7DFA" w:rsidRDefault="004106A0" w:rsidP="00BF211C">
      <w:pPr>
        <w:ind w:firstLine="708"/>
      </w:pPr>
    </w:p>
    <w:p w14:paraId="55EDB3A8" w14:textId="0C8F2294" w:rsidR="00BF211C" w:rsidRDefault="00BF211C" w:rsidP="00C549AA">
      <w:pPr>
        <w:jc w:val="both"/>
      </w:pPr>
      <w:r w:rsidRPr="008E7DFA">
        <w:lastRenderedPageBreak/>
        <w:tab/>
      </w:r>
      <w:commentRangeStart w:id="3"/>
      <w:r>
        <w:t xml:space="preserve">A </w:t>
      </w:r>
      <w:r w:rsidRPr="001C72FB">
        <w:t>tabela 2</w:t>
      </w:r>
      <w:r>
        <w:t xml:space="preserve"> descreve as características </w:t>
      </w:r>
      <w:commentRangeEnd w:id="3"/>
      <w:r w:rsidR="00AE6149">
        <w:rPr>
          <w:rStyle w:val="Refdecomentrio"/>
        </w:rPr>
        <w:commentReference w:id="3"/>
      </w:r>
      <w:r>
        <w:t xml:space="preserve">do ciclo de estimulação ovariana controlada, mostrando que </w:t>
      </w:r>
      <w:r w:rsidRPr="001C72FB">
        <w:t xml:space="preserve">não houve </w:t>
      </w:r>
      <w:r>
        <w:t>diferença estatística quanto a dose de gonadotropina utilizada, duração do ciclo, número de folículos puncionados, número de oócitos recuperados, número de oócitos maduros, taxa de fertilização e taxa de blastocistos.</w:t>
      </w:r>
    </w:p>
    <w:p w14:paraId="0D844D29" w14:textId="208AF15F" w:rsidR="008E7DFA" w:rsidRDefault="008E7DFA" w:rsidP="00C549AA">
      <w:pPr>
        <w:jc w:val="both"/>
      </w:pPr>
    </w:p>
    <w:p w14:paraId="0D5A9E8F" w14:textId="68818DA4" w:rsidR="002310E4" w:rsidRDefault="002310E4" w:rsidP="00C549AA">
      <w:pPr>
        <w:jc w:val="both"/>
      </w:pPr>
    </w:p>
    <w:p w14:paraId="4D23C789" w14:textId="70AAAF61" w:rsidR="002310E4" w:rsidRDefault="002310E4" w:rsidP="00C549AA">
      <w:pPr>
        <w:jc w:val="both"/>
      </w:pPr>
    </w:p>
    <w:p w14:paraId="5F17098F" w14:textId="77777777" w:rsidR="002310E4" w:rsidRDefault="002310E4" w:rsidP="00C549AA">
      <w:pPr>
        <w:jc w:val="both"/>
      </w:pPr>
    </w:p>
    <w:p w14:paraId="77EE3000" w14:textId="257ABF48" w:rsidR="008E7DFA" w:rsidRDefault="008E7DFA" w:rsidP="00C549AA">
      <w:pPr>
        <w:jc w:val="both"/>
      </w:pPr>
      <w:r w:rsidRPr="004B0632">
        <w:rPr>
          <w:b/>
          <w:bCs/>
          <w:highlight w:val="green"/>
        </w:rPr>
        <w:t>Tabela 2.</w:t>
      </w:r>
      <w:r>
        <w:t xml:space="preserve"> Características </w:t>
      </w:r>
      <w:r w:rsidRPr="008E7DFA">
        <w:t>do ciclo de estimulação ovariana controlada</w:t>
      </w:r>
      <w:r>
        <w:t xml:space="preserve">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8E7DFA" w:rsidRPr="008E7DFA" w14:paraId="7B4DFABF" w14:textId="77777777" w:rsidTr="008E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A119FD1" w14:textId="66ADEC3B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387" w:type="pct"/>
            <w:noWrap/>
            <w:hideMark/>
          </w:tcPr>
          <w:p w14:paraId="112D0AA4" w14:textId="31CCF9C8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A</w:t>
            </w:r>
            <w:r w:rsidR="001C72FB"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1387" w:type="pct"/>
            <w:noWrap/>
            <w:hideMark/>
          </w:tcPr>
          <w:p w14:paraId="07FDF6D8" w14:textId="03A64CCB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</w:t>
            </w:r>
            <w:r w:rsidR="001C72FB">
              <w:rPr>
                <w:rFonts w:eastAsia="Times New Roman" w:cs="Times New Roman"/>
                <w:sz w:val="22"/>
                <w:lang w:eastAsia="pt-BR"/>
              </w:rPr>
              <w:t>idrogesterona</w:t>
            </w:r>
          </w:p>
        </w:tc>
        <w:tc>
          <w:tcPr>
            <w:tcW w:w="629" w:type="pct"/>
            <w:noWrap/>
            <w:hideMark/>
          </w:tcPr>
          <w:p w14:paraId="34F377F6" w14:textId="11D68D64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p-value</w:t>
            </w:r>
            <w:r w:rsidR="002310E4"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8E7DFA" w:rsidRPr="008E7DFA" w14:paraId="033A514D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9995E2E" w14:textId="77777777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774" w:type="pct"/>
            <w:gridSpan w:val="2"/>
            <w:noWrap/>
            <w:hideMark/>
          </w:tcPr>
          <w:p w14:paraId="399715D4" w14:textId="5B835AA4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Mediana (p.25; p.75) </w:t>
            </w:r>
          </w:p>
        </w:tc>
        <w:tc>
          <w:tcPr>
            <w:tcW w:w="629" w:type="pct"/>
            <w:noWrap/>
            <w:hideMark/>
          </w:tcPr>
          <w:p w14:paraId="742D26E7" w14:textId="77777777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8E7DFA" w:rsidRPr="008E7DFA" w14:paraId="12417F0B" w14:textId="77777777" w:rsidTr="004427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6F4DA14E" w14:textId="5A8361B1" w:rsidR="008E7DFA" w:rsidRPr="008E7DFA" w:rsidRDefault="004427E4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1387" w:type="pct"/>
            <w:noWrap/>
          </w:tcPr>
          <w:p w14:paraId="10321F3C" w14:textId="41164C39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>10,0 (9,0-12,0)</w:t>
            </w:r>
          </w:p>
        </w:tc>
        <w:tc>
          <w:tcPr>
            <w:tcW w:w="1387" w:type="pct"/>
            <w:noWrap/>
          </w:tcPr>
          <w:p w14:paraId="6DE4E895" w14:textId="25AA87B3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 xml:space="preserve">  10,0 (10,0-11,0)</w:t>
            </w:r>
          </w:p>
        </w:tc>
        <w:tc>
          <w:tcPr>
            <w:tcW w:w="629" w:type="pct"/>
            <w:noWrap/>
          </w:tcPr>
          <w:p w14:paraId="01BB8748" w14:textId="7C0F43B0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0,79</w:t>
            </w:r>
          </w:p>
        </w:tc>
      </w:tr>
      <w:tr w:rsidR="004427E4" w:rsidRPr="008E7DFA" w14:paraId="4251F401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78DF23C2" w14:textId="65203D14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HMG menotropina</w:t>
            </w:r>
          </w:p>
        </w:tc>
        <w:tc>
          <w:tcPr>
            <w:tcW w:w="1387" w:type="pct"/>
            <w:noWrap/>
          </w:tcPr>
          <w:p w14:paraId="236BD119" w14:textId="20D422B3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(1350,0-2025,0)</w:t>
            </w:r>
          </w:p>
        </w:tc>
        <w:tc>
          <w:tcPr>
            <w:tcW w:w="1387" w:type="pct"/>
            <w:noWrap/>
          </w:tcPr>
          <w:p w14:paraId="7A417D3A" w14:textId="0543FF3A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(1275,0-1950,0)</w:t>
            </w:r>
          </w:p>
        </w:tc>
        <w:tc>
          <w:tcPr>
            <w:tcW w:w="629" w:type="pct"/>
            <w:noWrap/>
          </w:tcPr>
          <w:p w14:paraId="3D6E0F69" w14:textId="1CA31184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91</w:t>
            </w:r>
          </w:p>
        </w:tc>
      </w:tr>
      <w:tr w:rsidR="004427E4" w:rsidRPr="008E7DFA" w14:paraId="25DD255C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5B39114" w14:textId="710023E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FSH-r alfafolitropina</w:t>
            </w:r>
          </w:p>
        </w:tc>
        <w:tc>
          <w:tcPr>
            <w:tcW w:w="1387" w:type="pct"/>
            <w:noWrap/>
            <w:hideMark/>
          </w:tcPr>
          <w:p w14:paraId="04D1931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(1200,0-1800,0)</w:t>
            </w:r>
          </w:p>
        </w:tc>
        <w:tc>
          <w:tcPr>
            <w:tcW w:w="1387" w:type="pct"/>
            <w:noWrap/>
            <w:hideMark/>
          </w:tcPr>
          <w:p w14:paraId="7703D51B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(1125,0-1500,0)</w:t>
            </w:r>
          </w:p>
        </w:tc>
        <w:tc>
          <w:tcPr>
            <w:tcW w:w="629" w:type="pct"/>
            <w:noWrap/>
            <w:hideMark/>
          </w:tcPr>
          <w:p w14:paraId="69135628" w14:textId="6D3DFE42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80</w:t>
            </w:r>
          </w:p>
        </w:tc>
      </w:tr>
      <w:tr w:rsidR="004427E4" w:rsidRPr="008E7DFA" w14:paraId="2AEDB43E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FEEF252" w14:textId="2F63539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1387" w:type="pct"/>
            <w:noWrap/>
            <w:hideMark/>
          </w:tcPr>
          <w:p w14:paraId="7CD2FA98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13,0 (9,0-21,0)</w:t>
            </w:r>
          </w:p>
        </w:tc>
        <w:tc>
          <w:tcPr>
            <w:tcW w:w="1387" w:type="pct"/>
            <w:noWrap/>
            <w:hideMark/>
          </w:tcPr>
          <w:p w14:paraId="44E48C0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16,0 (9,0-22,0)</w:t>
            </w:r>
          </w:p>
        </w:tc>
        <w:tc>
          <w:tcPr>
            <w:tcW w:w="629" w:type="pct"/>
            <w:noWrap/>
            <w:hideMark/>
          </w:tcPr>
          <w:p w14:paraId="0EDC0D0F" w14:textId="60AEE3A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</w:tbl>
    <w:p w14:paraId="1FBC0966" w14:textId="17E57B6A" w:rsidR="00BF211C" w:rsidRDefault="002310E4" w:rsidP="001C72FB">
      <w:pPr>
        <w:jc w:val="both"/>
      </w:pPr>
      <w:r w:rsidRPr="00741F17">
        <w:t xml:space="preserve">*Mann-Whitney; </w:t>
      </w:r>
      <w:r w:rsidR="008E7DFA" w:rsidRPr="00741F17">
        <w:t>Percentis 25 e 75%, respectivamente.</w:t>
      </w:r>
    </w:p>
    <w:p w14:paraId="7682B1D6" w14:textId="77777777" w:rsidR="00455E19" w:rsidRDefault="00455E19" w:rsidP="00455E19">
      <w:pPr>
        <w:jc w:val="both"/>
        <w:rPr>
          <w:b/>
          <w:bCs/>
        </w:rPr>
      </w:pPr>
    </w:p>
    <w:p w14:paraId="0228FBF0" w14:textId="7CA5854E" w:rsidR="00455E19" w:rsidRDefault="00455E19" w:rsidP="00455E19">
      <w:pPr>
        <w:jc w:val="both"/>
      </w:pPr>
      <w:r w:rsidRPr="004B0632">
        <w:rPr>
          <w:b/>
          <w:bCs/>
          <w:highlight w:val="green"/>
        </w:rPr>
        <w:t>Tabela 3.</w:t>
      </w:r>
      <w:r>
        <w:t xml:space="preserve"> Características laboratoriais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455E19" w:rsidRPr="00455E19" w14:paraId="5F270F33" w14:textId="77777777" w:rsidTr="004B0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noWrap/>
            <w:hideMark/>
          </w:tcPr>
          <w:p w14:paraId="0F669F74" w14:textId="77777777" w:rsidR="00455E19" w:rsidRPr="004B0632" w:rsidRDefault="00455E19" w:rsidP="00632D16">
            <w:pPr>
              <w:pStyle w:val="SemEspaamento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4B0632">
              <w:rPr>
                <w:rFonts w:cs="Times New Roman"/>
                <w:bCs/>
                <w:lang w:eastAsia="pt-BR"/>
              </w:rPr>
              <w:t>Variáveis</w:t>
            </w:r>
          </w:p>
        </w:tc>
        <w:tc>
          <w:tcPr>
            <w:tcW w:w="0" w:type="pct"/>
            <w:noWrap/>
            <w:hideMark/>
          </w:tcPr>
          <w:p w14:paraId="6EFFDBC3" w14:textId="77777777" w:rsidR="00455E19" w:rsidRPr="004B0632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4B0632">
              <w:rPr>
                <w:rFonts w:eastAsia="Times New Roman" w:cs="Times New Roman"/>
                <w:bCs/>
                <w:sz w:val="22"/>
                <w:lang w:eastAsia="pt-BR"/>
              </w:rPr>
              <w:t>Antagonista</w:t>
            </w:r>
          </w:p>
        </w:tc>
        <w:tc>
          <w:tcPr>
            <w:tcW w:w="0" w:type="pct"/>
            <w:noWrap/>
            <w:hideMark/>
          </w:tcPr>
          <w:p w14:paraId="689EB1A3" w14:textId="77777777" w:rsidR="00455E19" w:rsidRPr="004B0632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proofErr w:type="spellStart"/>
            <w:r w:rsidRPr="004B0632">
              <w:rPr>
                <w:rFonts w:eastAsia="Times New Roman" w:cs="Times New Roman"/>
                <w:bCs/>
                <w:sz w:val="22"/>
                <w:lang w:eastAsia="pt-BR"/>
              </w:rPr>
              <w:t>Didrogesterona</w:t>
            </w:r>
            <w:proofErr w:type="spellEnd"/>
          </w:p>
        </w:tc>
        <w:tc>
          <w:tcPr>
            <w:tcW w:w="0" w:type="pct"/>
            <w:noWrap/>
            <w:hideMark/>
          </w:tcPr>
          <w:p w14:paraId="2B11A657" w14:textId="77777777" w:rsidR="00455E19" w:rsidRPr="004B0632" w:rsidRDefault="00455E19" w:rsidP="00632D1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4B0632">
              <w:rPr>
                <w:rFonts w:eastAsia="Times New Roman" w:cs="Times New Roman"/>
                <w:bCs/>
                <w:sz w:val="22"/>
                <w:lang w:eastAsia="pt-BR"/>
              </w:rPr>
              <w:t>p-</w:t>
            </w:r>
            <w:proofErr w:type="spellStart"/>
            <w:r w:rsidRPr="004B0632">
              <w:rPr>
                <w:rFonts w:eastAsia="Times New Roman" w:cs="Times New Roman"/>
                <w:bCs/>
                <w:sz w:val="22"/>
                <w:lang w:eastAsia="pt-BR"/>
              </w:rPr>
              <w:t>value</w:t>
            </w:r>
            <w:proofErr w:type="spellEnd"/>
            <w:r w:rsidRPr="004B0632">
              <w:rPr>
                <w:rFonts w:eastAsia="Times New Roman" w:cs="Times New Roman"/>
                <w:bCs/>
                <w:sz w:val="22"/>
                <w:lang w:eastAsia="pt-BR"/>
              </w:rPr>
              <w:t>*</w:t>
            </w:r>
          </w:p>
        </w:tc>
      </w:tr>
      <w:tr w:rsidR="00455E19" w:rsidRPr="00455E19" w14:paraId="7052E3EE" w14:textId="77777777" w:rsidTr="00455E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tcBorders>
              <w:top w:val="single" w:sz="4" w:space="0" w:color="auto"/>
              <w:bottom w:val="nil"/>
            </w:tcBorders>
            <w:noWrap/>
          </w:tcPr>
          <w:p w14:paraId="57F15E55" w14:textId="77777777" w:rsidR="00455E19" w:rsidRPr="00455E19" w:rsidRDefault="00455E19" w:rsidP="00632D16">
            <w:pPr>
              <w:pStyle w:val="SemEspaamento"/>
              <w:rPr>
                <w:rFonts w:cs="Times New Roman"/>
                <w:b/>
                <w:bCs/>
                <w:lang w:eastAsia="pt-BR"/>
              </w:rPr>
            </w:pPr>
          </w:p>
        </w:tc>
        <w:tc>
          <w:tcPr>
            <w:tcW w:w="2774" w:type="pct"/>
            <w:gridSpan w:val="2"/>
            <w:tcBorders>
              <w:top w:val="single" w:sz="4" w:space="0" w:color="auto"/>
              <w:bottom w:val="nil"/>
            </w:tcBorders>
            <w:noWrap/>
          </w:tcPr>
          <w:p w14:paraId="21FF60BD" w14:textId="5199AA28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Mediana (p.25</w:t>
            </w:r>
            <w:r w:rsidR="004B0632">
              <w:rPr>
                <w:rFonts w:eastAsia="Times New Roman" w:cs="Times New Roman"/>
                <w:sz w:val="22"/>
                <w:lang w:eastAsia="pt-BR"/>
              </w:rPr>
              <w:t xml:space="preserve"> -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p.75)</w:t>
            </w:r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  <w:noWrap/>
          </w:tcPr>
          <w:p w14:paraId="5D2F0801" w14:textId="77777777" w:rsidR="00455E19" w:rsidRPr="00455E19" w:rsidRDefault="00455E19" w:rsidP="00632D1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</w:p>
        </w:tc>
      </w:tr>
      <w:tr w:rsidR="00455E19" w:rsidRPr="008E7DFA" w14:paraId="501C7F88" w14:textId="77777777" w:rsidTr="004B06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</w:tcBorders>
            <w:noWrap/>
          </w:tcPr>
          <w:p w14:paraId="78AAA72F" w14:textId="383500E6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recuperados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45DCBD2B" w14:textId="6470542A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(6,0-15,0)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405207A4" w14:textId="4459BC94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(7,0-19,0)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25FC036F" w14:textId="41A45421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46</w:t>
            </w:r>
          </w:p>
        </w:tc>
      </w:tr>
      <w:tr w:rsidR="00455E19" w:rsidRPr="008E7DFA" w14:paraId="4532AB81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C319A51" w14:textId="77777777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MII</w:t>
            </w:r>
          </w:p>
        </w:tc>
        <w:tc>
          <w:tcPr>
            <w:tcW w:w="1387" w:type="pct"/>
            <w:noWrap/>
            <w:hideMark/>
          </w:tcPr>
          <w:p w14:paraId="05F9D8F1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8,0 (4,0-12,0)</w:t>
            </w:r>
          </w:p>
        </w:tc>
        <w:tc>
          <w:tcPr>
            <w:tcW w:w="1387" w:type="pct"/>
            <w:noWrap/>
            <w:hideMark/>
          </w:tcPr>
          <w:p w14:paraId="5D043BEA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(5,0-12,0)</w:t>
            </w:r>
          </w:p>
        </w:tc>
        <w:tc>
          <w:tcPr>
            <w:tcW w:w="629" w:type="pct"/>
            <w:noWrap/>
            <w:hideMark/>
          </w:tcPr>
          <w:p w14:paraId="067B59DA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48</w:t>
            </w:r>
          </w:p>
        </w:tc>
      </w:tr>
      <w:tr w:rsidR="00455E19" w:rsidRPr="008E7DFA" w14:paraId="209C1E70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43EA4D41" w14:textId="77777777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MI</w:t>
            </w:r>
          </w:p>
        </w:tc>
        <w:tc>
          <w:tcPr>
            <w:tcW w:w="1387" w:type="pct"/>
            <w:noWrap/>
            <w:hideMark/>
          </w:tcPr>
          <w:p w14:paraId="0EA284D7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1387" w:type="pct"/>
            <w:noWrap/>
            <w:hideMark/>
          </w:tcPr>
          <w:p w14:paraId="0BCEF7DD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629" w:type="pct"/>
            <w:noWrap/>
            <w:hideMark/>
          </w:tcPr>
          <w:p w14:paraId="1E077EE7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55</w:t>
            </w:r>
          </w:p>
        </w:tc>
      </w:tr>
      <w:tr w:rsidR="00455E19" w:rsidRPr="008E7DFA" w14:paraId="503E5AB7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0488335" w14:textId="77777777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VG</w:t>
            </w:r>
          </w:p>
        </w:tc>
        <w:tc>
          <w:tcPr>
            <w:tcW w:w="1387" w:type="pct"/>
            <w:noWrap/>
            <w:hideMark/>
          </w:tcPr>
          <w:p w14:paraId="18DE5DE6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1387" w:type="pct"/>
            <w:noWrap/>
            <w:hideMark/>
          </w:tcPr>
          <w:p w14:paraId="25C50BA2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(0,0-4,0)</w:t>
            </w:r>
          </w:p>
        </w:tc>
        <w:tc>
          <w:tcPr>
            <w:tcW w:w="629" w:type="pct"/>
            <w:noWrap/>
            <w:hideMark/>
          </w:tcPr>
          <w:p w14:paraId="135C1FD8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86</w:t>
            </w:r>
          </w:p>
        </w:tc>
      </w:tr>
      <w:tr w:rsidR="00455E19" w:rsidRPr="008E7DFA" w14:paraId="6622E936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032AEFA2" w14:textId="77777777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fertilização</w:t>
            </w:r>
          </w:p>
        </w:tc>
        <w:tc>
          <w:tcPr>
            <w:tcW w:w="1387" w:type="pct"/>
            <w:noWrap/>
            <w:hideMark/>
          </w:tcPr>
          <w:p w14:paraId="2137C277" w14:textId="1974E6A0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</w:t>
            </w:r>
            <w:r w:rsidR="004B0632">
              <w:rPr>
                <w:rFonts w:eastAsia="Times New Roman" w:cs="Times New Roman"/>
                <w:sz w:val="22"/>
                <w:lang w:eastAsia="pt-BR"/>
              </w:rPr>
              <w:t>70,0-92,9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)</w:t>
            </w:r>
          </w:p>
        </w:tc>
        <w:tc>
          <w:tcPr>
            <w:tcW w:w="1387" w:type="pct"/>
            <w:noWrap/>
            <w:hideMark/>
          </w:tcPr>
          <w:p w14:paraId="732C13F0" w14:textId="77777777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(71,4-91,7)</w:t>
            </w:r>
          </w:p>
        </w:tc>
        <w:tc>
          <w:tcPr>
            <w:tcW w:w="629" w:type="pct"/>
            <w:noWrap/>
            <w:hideMark/>
          </w:tcPr>
          <w:p w14:paraId="7D05E4AE" w14:textId="06745436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="004B0632">
              <w:rPr>
                <w:rFonts w:eastAsia="Times New Roman" w:cs="Times New Roman"/>
                <w:sz w:val="22"/>
                <w:lang w:eastAsia="pt-BR"/>
              </w:rPr>
              <w:t>79</w:t>
            </w:r>
          </w:p>
        </w:tc>
      </w:tr>
      <w:tr w:rsidR="00455E19" w:rsidRPr="008E7DFA" w14:paraId="11E12744" w14:textId="77777777" w:rsidTr="00632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64599C26" w14:textId="77777777" w:rsidR="00455E19" w:rsidRPr="008E7DFA" w:rsidRDefault="00455E19" w:rsidP="00455E19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blastocistos</w:t>
            </w:r>
          </w:p>
        </w:tc>
        <w:tc>
          <w:tcPr>
            <w:tcW w:w="1387" w:type="pct"/>
            <w:noWrap/>
            <w:hideMark/>
          </w:tcPr>
          <w:p w14:paraId="5CC84E58" w14:textId="5EE2006D" w:rsidR="00455E19" w:rsidRPr="008E7DFA" w:rsidRDefault="004B0632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B0632">
              <w:rPr>
                <w:rFonts w:eastAsia="Times New Roman" w:cs="Times New Roman"/>
                <w:sz w:val="22"/>
                <w:lang w:eastAsia="pt-BR"/>
              </w:rPr>
              <w:t>62,5 (41,7-90,0)</w:t>
            </w:r>
          </w:p>
        </w:tc>
        <w:tc>
          <w:tcPr>
            <w:tcW w:w="1387" w:type="pct"/>
            <w:noWrap/>
            <w:hideMark/>
          </w:tcPr>
          <w:p w14:paraId="0B727F6E" w14:textId="69E1189A" w:rsidR="00455E19" w:rsidRPr="008E7DFA" w:rsidRDefault="004B0632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B0632">
              <w:rPr>
                <w:rFonts w:eastAsia="Times New Roman" w:cs="Times New Roman"/>
                <w:sz w:val="22"/>
                <w:lang w:eastAsia="pt-BR"/>
              </w:rPr>
              <w:t>50,0 (42,9-80,0)</w:t>
            </w:r>
          </w:p>
        </w:tc>
        <w:tc>
          <w:tcPr>
            <w:tcW w:w="629" w:type="pct"/>
            <w:noWrap/>
            <w:hideMark/>
          </w:tcPr>
          <w:p w14:paraId="428F634C" w14:textId="07918266" w:rsidR="00455E19" w:rsidRPr="008E7DFA" w:rsidRDefault="00455E19" w:rsidP="00455E19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</w:t>
            </w:r>
            <w:r w:rsidR="004B0632">
              <w:rPr>
                <w:rFonts w:eastAsia="Times New Roman" w:cs="Times New Roman"/>
                <w:sz w:val="22"/>
                <w:lang w:eastAsia="pt-BR"/>
              </w:rPr>
              <w:t>4</w:t>
            </w:r>
          </w:p>
        </w:tc>
      </w:tr>
    </w:tbl>
    <w:p w14:paraId="7A1F623C" w14:textId="77777777" w:rsidR="00455E19" w:rsidRDefault="00455E19" w:rsidP="00455E19">
      <w:pPr>
        <w:jc w:val="both"/>
      </w:pPr>
      <w:r w:rsidRPr="00741F17">
        <w:t>*Mann-Whitney; Percentis 25 e 75%, respectivamente.</w:t>
      </w:r>
    </w:p>
    <w:p w14:paraId="07119D4C" w14:textId="56B0BD33" w:rsidR="00455E19" w:rsidRDefault="00455E19" w:rsidP="00BF211C"/>
    <w:p w14:paraId="55573F1E" w14:textId="77777777" w:rsidR="00455E19" w:rsidRDefault="00455E19" w:rsidP="00BF211C"/>
    <w:p w14:paraId="147C7C39" w14:textId="1B1A872B" w:rsidR="00BF211C" w:rsidRDefault="00BF211C" w:rsidP="00BF211C">
      <w:r>
        <w:tab/>
      </w:r>
      <w:r w:rsidRPr="001C72FB">
        <w:t>Tabela 3</w:t>
      </w:r>
      <w:r>
        <w:t xml:space="preserve"> avaliou a característica dos embriões obtidos considerados como top qualit</w:t>
      </w:r>
      <w:r w:rsidR="00343882">
        <w:t>y</w:t>
      </w:r>
      <w:r>
        <w:t xml:space="preserve"> e </w:t>
      </w:r>
      <w:r w:rsidR="001C72FB">
        <w:t xml:space="preserve">o </w:t>
      </w:r>
      <w:r>
        <w:t xml:space="preserve">tempo </w:t>
      </w:r>
      <w:r w:rsidR="001C72FB">
        <w:t xml:space="preserve">em </w:t>
      </w:r>
      <w:r>
        <w:t>que o embrião demorou para atingir o estágio de blastocisto</w:t>
      </w:r>
      <w:r w:rsidR="001C72FB">
        <w:t xml:space="preserve">, ou </w:t>
      </w:r>
      <w:r w:rsidR="001C72FB">
        <w:lastRenderedPageBreak/>
        <w:t>seja, demorou 5 (D5)</w:t>
      </w:r>
      <w:r>
        <w:t>,</w:t>
      </w:r>
      <w:r w:rsidR="001C72FB">
        <w:t xml:space="preserve"> 6 (D6) ou 7 dias (</w:t>
      </w:r>
      <w:r>
        <w:t>D7)</w:t>
      </w:r>
      <w:r w:rsidR="0037374D">
        <w:t>. Verificou-se as medianas destas variáveis em ambos os grupos, sendo que não foi encontrado diferença (p&lt;0,05)</w:t>
      </w:r>
      <w:r>
        <w:t>.</w:t>
      </w:r>
    </w:p>
    <w:p w14:paraId="7E7D4437" w14:textId="26AEEB37" w:rsidR="00343882" w:rsidRDefault="00343882" w:rsidP="00BF211C"/>
    <w:p w14:paraId="1F8272ED" w14:textId="5D5E87A2" w:rsidR="00343882" w:rsidRPr="00343882" w:rsidRDefault="00343882" w:rsidP="004B0632">
      <w:r w:rsidRPr="004B0632">
        <w:rPr>
          <w:b/>
          <w:bCs/>
          <w:highlight w:val="green"/>
        </w:rPr>
        <w:t xml:space="preserve">Tabela </w:t>
      </w:r>
      <w:r w:rsidR="00E2033B" w:rsidRPr="004B0632">
        <w:rPr>
          <w:b/>
          <w:bCs/>
          <w:highlight w:val="green"/>
        </w:rPr>
        <w:t>4</w:t>
      </w:r>
      <w:r w:rsidRPr="004B0632">
        <w:rPr>
          <w:b/>
          <w:bCs/>
          <w:highlight w:val="green"/>
        </w:rPr>
        <w:t>.</w:t>
      </w:r>
      <w:r>
        <w:rPr>
          <w:b/>
          <w:bCs/>
        </w:rPr>
        <w:t xml:space="preserve"> </w:t>
      </w:r>
      <w:r w:rsidRPr="00343882">
        <w:t>Avaliação da qualidade embrionária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787"/>
        <w:gridCol w:w="1843"/>
        <w:gridCol w:w="1671"/>
        <w:gridCol w:w="1203"/>
      </w:tblGrid>
      <w:tr w:rsidR="006F26F8" w:rsidRPr="006F26F8" w14:paraId="1B2586C3" w14:textId="77777777" w:rsidTr="0034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5E3854CD" w14:textId="29DE52FA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091" w:type="pct"/>
            <w:noWrap/>
            <w:hideMark/>
          </w:tcPr>
          <w:p w14:paraId="321A266C" w14:textId="5C31239A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A</w:t>
            </w:r>
            <w:r w:rsidR="0037374D"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960" w:type="pct"/>
            <w:noWrap/>
            <w:hideMark/>
          </w:tcPr>
          <w:p w14:paraId="3040D0EE" w14:textId="46D2B0D6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</w:t>
            </w:r>
            <w:r w:rsidR="0037374D">
              <w:rPr>
                <w:rFonts w:eastAsia="Times New Roman" w:cs="Times New Roman"/>
                <w:sz w:val="22"/>
                <w:lang w:eastAsia="pt-BR"/>
              </w:rPr>
              <w:t>idrogesterona</w:t>
            </w:r>
          </w:p>
        </w:tc>
        <w:tc>
          <w:tcPr>
            <w:tcW w:w="715" w:type="pct"/>
            <w:noWrap/>
            <w:hideMark/>
          </w:tcPr>
          <w:p w14:paraId="419C102E" w14:textId="660B4E46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p-value</w:t>
            </w:r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6F26F8" w:rsidRPr="006F26F8" w14:paraId="5B1B4B58" w14:textId="77777777" w:rsidTr="003438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09AF965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051" w:type="pct"/>
            <w:gridSpan w:val="2"/>
            <w:noWrap/>
          </w:tcPr>
          <w:p w14:paraId="787D9743" w14:textId="1A041E3F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Mediana (p.25</w:t>
            </w:r>
            <w:r w:rsidR="004B0632">
              <w:rPr>
                <w:rFonts w:eastAsia="Times New Roman" w:cs="Times New Roman"/>
                <w:sz w:val="22"/>
                <w:lang w:eastAsia="pt-BR"/>
              </w:rPr>
              <w:t xml:space="preserve"> -</w:t>
            </w:r>
            <w:r w:rsidRPr="006F26F8">
              <w:rPr>
                <w:rFonts w:eastAsia="Times New Roman" w:cs="Times New Roman"/>
                <w:sz w:val="22"/>
                <w:lang w:eastAsia="pt-BR"/>
              </w:rPr>
              <w:t xml:space="preserve"> p.75)</w:t>
            </w:r>
          </w:p>
        </w:tc>
        <w:tc>
          <w:tcPr>
            <w:tcW w:w="715" w:type="pct"/>
            <w:noWrap/>
            <w:hideMark/>
          </w:tcPr>
          <w:p w14:paraId="0520EC71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6F26F8" w:rsidRPr="006F26F8" w14:paraId="6F9CB40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2653D3" w14:textId="2FD00B3B" w:rsidR="006F26F8" w:rsidRPr="006F26F8" w:rsidRDefault="00343882" w:rsidP="006F26F8">
            <w:pPr>
              <w:pStyle w:val="SemEspaamento"/>
              <w:rPr>
                <w:rFonts w:eastAsia="Times New Roman" w:cs="Times New Roman"/>
                <w:sz w:val="22"/>
                <w:lang w:val="en-US" w:eastAsia="pt-BR"/>
              </w:rPr>
            </w:pPr>
            <w:r w:rsidRPr="006F26F8">
              <w:rPr>
                <w:rFonts w:eastAsia="Times New Roman" w:cs="Times New Roman"/>
                <w:sz w:val="22"/>
                <w:lang w:val="en-US" w:eastAsia="pt-BR"/>
              </w:rPr>
              <w:t xml:space="preserve">Embriões Top Quality </w:t>
            </w:r>
            <w:r w:rsidR="006F26F8" w:rsidRPr="006F26F8">
              <w:rPr>
                <w:rFonts w:eastAsia="Times New Roman" w:cs="Times New Roman"/>
                <w:sz w:val="22"/>
                <w:lang w:val="en-US" w:eastAsia="pt-BR"/>
              </w:rPr>
              <w:t>BL1/BL2</w:t>
            </w:r>
          </w:p>
        </w:tc>
        <w:tc>
          <w:tcPr>
            <w:tcW w:w="1091" w:type="pct"/>
            <w:noWrap/>
            <w:hideMark/>
          </w:tcPr>
          <w:p w14:paraId="766A8BDB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(1,0-4,0)</w:t>
            </w:r>
          </w:p>
        </w:tc>
        <w:tc>
          <w:tcPr>
            <w:tcW w:w="960" w:type="pct"/>
            <w:noWrap/>
            <w:hideMark/>
          </w:tcPr>
          <w:p w14:paraId="70845853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3,0 (1,0-5,0)</w:t>
            </w:r>
          </w:p>
        </w:tc>
        <w:tc>
          <w:tcPr>
            <w:tcW w:w="715" w:type="pct"/>
            <w:noWrap/>
          </w:tcPr>
          <w:p w14:paraId="203D6D74" w14:textId="0E863FA0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r w:rsidR="002E37C1">
              <w:rPr>
                <w:rFonts w:eastAsia="Times New Roman" w:cs="Times New Roman"/>
                <w:sz w:val="22"/>
                <w:lang w:eastAsia="pt-BR"/>
              </w:rPr>
              <w:t>68</w:t>
            </w:r>
          </w:p>
        </w:tc>
      </w:tr>
      <w:tr w:rsidR="006F26F8" w:rsidRPr="006F26F8" w14:paraId="726516F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69B2ABC2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1091" w:type="pct"/>
            <w:noWrap/>
            <w:hideMark/>
          </w:tcPr>
          <w:p w14:paraId="06741536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2E5E6307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(0,0-2,0)</w:t>
            </w:r>
          </w:p>
        </w:tc>
        <w:tc>
          <w:tcPr>
            <w:tcW w:w="715" w:type="pct"/>
            <w:noWrap/>
          </w:tcPr>
          <w:p w14:paraId="7609D609" w14:textId="4F439492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r w:rsidR="002E37C1">
              <w:rPr>
                <w:rFonts w:eastAsia="Times New Roman" w:cs="Times New Roman"/>
                <w:sz w:val="22"/>
                <w:lang w:eastAsia="pt-BR"/>
              </w:rPr>
              <w:t>17</w:t>
            </w:r>
          </w:p>
        </w:tc>
      </w:tr>
      <w:tr w:rsidR="006F26F8" w:rsidRPr="006F26F8" w14:paraId="37EE07F5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2B2E2F8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1091" w:type="pct"/>
            <w:noWrap/>
            <w:hideMark/>
          </w:tcPr>
          <w:p w14:paraId="25E26AB8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7A24E769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(2,0-4,0)</w:t>
            </w:r>
          </w:p>
        </w:tc>
        <w:tc>
          <w:tcPr>
            <w:tcW w:w="715" w:type="pct"/>
            <w:noWrap/>
          </w:tcPr>
          <w:p w14:paraId="74CEADCA" w14:textId="6EA78EC3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r w:rsidR="002E37C1">
              <w:rPr>
                <w:rFonts w:eastAsia="Times New Roman" w:cs="Times New Roman"/>
                <w:sz w:val="22"/>
                <w:lang w:eastAsia="pt-BR"/>
              </w:rPr>
              <w:t>065</w:t>
            </w:r>
          </w:p>
        </w:tc>
      </w:tr>
      <w:tr w:rsidR="006F26F8" w:rsidRPr="006F26F8" w14:paraId="01365780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B4194C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1091" w:type="pct"/>
            <w:noWrap/>
            <w:hideMark/>
          </w:tcPr>
          <w:p w14:paraId="353B438A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960" w:type="pct"/>
            <w:noWrap/>
            <w:hideMark/>
          </w:tcPr>
          <w:p w14:paraId="3D9AD12F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715" w:type="pct"/>
            <w:noWrap/>
          </w:tcPr>
          <w:p w14:paraId="7757DFEC" w14:textId="2D1CB3FF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</w:t>
            </w:r>
            <w:r w:rsidR="002E37C1">
              <w:rPr>
                <w:rFonts w:eastAsia="Times New Roman" w:cs="Times New Roman"/>
                <w:sz w:val="22"/>
                <w:lang w:eastAsia="pt-BR"/>
              </w:rPr>
              <w:t>99</w:t>
            </w:r>
          </w:p>
        </w:tc>
      </w:tr>
    </w:tbl>
    <w:p w14:paraId="2396C218" w14:textId="28CFAFE1" w:rsidR="0037374D" w:rsidRDefault="006F26F8" w:rsidP="00BF211C">
      <w:commentRangeStart w:id="4"/>
      <w:r w:rsidRPr="00E2033B">
        <w:t>*</w:t>
      </w:r>
      <w:r w:rsidR="002E37C1">
        <w:t xml:space="preserve"> Mann-Whitney</w:t>
      </w:r>
      <w:r w:rsidRPr="004B0632">
        <w:t xml:space="preserve"> </w:t>
      </w:r>
      <w:commentRangeEnd w:id="4"/>
      <w:r w:rsidR="00EA390A">
        <w:rPr>
          <w:rStyle w:val="Refdecomentrio"/>
        </w:rPr>
        <w:commentReference w:id="4"/>
      </w:r>
    </w:p>
    <w:p w14:paraId="74A72244" w14:textId="77777777" w:rsidR="00741F17" w:rsidRDefault="00741F17" w:rsidP="00BF211C"/>
    <w:p w14:paraId="77554A05" w14:textId="6F71D1A1" w:rsidR="00175C0C" w:rsidRDefault="00175C0C"/>
    <w:p w14:paraId="7C8410E9" w14:textId="7189AB8F" w:rsidR="00BF211C" w:rsidRDefault="00BF211C"/>
    <w:p w14:paraId="498782F6" w14:textId="77777777" w:rsidR="00BF211C" w:rsidRDefault="00BF211C"/>
    <w:sectPr w:rsidR="00BF2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a Giovana Basso" w:date="2023-11-14T14:39:00Z" w:initials="CGB">
    <w:p w14:paraId="13FD9623" w14:textId="77777777" w:rsidR="007A70E8" w:rsidRDefault="007A70E8" w:rsidP="00AA41B1">
      <w:pPr>
        <w:pStyle w:val="Textodecomentrio"/>
      </w:pPr>
      <w:r>
        <w:rPr>
          <w:rStyle w:val="Refdecomentrio"/>
        </w:rPr>
        <w:annotationRef/>
      </w:r>
      <w:r>
        <w:t>Não precisa incluir isso, já foi descrito nos métodos</w:t>
      </w:r>
    </w:p>
  </w:comment>
  <w:comment w:id="1" w:author="Carla Giovana Basso" w:date="2023-11-14T14:44:00Z" w:initials="CGB">
    <w:p w14:paraId="56FC43EE" w14:textId="77777777" w:rsidR="00FF3DA6" w:rsidRDefault="00FF3DA6" w:rsidP="00BD5212">
      <w:pPr>
        <w:pStyle w:val="Textodecomentrio"/>
      </w:pPr>
      <w:r>
        <w:rPr>
          <w:rStyle w:val="Refdecomentrio"/>
        </w:rPr>
        <w:annotationRef/>
      </w:r>
      <w:r>
        <w:t>Acho que essa descrição para os testes fica bem confusa - usaria um # ou algum outro jeito de descrever. Universalmente o * é indicativo de significativo - pode ficar confuso.</w:t>
      </w:r>
    </w:p>
  </w:comment>
  <w:comment w:id="2" w:author="Carla Giovana Basso" w:date="2023-11-14T14:44:00Z" w:initials="CGB">
    <w:p w14:paraId="665B1D53" w14:textId="77777777" w:rsidR="0090208D" w:rsidRDefault="0090208D" w:rsidP="00350A5F">
      <w:pPr>
        <w:pStyle w:val="Textodecomentrio"/>
      </w:pPr>
      <w:r>
        <w:rPr>
          <w:rStyle w:val="Refdecomentrio"/>
        </w:rPr>
        <w:annotationRef/>
      </w:r>
      <w:r>
        <w:t>Talvez posicionar o * na variavel e não no p-value</w:t>
      </w:r>
    </w:p>
  </w:comment>
  <w:comment w:id="3" w:author="Carla Giovana Basso" w:date="2023-11-14T14:41:00Z" w:initials="CGB">
    <w:p w14:paraId="6BA88CAB" w14:textId="77777777" w:rsidR="00ED2F2E" w:rsidRDefault="00AE6149" w:rsidP="00204161">
      <w:pPr>
        <w:pStyle w:val="Textodecomentrio"/>
      </w:pPr>
      <w:r>
        <w:rPr>
          <w:rStyle w:val="Refdecomentrio"/>
        </w:rPr>
        <w:annotationRef/>
      </w:r>
      <w:r w:rsidR="00ED2F2E">
        <w:t xml:space="preserve">Os resultados precisam ser descritos, e não só exposto o que consta em cada tabela. </w:t>
      </w:r>
    </w:p>
  </w:comment>
  <w:comment w:id="4" w:author="Winter Figueiredo" w:date="2023-11-15T20:57:00Z" w:initials="WF">
    <w:p w14:paraId="39C1C6CA" w14:textId="77777777" w:rsidR="00EA390A" w:rsidRDefault="00EA390A" w:rsidP="004844F0">
      <w:pPr>
        <w:pStyle w:val="Textodecomentrio"/>
      </w:pPr>
      <w:r>
        <w:rPr>
          <w:rStyle w:val="Refdecomentrio"/>
        </w:rPr>
        <w:annotationRef/>
      </w:r>
      <w:r>
        <w:t>Como não há necessidade de ajuste o teste mais adequado nesse caso é o de Mann-Whitney.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FD9623" w15:done="0"/>
  <w15:commentEx w15:paraId="56FC43EE" w15:done="0"/>
  <w15:commentEx w15:paraId="665B1D53" w15:paraIdParent="56FC43EE" w15:done="0"/>
  <w15:commentEx w15:paraId="6BA88CAB" w15:done="0"/>
  <w15:commentEx w15:paraId="39C1C6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1C9F779" w16cex:dateUtc="2023-11-14T17:39:00Z"/>
  <w16cex:commentExtensible w16cex:durableId="561EB529" w16cex:dateUtc="2023-11-14T17:44:00Z"/>
  <w16cex:commentExtensible w16cex:durableId="04A6E0EF" w16cex:dateUtc="2023-11-14T17:44:00Z"/>
  <w16cex:commentExtensible w16cex:durableId="1CD5CC31" w16cex:dateUtc="2023-11-14T17:41:00Z"/>
  <w16cex:commentExtensible w16cex:durableId="28FFAF1E" w16cex:dateUtc="2023-11-15T2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FD9623" w16cid:durableId="51C9F779"/>
  <w16cid:commentId w16cid:paraId="56FC43EE" w16cid:durableId="561EB529"/>
  <w16cid:commentId w16cid:paraId="665B1D53" w16cid:durableId="04A6E0EF"/>
  <w16cid:commentId w16cid:paraId="6BA88CAB" w16cid:durableId="1CD5CC31"/>
  <w16cid:commentId w16cid:paraId="39C1C6CA" w16cid:durableId="28FFA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a Giovana Basso">
    <w15:presenceInfo w15:providerId="Windows Live" w15:userId="edc9a00cbdb000c9"/>
  </w15:person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C"/>
    <w:rsid w:val="00083177"/>
    <w:rsid w:val="00130260"/>
    <w:rsid w:val="00147BBA"/>
    <w:rsid w:val="00175C0C"/>
    <w:rsid w:val="001C72FB"/>
    <w:rsid w:val="002310E4"/>
    <w:rsid w:val="00277290"/>
    <w:rsid w:val="002E37C1"/>
    <w:rsid w:val="00343882"/>
    <w:rsid w:val="0037374D"/>
    <w:rsid w:val="0038400B"/>
    <w:rsid w:val="003D3323"/>
    <w:rsid w:val="004106A0"/>
    <w:rsid w:val="004427E4"/>
    <w:rsid w:val="00455E19"/>
    <w:rsid w:val="0046192F"/>
    <w:rsid w:val="00490C10"/>
    <w:rsid w:val="004B0632"/>
    <w:rsid w:val="005242BA"/>
    <w:rsid w:val="005C75E2"/>
    <w:rsid w:val="006E490C"/>
    <w:rsid w:val="006F26F8"/>
    <w:rsid w:val="00710934"/>
    <w:rsid w:val="00741F17"/>
    <w:rsid w:val="007935C1"/>
    <w:rsid w:val="007A70E8"/>
    <w:rsid w:val="007C2170"/>
    <w:rsid w:val="008A5282"/>
    <w:rsid w:val="008E7DFA"/>
    <w:rsid w:val="0090208D"/>
    <w:rsid w:val="00AE6149"/>
    <w:rsid w:val="00B20769"/>
    <w:rsid w:val="00BF211C"/>
    <w:rsid w:val="00C549AA"/>
    <w:rsid w:val="00CF58F1"/>
    <w:rsid w:val="00D02F0C"/>
    <w:rsid w:val="00D7230D"/>
    <w:rsid w:val="00E2033B"/>
    <w:rsid w:val="00E412E2"/>
    <w:rsid w:val="00EA390A"/>
    <w:rsid w:val="00ED2F2E"/>
    <w:rsid w:val="00F17C9D"/>
    <w:rsid w:val="00F90D50"/>
    <w:rsid w:val="00FF3DA6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74B"/>
  <w15:chartTrackingRefBased/>
  <w15:docId w15:val="{6CD5D16E-A641-4ED2-B38E-991F897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F211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54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54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549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9AA"/>
    <w:rPr>
      <w:rFonts w:ascii="Times New Roman" w:hAnsi="Times New Roman"/>
      <w:b/>
      <w:bCs/>
      <w:sz w:val="20"/>
      <w:szCs w:val="20"/>
    </w:rPr>
  </w:style>
  <w:style w:type="paragraph" w:styleId="SemEspaamento">
    <w:name w:val="No Spacing"/>
    <w:uiPriority w:val="1"/>
    <w:qFormat/>
    <w:rsid w:val="008E7DFA"/>
    <w:pPr>
      <w:spacing w:after="0" w:line="240" w:lineRule="auto"/>
    </w:pPr>
    <w:rPr>
      <w:rFonts w:ascii="Times New Roman" w:hAnsi="Times New Roman"/>
      <w:sz w:val="24"/>
    </w:rPr>
  </w:style>
  <w:style w:type="paragraph" w:styleId="Reviso">
    <w:name w:val="Revision"/>
    <w:hidden/>
    <w:uiPriority w:val="99"/>
    <w:semiHidden/>
    <w:rsid w:val="00B2076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</cp:revision>
  <dcterms:created xsi:type="dcterms:W3CDTF">2023-11-16T15:13:00Z</dcterms:created>
  <dcterms:modified xsi:type="dcterms:W3CDTF">2023-11-16T15:13:00Z</dcterms:modified>
</cp:coreProperties>
</file>