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253E7" w14:textId="35B902D3" w:rsidR="00175C0C" w:rsidRPr="00542994" w:rsidRDefault="00203D2F" w:rsidP="002E268D">
      <w:r w:rsidRPr="00542994">
        <w:t>Fatores associados ao comportamento sexual de risco em estudantes universitários: um estudo transversal</w:t>
      </w:r>
    </w:p>
    <w:p w14:paraId="0C95047B" w14:textId="0FBE7949" w:rsidR="00203D2F" w:rsidRDefault="00203D2F" w:rsidP="002E268D"/>
    <w:p w14:paraId="193F8FDC" w14:textId="5BB84415" w:rsidR="001E3329" w:rsidRDefault="001E3329" w:rsidP="002E268D">
      <w:r>
        <w:t>Emídio, Paulo Dalgalarrondo</w:t>
      </w:r>
      <w:r w:rsidR="009C2B4E">
        <w:t>,</w:t>
      </w:r>
      <w:r w:rsidR="009C2B4E" w:rsidRPr="009C2B4E">
        <w:t xml:space="preserve"> </w:t>
      </w:r>
      <w:r w:rsidR="009C2B4E">
        <w:t>Amilton dos Santos Júnior</w:t>
      </w:r>
    </w:p>
    <w:p w14:paraId="576BF4E3" w14:textId="639E7D6F" w:rsidR="00A419E3" w:rsidRDefault="00A419E3" w:rsidP="002E268D"/>
    <w:p w14:paraId="523EE46A" w14:textId="5877BF8A" w:rsidR="00A419E3" w:rsidRDefault="00A419E3" w:rsidP="002E268D">
      <w:pPr>
        <w:pStyle w:val="Ttulo1"/>
      </w:pPr>
      <w:r>
        <w:t>INTRODUÇÃO</w:t>
      </w:r>
    </w:p>
    <w:p w14:paraId="0411F067" w14:textId="45131D76" w:rsidR="00604BDE" w:rsidRPr="00542994" w:rsidRDefault="00604BDE" w:rsidP="002E268D">
      <w:pPr>
        <w:pStyle w:val="CSR"/>
      </w:pPr>
      <w:r w:rsidRPr="00542994">
        <w:t>Comportamento sexual de risco, cuja definição varia na literatura</w:t>
      </w:r>
      <w:r w:rsidR="00542994">
        <w:t xml:space="preserve"> </w:t>
      </w:r>
      <w:r w:rsidR="00057782" w:rsidRPr="00542994">
        <w:fldChar w:fldCharType="begin"/>
      </w:r>
      <w:r w:rsidR="00057782" w:rsidRPr="00542994">
        <w:instrText xml:space="preserve"> ADDIN ZOTERO_ITEM CSL_CITATION {"citationID":"FJMQyT2q","properties":{"formattedCitation":"(GR\\uc0\\u196{}F; MARILIA ARNDT MESENBURG; FASSA, 2020)","plainCitation":"(GRÄF; MARILIA ARNDT MESENBURG; FASSA, 2020)","noteIndex":0},"citationItems":[{"id":2738,"uris":["http://zotero.org/users/10339151/items/NIWQJ7IZ"],"itemData":{"id":2738,"type":"article-journal","abstract":"RESUMO OBJETIVO Descrever o comportamento sexual de ingressantes universitarios de acordo com caracteristicas demograficas, economicas, psicossociais e comportamentais, e avaliar a prevalencia de comportamento sexual de risco e seus fatores associados. METODOS Estudo de delineamento transversal, do tipo censo, com universitarios maiores de 18 anos, de 80 cursos de graduacao da Universidade Federal de Pelotas […]","container-title":"Revista De Saude Publica","DOI":"10.11606/s1518-8787.2020054001709","note":"DOI: 10.11606/s1518-8787.2020054001709\nMAG ID: 3014599434\nPMCID: 7135094\nPMID: 32321057\nS2ID: 61ba8b80bd1595ae21205bb3c75aedfb447e486d","page":"41-41","title":"Risky sexual behavior and associated factors in undergraduate students in a city in Southern Brazil","volume":"54","author":[{"family":"Gräf","given":"Débora Dalmas"},{"literal":"Marilia Arndt Mesenburg"},{"family":"Fassa","given":"Anaclaudia Gastal"}],"issued":{"date-parts":[["2020",4,3]]}}}],"schema":"https://github.com/citation-style-language/schema/raw/master/csl-citation.json"} </w:instrText>
      </w:r>
      <w:r w:rsidR="00057782" w:rsidRPr="00542994">
        <w:fldChar w:fldCharType="separate"/>
      </w:r>
      <w:r w:rsidR="00057782" w:rsidRPr="00542994">
        <w:t>(GRÄF; MARILIA ARNDT MESENBURG; FASSA, 2020)</w:t>
      </w:r>
      <w:r w:rsidR="00057782" w:rsidRPr="00542994">
        <w:fldChar w:fldCharType="end"/>
      </w:r>
      <w:r w:rsidR="00542994">
        <w:t>,</w:t>
      </w:r>
      <w:r w:rsidR="00BC0B27" w:rsidRPr="00542994">
        <w:t xml:space="preserve"> </w:t>
      </w:r>
      <w:r w:rsidR="00542994">
        <w:t xml:space="preserve"> pode ser entendido </w:t>
      </w:r>
      <w:r w:rsidR="00BC0B27" w:rsidRPr="00542994">
        <w:t>como ausência de uso de preservativo nas relações sexuais,  ter mais de um(a) parceiro(a) sexual</w:t>
      </w:r>
      <w:r w:rsidR="00BC0B27" w:rsidRPr="00542994">
        <w:fldChar w:fldCharType="begin"/>
      </w:r>
      <w:r w:rsidR="00BC0B27" w:rsidRPr="00542994">
        <w:instrText xml:space="preserve"> ADDIN ZOTERO_ITEM CSL_CITATION {"citationID":"YFZ6Be1k","properties":{"formattedCitation":"(YUSI LIU et al., 2022)","plainCitation":"(YUSI LIU et al., 2022)","noteIndex":0},"citationItems":[{"id":2693,"uris":["http://zotero.org/users/10339151/items/ZWT25GUV"],"itemData":{"id":2693,"type":"article-journal","abstract":"HIV prevention, diagnosis, treatment and care services might be hampered by inaccurate risk assessment. This study aimed to investigate the extent of and factors associated with the discordance between perceived risk and actual risky sexual behaviors among undergraduates in mainland China, guided by the Anderson's behavioral model.This study involved a secondary analysis of cross-sectional data collected during the fall semester of 2018-2019 academic year. The present analysis was restricted to 8808 undergraduates with low risk perception. Those who had low perceived risk but actually engaged in risky sexual behaviors were categorized as risk discordance (RD). Univariate and multivariate Logistic regression analyses were conducted to identify factors associated with RD.Overall, the discordance rate between perceived and actual risk was 8.5% (95% CI: 7.9%-9.1%). Multivariate Logistic regression analysis indicated that non-heterosexual women (AOR = 0.41, 95% CI:0.27-0.60), heterosexual men (AOR = 0.45, 95% CI:0.33-0.61) and women (AOR = 0.26, 95% CI:0.19-0.35) were less likely to exhibit RD, when compared with non- heterosexual men. Furthermore, non-freshmen (AOR = 1.57, 95% CI:1.30-1.90), early initiators of sexual intercourse (AOR = 5.82, 95% CI:4.10-8.26), and those who had lower levels of HIV knowledge (AOR = 1.28, 95% CI:1.08-1.51), displayed higher levels of stigma against PLHIV (AOR = 1.50, 95% CI:1.26-1.77) and had ever been tested for HIV (AOR = 1.36, 95% CI:1.04-1.77) were more prone to reporting RD. Those with more enabling resources [i.e., displaying high levels of condom use self-efficacy (AOR = 0.70, 95% CI:0.59-0.84) and being knowledge of local testing center (AOR = 0.71, 95% CI:0.60-0.83)] were less likely to report RD. However, spending more than 2000 Yuan a month on basic needs (AOR = 2.55, 95% CI:2.07-3.14), residing in urban areas (AOR = 1.35, 95% CI:1.15-1.59) and being knowledgeable of the national AIDS policy (AOR = 1.40,95% CI:1.18-1.66) increased the chance of exhibiting RD.Comprehensive interventions, including targeting students with high-risk characteristics, improving the acceptability of PrEP and PEP, conducting health education, enhancing self-efficacy for using condoms and making opt-out HIV testing routine in college campus, should be taken to reduce the discordance between perceived and actual HIV risk and finally to reach the goal of Zero AIDS.","container-title":"BMC Public Health","DOI":"10.1186/s12889-022-13132-w","issue":"1","note":"DOI: 10.1186/s12889-022-13132-w\nMAG ID: 4223510141\nPMCID: 9006618\nPMID: 35413860\nS2ID: f95122a699a652d809c4f9c910ce03d77a4c9e25","title":"Discordance between perceived risk and actual risky sexual behaviors among undergraduate university students in mainland China: a cross-sectional study","volume":"22","author":[{"literal":"Yusi Liu"},{"literal":"Guochen Fu"},{"literal":"Yifan Chen"},{"literal":"Lei Wu"},{"literal":"Mingliang Pan"},{"literal":"Yuli Yang"},{"literal":"Zhuo Chen"},{"literal":"Yu Cao"},{"literal":"Yong Li"},{"literal":"Hao Wang"},{"literal":"Bixiang Wang"},{"literal":"Chengcheng Lv"},{"literal":"Ruyi Du"},{"literal":"Yanting Xiong"},{"literal":"Wei Liu"},{"literal":"Nuo Xu"},{"literal":"Xiaobao Xia"},{"literal":"Qianqian Li"},{"literal":"Fang Ruan"},{"literal":"Junfang Wang"}],"issued":{"date-parts":[["2022",4,12]]}}}],"schema":"https://github.com/citation-style-language/schema/raw/master/csl-citation.json"} </w:instrText>
      </w:r>
      <w:r w:rsidR="00BC0B27" w:rsidRPr="00542994">
        <w:fldChar w:fldCharType="separate"/>
      </w:r>
      <w:r w:rsidR="00BC0B27" w:rsidRPr="00542994">
        <w:t>(YUSI LIU et al., 2022)</w:t>
      </w:r>
      <w:r w:rsidR="00BC0B27" w:rsidRPr="00542994">
        <w:fldChar w:fldCharType="end"/>
      </w:r>
      <w:r w:rsidRPr="00542994">
        <w:t>, é um dos principais fatores que influenciam a incidência de desfechos negativos a saúde como a</w:t>
      </w:r>
      <w:r w:rsidR="00AB6461" w:rsidRPr="00542994">
        <w:t xml:space="preserve">s infecções sexualmente transmissíveis, como </w:t>
      </w:r>
      <w:r w:rsidR="00A749C7" w:rsidRPr="00542994">
        <w:t>HPV</w:t>
      </w:r>
      <w:r w:rsidR="00AB6461" w:rsidRPr="00542994">
        <w:t xml:space="preserve"> e HIV/AIDS</w:t>
      </w:r>
      <w:r w:rsidR="00E65A0C" w:rsidRPr="00542994">
        <w:fldChar w:fldCharType="begin"/>
      </w:r>
      <w:r w:rsidR="00E65A0C" w:rsidRPr="00542994">
        <w:instrText xml:space="preserve"> ADDIN ZOTERO_ITEM CSL_CITATION {"citationID":"soD3demy","properties":{"formattedCitation":"(SAWYER; SMITH; BENOTSCH, 2018)","plainCitation":"(SAWYER; SMITH; BENOTSCH, 2018)","noteIndex":0},"citationItems":[{"id":2684,"uris":["http://zotero.org/users/10339151/items/SJKGVW4M"],"itemData":{"id":2684,"type":"article-journal","abstract":"Cell phone-based dating applications (apps) are increasingly popular in the USA. However, there is a paucity of research regarding dating app use among young heterosexual adults. This study examined the prevalence of dating application use and its connections with sexual behavior among young heterosexual adults. Five hundred nine heterosexual cisgender undergraduate students aged 18–25 completed an online survey assessing trait impulsivity, dating app use and motivations for using dating apps, sexual behavior, and demographics. 39.5% of the participants reported using dating apps. Individuals who used dating apps had higher rates of sexual risk behaviors in the past 3 months, including sex after using drugs or alcohol, and unprotected sex (anal or vaginal), and more lifetime sexual partners. When controlling for demographics and impulsivity, individuals who used dating applications were twice as likely to have had unprotected sex in the past 3 months, but were not significantly more likely to have had multiple partners within the past 3 months. In an exploratory analysis controlling for demographics and impulsivity, dating app use predicted the number of lifetime sexual partners. This study documented an association between dating app use and sexual risk behaviors among young heterosexual adults. Results suggest potential targets for intervention, including interventions that address sexual health information, and the dissemination of sexual health information through dating apps themselves.","container-title":"Sexuality Research and Social Policy","DOI":"10.1007/s13178-017-0297-6","issue":"2","note":"DOI: 10.1007/s13178-017-0297-6\nMAG ID: 2753534358\nS2ID: 7cfd8227e6169a1da0001d9190d0b56a98228ca4","page":"183-191","title":"Dating Application Use and Sexual Risk Behavior Among Young Adults","volume":"15","author":[{"family":"Sawyer","given":"Ashlee N."},{"family":"Smith","given":"Erin R."},{"family":"Benotsch","given":"Eric G."}],"issued":{"date-parts":[["2018",6,1]]}}}],"schema":"https://github.com/citation-style-language/schema/raw/master/csl-citation.json"} </w:instrText>
      </w:r>
      <w:r w:rsidR="00E65A0C" w:rsidRPr="00542994">
        <w:fldChar w:fldCharType="separate"/>
      </w:r>
      <w:r w:rsidR="00E65A0C" w:rsidRPr="00542994">
        <w:t>(SAWYER; SMITH; BENOTSCH, 2018)</w:t>
      </w:r>
      <w:r w:rsidR="00E65A0C" w:rsidRPr="00542994">
        <w:fldChar w:fldCharType="end"/>
      </w:r>
      <w:r w:rsidR="00057782" w:rsidRPr="00542994">
        <w:t>,</w:t>
      </w:r>
      <w:r w:rsidR="002E268D">
        <w:t xml:space="preserve"> </w:t>
      </w:r>
      <w:r w:rsidR="00B92DFE">
        <w:t>considerado como uma das principais causas das cargas de doenças no mundo</w:t>
      </w:r>
      <w:r w:rsidR="00B92DFE">
        <w:fldChar w:fldCharType="begin"/>
      </w:r>
      <w:r w:rsidR="00B92DFE">
        <w:instrText xml:space="preserve"> ADDIN ZOTERO_ITEM CSL_CITATION {"citationID":"WA7rFYjw","properties":{"formattedCitation":"(MIRZAEI et al., 2016)","plainCitation":"(MIRZAEI et al., 2016)","noteIndex":0},"citationItems":[{"id":2762,"uris":["http://zotero.org/users/10339151/items/J2BDHZ7X"],"itemData":{"id":2762,"type":"article-journal","abstract":"Background: Sexual behavior is a complex activity affecting all aspects of human’s life. Risky sexual behaviors impose negative outcomes on family, relationships and health. Unsafe sex is the second most leading cause of disability adjusted life years worldwide. Valid and reliable tools for assessment of risky sexual behaviors are necessary for implementing preventive measures. \nMethods: we searched Medline and the Cochrane Library of Systematic Reviews, with the keywords of “risky sexual behavior assessment”, “sexual risk assessment”, “high risk sexual behavior”, “sexual risk taking”. By reviewing references of the articles, some complementary studies were added. Results:  Assessment can be performed by questionnaire or non-questionnaire instruments. Questionnaires vary depending on their target population, evaluation of risky sexual behavior as a whole or focusing on an associated risk factor. In order to avoid usual biases in self reports, objective biomarker assessment of unprotected sex are employed. These markers include prostate specific antigen, chromosome Y DNA and Seminogelin. Conclusion: Risky sexual behavior can be assessed by various subjective and objective methods. While self-reports are more feasible, objective methods offer a higher degree of reliability. Further studies for finding more feasible methods of using biomarkers are recommended.","container-title":"Materia socio-medica","DOI":"10.5455/msm.2016.28.46-50","issue":"1","note":"DOI: 10.5455/msm.2016.28.46-50\nMAG ID: 2266865676\nPMCID: 4789722\nPMID: 27047267\nS2ID: 4a23d826e16c92a219ad800602a459ce408debd1","page":"46-50","title":"INSTRUMENTS OF HIGH RISK SEXUAL BEHAVIOR ASSESSMENT: A SYSTEMATIC REVIEW.","volume":"28","author":[{"family":"Mirzaei","given":"Mojtaba"},{"family":"Ahmadi","given":"Khodabakhsh"},{"family":"Saadat","given":"Seyed Hassan"},{"literal":"Seyed-Hassan Saadat"},{"family":"Ramezani","given":"Mohammad"},{"literal":"Mohammad Arash Ramezani"}],"issued":{"date-parts":[["2016",1,30]]}}}],"schema":"https://github.com/citation-style-language/schema/raw/master/csl-citation.json"} </w:instrText>
      </w:r>
      <w:r w:rsidR="00B92DFE">
        <w:fldChar w:fldCharType="separate"/>
      </w:r>
      <w:r w:rsidR="00B92DFE" w:rsidRPr="00B92DFE">
        <w:t>(MIRZAEI et al., 2016)</w:t>
      </w:r>
      <w:r w:rsidR="00B92DFE">
        <w:fldChar w:fldCharType="end"/>
      </w:r>
      <w:r w:rsidR="00B92DFE">
        <w:t xml:space="preserve"> e tem alta prevalência</w:t>
      </w:r>
      <w:r w:rsidR="00057782" w:rsidRPr="00542994">
        <w:t xml:space="preserve"> em estudantes universitários</w:t>
      </w:r>
      <w:r w:rsidR="00F411BE">
        <w:t xml:space="preserve"> brasileiros</w:t>
      </w:r>
      <w:r w:rsidR="00057782" w:rsidRPr="00542994">
        <w:t xml:space="preserve"> por causa do estilo de vida que levam</w:t>
      </w:r>
      <w:r w:rsidR="00B92DFE">
        <w:fldChar w:fldCharType="begin"/>
      </w:r>
      <w:r w:rsidR="00F411BE">
        <w:instrText xml:space="preserve"> ADDIN ZOTERO_ITEM CSL_CITATION {"citationID":"VzAEXcj8","properties":{"formattedCitation":"(NETTO et al., 2013)","plainCitation":"(NETTO et al., 2013)","noteIndex":0},"citationItems":[{"id":2766,"uris":["http://zotero.org/users/10339151/items/Z84F9ZRW"],"itemData":{"id":2766,"type":"article-journal","abstract":"Background\nEpidemiological studies show that most of the adult population will be exposed to at least one potentially traumatic event in the course of his/her life; adolescence and early adulthood are the most vulnerable periods of life for exposure to traumatic experiences (70% of their deaths are due to external causes). Posttraumatic Stress Disorder is characterized by the development of dysfunctional symptoms that cause distress or social, academic, or occupational impairment, as result of exposure to a traumatic event. The aim of this multicentric study is to establish the proportion of college students, within seven institutions in Northeastern Brazil, who were exposed to traumatic experience and met PTSD criteria.","container-title":"PLOS ONE","DOI":"10.1371/journal.pone.0078677","issue":"11","note":"DOI: 10.1371/journal.pone.0078677\nMAG ID: 2088546571\nPMCID: 3827274\nPMID: 24236033\nS2ID: 05e85721d926ec3fd829f3a484dc377b90fdc9a8","title":"Clinical and Socio-Demographic Characteristics of College Students Exposed to Traumatic Experiences: A Census of Seven College Institutions in Northeastern Brazil","volume":"8","author":[{"family":"Netto","given":"Liana R."},{"family":"Cavalcanti-Ribeiro","given":"Patrícia"},{"family":"Pereira","given":"Juliana L."},{"family":"Nogueira","given":"José F."},{"family":"Santos","given":"Lene L."},{"family":"Lira","given":"Sidnei B."},{"family":"Guedes","given":"Gisela M."},{"family":"Souza Teles Santos","given":"Carlos Antonio","non-dropping-particle":"de"},{"family":"Souza Teles","given":"Carlos Antônio","non-dropping-particle":"de"},{"family":"Koenen","given":"Karestan C."},{"family":"Quarantini","given":"Lucas C."}],"issued":{"date-parts":[["2013",11,13]]}}}],"schema":"https://github.com/citation-style-language/schema/raw/master/csl-citation.json"} </w:instrText>
      </w:r>
      <w:r w:rsidR="00B92DFE">
        <w:fldChar w:fldCharType="separate"/>
      </w:r>
      <w:r w:rsidR="00F411BE" w:rsidRPr="00F411BE">
        <w:t>(NETTO et al., 2013)</w:t>
      </w:r>
      <w:r w:rsidR="00B92DFE">
        <w:fldChar w:fldCharType="end"/>
      </w:r>
      <w:r w:rsidR="00AB6461" w:rsidRPr="00542994">
        <w:t>.</w:t>
      </w:r>
    </w:p>
    <w:p w14:paraId="7205B4F4" w14:textId="4B3A1257" w:rsidR="00AB6461" w:rsidRPr="00542994" w:rsidRDefault="00E65A0C" w:rsidP="002E268D">
      <w:pPr>
        <w:pStyle w:val="UNIVERSITRIOS"/>
      </w:pPr>
      <w:r w:rsidRPr="00542994">
        <w:t xml:space="preserve">Há diferentes formas de se adotar um comportamento sexual de risco, que </w:t>
      </w:r>
      <w:r w:rsidR="00BC0B27" w:rsidRPr="00542994">
        <w:t>p</w:t>
      </w:r>
      <w:r w:rsidRPr="00542994">
        <w:t xml:space="preserve">assam pelo aspecto ambiental, pela escolha dos próprios indivíduos e principalmente pelo </w:t>
      </w:r>
      <w:r w:rsidR="00BC0B27" w:rsidRPr="00542994">
        <w:t>hábito</w:t>
      </w:r>
      <w:r w:rsidRPr="00542994">
        <w:t xml:space="preserve"> de não utilizar preservativos</w:t>
      </w:r>
      <w:r w:rsidR="00BC0B27" w:rsidRPr="00542994">
        <w:t xml:space="preserve"> </w:t>
      </w:r>
      <w:r w:rsidRPr="00542994">
        <w:fldChar w:fldCharType="begin"/>
      </w:r>
      <w:r w:rsidRPr="00542994">
        <w:instrText xml:space="preserve"> ADDIN ZOTERO_ITEM CSL_CITATION {"citationID":"hmUAEKSh","properties":{"formattedCitation":"(MARCANTONIO et al., 2016)","plainCitation":"(MARCANTONIO et al., 2016)","noteIndex":0},"citationItems":[{"id":2745,"uris":["http://zotero.org/users/10339151/items/VQSTM74G"],"itemData":{"id":2745,"type":"article-journal","abstract":"ABSTRACTObjectives: The purpose of this study was to examine the impact of several potential factors related to sexually risky behaviors in study abroad students. The authors utilized a pattern-centered analysis to identify specific groups that can be targeted for intervention. Participants: The sample consisted of 173 students who studied abroad in a variety of international locations for an average of 4months. Methods: Participants completed questionnaires informed by the Triandis Theory of Interpersonal Behavior that have been predictive of risky sex in traditional traveling environments. Results: The analyses revealed 3 different pathways for risky sexual behavior: Environmental involvement, historical condom use, and intentions to engage in risky sex. Conclusion: These findings can be used for identification of specific high-risk groups of students who can be targeted for predeparture prevention programs.","container-title":"Journal of American College Health","DOI":"10.1080/07448481.2015.1085058","issue":"3","note":"DOI: 10.1080/07448481.2015.1085058\nMAG ID: 2297276106\nPMID: 26629983\nS2ID: b6a1171c7cd2acca53397828382c1571bb77e488","page":"165-173","title":"Using a pattern-centered approach to assess sexual risk-taking in study abroad students","volume":"64","author":[{"family":"Marcantonio","given":"Tiffany L."},{"literal":"Tiffany Marcantonio"},{"family":"Angelone","given":"D. J."},{"family":"Sledjeski","given":"Eve M."}],"issued":{"date-parts":[["2016",3,15]]}}}],"schema":"https://github.com/citation-style-language/schema/raw/master/csl-citation.json"} </w:instrText>
      </w:r>
      <w:r w:rsidRPr="00542994">
        <w:fldChar w:fldCharType="separate"/>
      </w:r>
      <w:r w:rsidRPr="00542994">
        <w:t>(MARCANTONIO et al., 2016)</w:t>
      </w:r>
      <w:r w:rsidRPr="00542994">
        <w:fldChar w:fldCharType="end"/>
      </w:r>
      <w:r w:rsidRPr="00542994">
        <w:t xml:space="preserve">. </w:t>
      </w:r>
      <w:r w:rsidR="00AB6461" w:rsidRPr="00542994">
        <w:t>Em estudantes universitários, apesar do conhecimento que pressupõe que tenham, o comportamento sexual de risco é influenciado por várias situações ambientais relacionadas ao estilo de vida durante essa fase, que incluem risco de uso de álcool e drogas</w:t>
      </w:r>
      <w:r w:rsidRPr="00542994">
        <w:fldChar w:fldCharType="begin"/>
      </w:r>
      <w:r w:rsidRPr="00542994">
        <w:instrText xml:space="preserve"> ADDIN ZOTERO_ITEM CSL_CITATION {"citationID":"loF5LPXb","properties":{"formattedCitation":"(MARIA SANTAGUIDA et al., 2022)","plainCitation":"(MARIA SANTAGUIDA et al., 2022)","noteIndex":0},"citationItems":[{"id":2710,"uris":["http://zotero.org/users/10339151/items/69ECCDPI"],"itemData":{"id":2710,"type":"article-journal","DOI":"10.1007/978-3-319-59531-3_108-1","note":"DOI: 10.1007/978-3-319-59531-3_108-1\nMAG ID: 4212848308","page":"1-10","title":"Alcohol Myopia and High-Risk Sexual Behavior Among College Students","author":[{"literal":"Maria Santaguida"},{"literal":"Simon Dubé"},{"literal":"Madison Williams"},{"literal":"Catherine Eidus"},{"literal":"David Vachon"},{"literal":"Aaron Johnson"}],"issued":{"date-parts":[["2022",1,1]]}}}],"schema":"https://github.com/citation-style-language/schema/raw/master/csl-citation.json"} </w:instrText>
      </w:r>
      <w:r w:rsidRPr="00542994">
        <w:fldChar w:fldCharType="separate"/>
      </w:r>
      <w:r w:rsidRPr="00542994">
        <w:t>(MARIA SANTAGUIDA et al., 2022)</w:t>
      </w:r>
      <w:r w:rsidRPr="00542994">
        <w:fldChar w:fldCharType="end"/>
      </w:r>
      <w:r w:rsidR="00BC0B27" w:rsidRPr="00542994">
        <w:t>,e as mudanças que ocorrem quando ingressam na vida acadêmica</w:t>
      </w:r>
      <w:r w:rsidR="00542994" w:rsidRPr="00542994">
        <w:t>.</w:t>
      </w:r>
    </w:p>
    <w:p w14:paraId="351B2F54" w14:textId="10E2ED4C" w:rsidR="00AB6461" w:rsidRDefault="00E65A0C" w:rsidP="002E268D">
      <w:pPr>
        <w:pStyle w:val="link"/>
      </w:pPr>
      <w:r w:rsidRPr="00542994">
        <w:t>A relação entre uso de álcool e CSR já estudada e bem esclarecida na literatura, explicada pelos comportamentos que as pessoas apresentam após uso indiscriminado de álcool</w:t>
      </w:r>
      <w:r w:rsidRPr="00542994">
        <w:fldChar w:fldCharType="begin"/>
      </w:r>
      <w:r w:rsidRPr="00542994">
        <w:instrText xml:space="preserve"> ADDIN ZOTERO_ITEM CSL_CITATION {"citationID":"rwYOJ7hS","properties":{"formattedCitation":"(COOPER, 2002)","plainCitation":"(COOPER, 2002)","noteIndex":0},"citationItems":[{"id":2709,"uris":["http://zotero.org/users/10339151/items/2RTNWJ6E"],"itemData":{"id":2709,"type":"article-journal","abstract":"Objective: To evaluate the empirical associations between alcohol use and risky sex at two levels of analysis. Global associations test whether individuals who engage in one behavior are more likely to engage in the other, whereas event-specific associations test whether the likelihood of engaging in one behavior on a given occasion varies as a function of engaging in the other on that same occasion. Methods: Studies examining the association between drinking and risky sex in samples of college students and youth were reviewed. Those published in the past 10 years and using event-level methodology or random sampling were emphasized. Results: Findings were generally consistent across levels of analysis, but differed across types of risky behaviors. Drinking was strongly related to the decision to have sex and to indiscriminate forms of risky sex (e.g., having multiple or casual sex partners), but was inconsistently related to protective behaviors (e.g., condom use). Moreover, the links among alcohol use, t...","container-title":"Journal of Studies on Alcohol and Drugs","DOI":"10.15288/jsas.2002.s14.101","issue":"14","note":"DOI: 10.15288/jsas.2002.s14.101\nMAG ID: 2102474944\nPMID: 12022716\nS2ID: 43bfbbd30109f4594e50b159415a2cbb1022bd94","page":"101-117","title":"Alcohol use and risky sexual behavior among college students and youth: Evaluating the evidence","author":[{"family":"Cooper","given":"M. Lynne"}],"issued":{"date-parts":[["2002",3,1]]}}}],"schema":"https://github.com/citation-style-language/schema/raw/master/csl-citation.json"} </w:instrText>
      </w:r>
      <w:r w:rsidRPr="00542994">
        <w:fldChar w:fldCharType="separate"/>
      </w:r>
      <w:r w:rsidRPr="00542994">
        <w:rPr>
          <w:rFonts w:cs="Times New Roman"/>
        </w:rPr>
        <w:t>(COOPER, 2002)</w:t>
      </w:r>
      <w:r w:rsidRPr="00542994">
        <w:fldChar w:fldCharType="end"/>
      </w:r>
      <w:r w:rsidR="00BC0B27" w:rsidRPr="00542994">
        <w:t xml:space="preserve"> e teorias falam sobre miopia relacionada ao álcool que leva a uma intoxicação que os faz direcionar a atenção para os aspectos mais salientes da vida, induzindo ao comportamento sexual de risco</w:t>
      </w:r>
      <w:r w:rsidR="00542994" w:rsidRPr="00542994">
        <w:fldChar w:fldCharType="begin"/>
      </w:r>
      <w:r w:rsidR="00542994" w:rsidRPr="00542994">
        <w:instrText xml:space="preserve"> ADDIN ZOTERO_ITEM CSL_CITATION {"citationID":"HtxL42kb","properties":{"formattedCitation":"(MARIA SANTAGUIDA et al., 2022)","plainCitation":"(MARIA SANTAGUIDA et al., 2022)","noteIndex":0},"citationItems":[{"id":2710,"uris":["http://zotero.org/users/10339151/items/69ECCDPI"],"itemData":{"id":2710,"type":"article-journal","DOI":"10.1007/978-3-319-59531-3_108-1","note":"DOI: 10.1007/978-3-319-59531-3_108-1\nMAG ID: 4212848308","page":"1-10","title":"Alcohol Myopia and High-Risk Sexual Behavior Among College Students","author":[{"literal":"Maria Santaguida"},{"literal":"Simon Dubé"},{"literal":"Madison Williams"},{"literal":"Catherine Eidus"},{"literal":"David Vachon"},{"literal":"Aaron Johnson"}],"issued":{"date-parts":[["2022",1,1]]}}}],"schema":"https://github.com/citation-style-language/schema/raw/master/csl-citation.json"} </w:instrText>
      </w:r>
      <w:r w:rsidR="00542994" w:rsidRPr="00542994">
        <w:fldChar w:fldCharType="separate"/>
      </w:r>
      <w:r w:rsidR="00542994" w:rsidRPr="00542994">
        <w:rPr>
          <w:rFonts w:cs="Times New Roman"/>
        </w:rPr>
        <w:t>(MARIA SANTAGUIDA et al., 2022)</w:t>
      </w:r>
      <w:r w:rsidR="00542994" w:rsidRPr="00542994">
        <w:fldChar w:fldCharType="end"/>
      </w:r>
      <w:r w:rsidR="00BC0B27" w:rsidRPr="00542994">
        <w:t xml:space="preserve">. </w:t>
      </w:r>
      <w:r w:rsidR="00542994" w:rsidRPr="00542994">
        <w:t>Esse é um importante</w:t>
      </w:r>
      <w:r w:rsidR="00AB6461" w:rsidRPr="00542994">
        <w:t xml:space="preserve"> desafio</w:t>
      </w:r>
      <w:r w:rsidR="00542994" w:rsidRPr="00542994">
        <w:t xml:space="preserve"> à</w:t>
      </w:r>
      <w:r w:rsidR="00AB6461">
        <w:t xml:space="preserve"> saúde pública no que diz respeito a prevenção das infecções sexualmente transmissíveis, que se dá por políticas de enfrentamento ao CSR que devem incluir educação e saúde e outras ações que incentivem a não adoção desse comportamento ao estilo de vida. </w:t>
      </w:r>
    </w:p>
    <w:p w14:paraId="6CB63301" w14:textId="75A1F770" w:rsidR="00542994" w:rsidRDefault="00542994" w:rsidP="002E268D">
      <w:r>
        <w:lastRenderedPageBreak/>
        <w:t>Entretanto, para maior efetividade das políticas públicas é necessário conhecer que são esses universitários, onde vivem e o que pensam e sofrem em relação ao comportamento sexual de risco</w:t>
      </w:r>
      <w:r w:rsidR="00F4776E">
        <w:t>, sendo essa uma lacuna que precisa ser preenchida</w:t>
      </w:r>
      <w:r>
        <w:t>. Para isso, o objetivo do presente estudo é descrever a taxa de comportamento sexual de risco e descrever o perfil dessa população, em uma amostra representativa de universitários da Universidade de Campinas.</w:t>
      </w:r>
    </w:p>
    <w:p w14:paraId="7EB3B5AE" w14:textId="253B58BA" w:rsidR="00203D2F" w:rsidRDefault="00203D2F" w:rsidP="002E268D">
      <w:pPr>
        <w:pStyle w:val="Ttulo1"/>
      </w:pPr>
      <w:r>
        <w:t>Método</w:t>
      </w:r>
    </w:p>
    <w:p w14:paraId="69837E6C" w14:textId="77777777" w:rsidR="00E674DD" w:rsidRDefault="00E674DD" w:rsidP="002E268D"/>
    <w:p w14:paraId="28918029" w14:textId="59E78B5E" w:rsidR="00B92DFE" w:rsidRDefault="00B92DFE" w:rsidP="00B92DFE">
      <w:pPr>
        <w:pStyle w:val="Corpodetexto"/>
      </w:pPr>
      <w:r>
        <w:t>Esse é um estudo descritivo com dados extraídos de um estudo transversal realizado na universidade de Campinas, Sudeste do Brasil, sob aprovação do c</w:t>
      </w:r>
      <w:r w:rsidR="00E674DD">
        <w:t>omitê de ética número 1.903.287 (CAAE 62765316.6.0000.5404)</w:t>
      </w:r>
      <w:r>
        <w:t>.</w:t>
      </w:r>
    </w:p>
    <w:p w14:paraId="22DA73CA" w14:textId="5F2A3D16" w:rsidR="00B92DFE" w:rsidRDefault="00B92DFE" w:rsidP="00B92DFE">
      <w:pPr>
        <w:pStyle w:val="Corpodetexto"/>
      </w:pPr>
      <w:r>
        <w:t>Foram triados todos os estudantes matriculados em cursos de graduação na referida universidade, cuja participação se deu pela resposta a questionários validados que mensuravam a forma como esses estudantes viviam e os fatores que levavam ao processo saúde doença.</w:t>
      </w:r>
    </w:p>
    <w:p w14:paraId="56833479" w14:textId="4FC2130F" w:rsidR="00B92DFE" w:rsidRDefault="00B92DFE" w:rsidP="00B92DFE">
      <w:pPr>
        <w:pStyle w:val="Corpodetexto"/>
      </w:pPr>
      <w:r>
        <w:t>A amostra foi selecionada por meio do contato com os coordenadores de curso, sendo excluídos os alunos do primeiro ano e do último.</w:t>
      </w:r>
    </w:p>
    <w:p w14:paraId="7C72A24D" w14:textId="4E596F44" w:rsidR="002E268D" w:rsidRPr="002E268D" w:rsidRDefault="00B92DFE" w:rsidP="002E268D">
      <w:r>
        <w:t xml:space="preserve">Após ampla busca na literatura foi possível entender que </w:t>
      </w:r>
      <w:r>
        <w:t>há v</w:t>
      </w:r>
      <w:r w:rsidR="002E268D" w:rsidRPr="002E268D">
        <w:t>árias definições sobre CSR são encontrados na literatura. Graf em 2020 classificou o CRS pela presença de vários parceiros sexuais combinado com</w:t>
      </w:r>
      <w:r w:rsidR="002E268D" w:rsidRPr="002E268D">
        <w:t xml:space="preserve"> a </w:t>
      </w:r>
      <w:r w:rsidR="002E268D" w:rsidRPr="002E268D">
        <w:t>não utiliza</w:t>
      </w:r>
      <w:r w:rsidR="002E268D" w:rsidRPr="002E268D">
        <w:t>ção de</w:t>
      </w:r>
      <w:r w:rsidR="002E268D" w:rsidRPr="002E268D">
        <w:t xml:space="preserve"> preservativos</w:t>
      </w:r>
      <w:r w:rsidR="002E268D" w:rsidRPr="002E268D">
        <w:t xml:space="preserve"> </w:t>
      </w:r>
      <w:r w:rsidR="002E268D" w:rsidRPr="002E268D">
        <w:fldChar w:fldCharType="begin"/>
      </w:r>
      <w:r w:rsidR="002E268D" w:rsidRPr="002E268D">
        <w:instrText xml:space="preserve"> ADDIN ZOTERO_ITEM CSL_CITATION {"citationID":"hzQt9V5E","properties":{"formattedCitation":"(GR\\uc0\\u196{}F; MARILIA ARNDT MESENBURG; FASSA, 2020)","plainCitation":"(GRÄF; MARILIA ARNDT MESENBURG; FASSA, 2020)","noteIndex":0},"citationItems":[{"id":2738,"uris":["http://zotero.org/users/10339151/items/NIWQJ7IZ"],"itemData":{"id":2738,"type":"article-journal","abstract":"RESUMO OBJETIVO Descrever o comportamento sexual de ingressantes universitarios de acordo com caracteristicas demograficas, economicas, psicossociais e comportamentais, e avaliar a prevalencia de comportamento sexual de risco e seus fatores associados. METODOS Estudo de delineamento transversal, do tipo censo, com universitarios maiores de 18 anos, de 80 cursos de graduacao da Universidade Federal de Pelotas […]","container-title":"Revista De Saude Publica","DOI":"10.11606/s1518-8787.2020054001709","note":"DOI: 10.11606/s1518-8787.2020054001709\nMAG ID: 3014599434\nPMCID: 7135094\nPMID: 32321057\nS2ID: 61ba8b80bd1595ae21205bb3c75aedfb447e486d","page":"41-41","title":"Risky sexual behavior and associated factors in undergraduate students in a city in Southern Brazil","volume":"54","author":[{"family":"Gräf","given":"Débora Dalmas"},{"literal":"Marilia Arndt Mesenburg"},{"family":"Fassa","given":"Anaclaudia Gastal"}],"issued":{"date-parts":[["2020",4,3]]}}}],"schema":"https://github.com/citation-style-language/schema/raw/master/csl-citation.json"} </w:instrText>
      </w:r>
      <w:r w:rsidR="002E268D" w:rsidRPr="002E268D">
        <w:fldChar w:fldCharType="separate"/>
      </w:r>
      <w:r w:rsidR="002E268D" w:rsidRPr="002E268D">
        <w:t>(GRÄF; MARILIA ARNDT MESENBURG; FASSA, 2020)</w:t>
      </w:r>
      <w:r w:rsidR="002E268D" w:rsidRPr="002E268D">
        <w:fldChar w:fldCharType="end"/>
      </w:r>
      <w:r w:rsidR="002E268D" w:rsidRPr="002E268D">
        <w:t>, enquanto Sales et al</w:t>
      </w:r>
      <w:r w:rsidR="002E268D" w:rsidRPr="002E268D">
        <w:fldChar w:fldCharType="begin"/>
      </w:r>
      <w:r w:rsidR="002E268D" w:rsidRPr="002E268D">
        <w:instrText xml:space="preserve"> ADDIN ZOTERO_ITEM CSL_CITATION {"citationID":"wFIANgqc","properties":{"formattedCitation":"(SALES et al., 2016)","plainCitation":"(SALES et al., 2016)","noteIndex":0},"citationItems":[{"id":2716,"uris":["http://zotero.org/users/10339151/items/B8HDEVRV"],"itemData":{"id":2716,"type":"article-journal","abstract":"da área da saúde. Utilizou-se um questionário com questões sobre aspetos demográficos, conduta sexual e conhecimento sobre IST/ SIDA. Adotou-se como comportamento de risco 2 ou mais comportamentos sexuais: não utilização de preservativos, mais de 10 parceiros sexuais, manter relações sob efeito de álcool/drogas e ( DE ± 6,7), el 52 % tenía un comportamiento de riesgo y un conocimiento insuficiente sobre las ITS. Conclusión: El 52 % de los participantes tiene comportamientos sexuales de riesgo, un hecho que requiere que se desarrolle una labor preventiva con esta población a través de actividades educativas dirigidas a concienciar y reducir los riesgos de ITS. Backgr ound: Risky sexual behaviors are associated with the number of sexual partners, and non-use of condom, among other factors. Objective: To identify the profile of health students attending a higher education institution, according to demographic and sexual characteristics. Methods: This is a prospective, cross-sectional and descriptive study with a quantitative approach using a sample of 819 university health students. We used a questionnaire in order to obtain information on the students’ demographic characteristics, sexual behaviors and knowledge of STIs/AIDS. We defined risky behavior as the adoption of 2 or more of the following sexual behaviors: non-use of condom, more than 10 sexual partners, sexual intercourse under the influence of alcohol/drugs, and sexual intercourse with little or recently known person. Results: The sample was composed of 77.41% (634) of women and 22.59% (185) of men, with a mean age of 24.4 years (SD ± 6.7). Most participants (52%) reported risky behaviors and insufficient knowledge of STIs. Conclusion: The fact that 52% of the participants reported risky sexual behaviors points to the need for preventive interventions among this population, aimed at raising awareness and reducing the risk of STIs.","container-title":"Revista de Enfermagem Referência","DOI":"10.12707/riv16019","issue":"10","note":"DOI: 10.12707/riv16019\nMAG ID: 2521777476\nS2ID: 78222259424a1fc0d9068f5ec6b8a68fa801b57e","page":"19-27","title":"Comportamento sexual de risco e conhecimento sobre IST/SIDA em universitários da saúde","author":[{"family":"Sales","given":"Willian Barbosa"},{"family":"Caveião","given":"Cristiano"},{"family":"Visentin","given":"Angelita"},{"family":"Mocelin","given":"Daniela"},{"family":"Costa","given":"Priscila Moreira","non-dropping-particle":"da"},{"family":"Simm","given":"Eduardo Bolicenha"}],"issued":{"date-parts":[["2016",9,30]]}}}],"schema":"https://github.com/citation-style-language/schema/raw/master/csl-citation.json"} </w:instrText>
      </w:r>
      <w:r w:rsidR="002E268D" w:rsidRPr="002E268D">
        <w:fldChar w:fldCharType="separate"/>
      </w:r>
      <w:r w:rsidR="002E268D" w:rsidRPr="002E268D">
        <w:t>(SALES et al., 2016)</w:t>
      </w:r>
      <w:r w:rsidR="002E268D" w:rsidRPr="002E268D">
        <w:fldChar w:fldCharType="end"/>
      </w:r>
      <w:r w:rsidR="002E268D" w:rsidRPr="002E268D">
        <w:t xml:space="preserve"> </w:t>
      </w:r>
      <w:r w:rsidR="002E268D" w:rsidRPr="002E268D">
        <w:t>considerou como a</w:t>
      </w:r>
      <w:r w:rsidR="002E268D" w:rsidRPr="002E268D">
        <w:t xml:space="preserve"> presença de pelo menos duas das características de risco</w:t>
      </w:r>
      <w:r w:rsidR="002E268D" w:rsidRPr="002E268D">
        <w:t xml:space="preserve"> entre </w:t>
      </w:r>
      <w:r w:rsidR="002E268D" w:rsidRPr="002E268D">
        <w:t>não utilizar preservativos, ter mais que 10 parceiros sexuais, prática de sexo sob influência de álcool e drogas, e sexo com parceiros conhecidos a pouco tempo.</w:t>
      </w:r>
    </w:p>
    <w:p w14:paraId="3D72D2FD" w14:textId="761E4527" w:rsidR="00203D2F" w:rsidRDefault="00B92DFE" w:rsidP="002E268D">
      <w:r>
        <w:t>O comportamento sexual de risco poder ser classificado por diversos métodos</w:t>
      </w:r>
      <w:r w:rsidRPr="00B92DFE">
        <w:t xml:space="preserve"> </w:t>
      </w:r>
      <w:r>
        <w:fldChar w:fldCharType="begin"/>
      </w:r>
      <w:r>
        <w:instrText xml:space="preserve"> ADDIN ZOTERO_ITEM CSL_CITATION {"citationID":"stjyX9Uv","properties":{"formattedCitation":"(MIRZAEI et al., 2016)","plainCitation":"(MIRZAEI et al., 2016)","noteIndex":0},"citationItems":[{"id":2762,"uris":["http://zotero.org/users/10339151/items/J2BDHZ7X"],"itemData":{"id":2762,"type":"article-journal","abstract":"Background: Sexual behavior is a complex activity affecting all aspects of human’s life. Risky sexual behaviors impose negative outcomes on family, relationships and health. Unsafe sex is the second most leading cause of disability adjusted life years worldwide. Valid and reliable tools for assessment of risky sexual behaviors are necessary for implementing preventive measures. \nMethods: we searched Medline and the Cochrane Library of Systematic Reviews, with the keywords of “risky sexual behavior assessment”, “sexual risk assessment”, “high risk sexual behavior”, “sexual risk taking”. By reviewing references of the articles, some complementary studies were added. Results:  Assessment can be performed by questionnaire or non-questionnaire instruments. Questionnaires vary depending on their target population, evaluation of risky sexual behavior as a whole or focusing on an associated risk factor. In order to avoid usual biases in self reports, objective biomarker assessment of unprotected sex are employed. These markers include prostate specific antigen, chromosome Y DNA and Seminogelin. Conclusion: Risky sexual behavior can be assessed by various subjective and objective methods. While self-reports are more feasible, objective methods offer a higher degree of reliability. Further studies for finding more feasible methods of using biomarkers are recommended.","container-title":"Materia socio-medica","DOI":"10.5455/msm.2016.28.46-50","issue":"1","note":"DOI: 10.5455/msm.2016.28.46-50\nMAG ID: 2266865676\nPMCID: 4789722\nPMID: 27047267\nS2ID: 4a23d826e16c92a219ad800602a459ce408debd1","page":"46-50","title":"INSTRUMENTS OF HIGH RISK SEXUAL BEHAVIOR ASSESSMENT: A SYSTEMATIC REVIEW.","volume":"28","author":[{"family":"Mirzaei","given":"Mojtaba"},{"family":"Ahmadi","given":"Khodabakhsh"},{"family":"Saadat","given":"Seyed Hassan"},{"literal":"Seyed-Hassan Saadat"},{"family":"Ramezani","given":"Mohammad"},{"literal":"Mohammad Arash Ramezani"}],"issued":{"date-parts":[["2016",1,30]]}}}],"schema":"https://github.com/citation-style-language/schema/raw/master/csl-citation.json"} </w:instrText>
      </w:r>
      <w:r>
        <w:fldChar w:fldCharType="separate"/>
      </w:r>
      <w:r w:rsidRPr="00B92DFE">
        <w:rPr>
          <w:rFonts w:cs="Times New Roman"/>
        </w:rPr>
        <w:t>(MIRZAEI et al., 2016)</w:t>
      </w:r>
      <w:r>
        <w:fldChar w:fldCharType="end"/>
      </w:r>
      <w:r>
        <w:t>, n</w:t>
      </w:r>
      <w:r w:rsidR="002E268D">
        <w:t xml:space="preserve">o presente estudo </w:t>
      </w:r>
      <w:r w:rsidR="004B5AD7">
        <w:t xml:space="preserve">foi definido </w:t>
      </w:r>
      <w:r>
        <w:t>pelo</w:t>
      </w:r>
      <w:r w:rsidR="004B5AD7">
        <w:t xml:space="preserve"> relato </w:t>
      </w:r>
      <w:r>
        <w:t xml:space="preserve">subjetivo </w:t>
      </w:r>
      <w:r w:rsidR="004B5AD7">
        <w:t xml:space="preserve">de </w:t>
      </w:r>
      <w:r w:rsidR="00203D2F">
        <w:t xml:space="preserve">relação sexual com parceiro novo, recente ou desconhecido após ficar embriagado(a) </w:t>
      </w:r>
      <w:r w:rsidR="004B5AD7">
        <w:t xml:space="preserve">sem utilizar preservativo </w:t>
      </w:r>
      <w:r w:rsidR="00203D2F">
        <w:t xml:space="preserve">e/ou </w:t>
      </w:r>
      <w:r w:rsidR="004B5AD7">
        <w:t>pelo</w:t>
      </w:r>
      <w:r w:rsidR="00203D2F">
        <w:t xml:space="preserve"> relato de não utilizar preservativos com parceiros novos</w:t>
      </w:r>
      <w:r>
        <w:t>.</w:t>
      </w:r>
    </w:p>
    <w:p w14:paraId="024FD226" w14:textId="03D140CF" w:rsidR="00B92DFE" w:rsidRDefault="00B92DFE" w:rsidP="002E268D">
      <w:r>
        <w:t>O nível socioeconômico foi avaliado pelo instrumento proposto pel</w:t>
      </w:r>
      <w:r w:rsidR="00C67ED3">
        <w:t xml:space="preserve">a associação brasileira de empresas de pesquisa (ABEP) na </w:t>
      </w:r>
      <w:r w:rsidR="00C67ED3" w:rsidRPr="00C67ED3">
        <w:rPr>
          <w:highlight w:val="yellow"/>
        </w:rPr>
        <w:t>versão 15.0</w:t>
      </w:r>
      <w:r w:rsidR="00C67ED3">
        <w:t>, e os estudantes foram classificados de acordo com o nível socioeconômico em classes A, B e C, D e E.</w:t>
      </w:r>
    </w:p>
    <w:p w14:paraId="19E36D16" w14:textId="55F7FCF0" w:rsidR="00E674DD" w:rsidRDefault="00B92DFE" w:rsidP="00B92DFE">
      <w:r>
        <w:lastRenderedPageBreak/>
        <w:t xml:space="preserve">A coleta dos dados foi </w:t>
      </w:r>
      <w:r w:rsidR="00E674DD" w:rsidRPr="00811508">
        <w:t>tabulad</w:t>
      </w:r>
      <w:r>
        <w:t>a no software Microsoft</w:t>
      </w:r>
      <w:r w:rsidR="00E674DD" w:rsidRPr="00811508">
        <w:t xml:space="preserve"> </w:t>
      </w:r>
      <w:r w:rsidR="002E268D" w:rsidRPr="00811508">
        <w:t>Excel</w:t>
      </w:r>
      <w:r>
        <w:t xml:space="preserve"> com revisão por três pesquisadores previamente treinados para identificação de outliers e dados considerados como errados a partir dos valores de normalidade.</w:t>
      </w:r>
    </w:p>
    <w:p w14:paraId="25AF5E3A" w14:textId="6EC45D57" w:rsidR="00B92DFE" w:rsidRPr="00811508" w:rsidRDefault="00B92DFE" w:rsidP="00B92DFE">
      <w:r>
        <w:t xml:space="preserve">A análise dos dados foi realizada por meio do software Stata versão 11.0. Dados quantitativos foram categorizados para o melhor entendimento da distribuição das variáveis. </w:t>
      </w:r>
    </w:p>
    <w:p w14:paraId="49B397B1" w14:textId="4D485626" w:rsidR="007E5CA5" w:rsidRDefault="005F733F" w:rsidP="002E268D">
      <w:pPr>
        <w:pStyle w:val="Ttulo1"/>
      </w:pPr>
      <w:bookmarkStart w:id="0" w:name="_Hlk143352278"/>
      <w:r>
        <w:t>Resultados</w:t>
      </w:r>
      <w:bookmarkEnd w:id="0"/>
    </w:p>
    <w:p w14:paraId="09CF38BF" w14:textId="77777777" w:rsidR="007E5CA5" w:rsidRDefault="007E5CA5" w:rsidP="002E268D">
      <w:r>
        <w:t>Dados de 6906 estudantes universitários foram triados para o presente estudo, dos quais a mediana das respostas válidas (99,6%, n=6875) foi de 21 anos, com percentis 25 e 75% de 19 e 23 anos, respectivamente (variando entre 15 e 66 anos). Maior parte da amostra era do gênero masculino (51,9%, n=3569), heterossexual (75,6%, n=5221), solteiro (95,2%, n=6576), de classe econômica B (49,9%, n=3449) e estudantes de exatas e tecnológicas (33,5%, n=2316) (tabela 1). Outros dados sociodemográficos obtidos das respostas válidas podem ser encontrados na tabela 1.</w:t>
      </w:r>
    </w:p>
    <w:p w14:paraId="6DC0A9E3" w14:textId="77777777" w:rsidR="007E5CA5" w:rsidRDefault="007E5CA5" w:rsidP="002E268D">
      <w:r>
        <w:t xml:space="preserve"> </w:t>
      </w:r>
      <w:r>
        <w:rPr>
          <w:b/>
          <w:bCs/>
        </w:rPr>
        <w:t xml:space="preserve">Tabela 1. </w:t>
      </w:r>
      <w:r>
        <w:t>Caracterização da amostra estudada.</w:t>
      </w:r>
    </w:p>
    <w:tbl>
      <w:tblPr>
        <w:tblW w:w="5000" w:type="pct"/>
        <w:tblCellMar>
          <w:left w:w="70" w:type="dxa"/>
          <w:right w:w="70" w:type="dxa"/>
        </w:tblCellMar>
        <w:tblLook w:val="04A0" w:firstRow="1" w:lastRow="0" w:firstColumn="1" w:lastColumn="0" w:noHBand="0" w:noVBand="1"/>
      </w:tblPr>
      <w:tblGrid>
        <w:gridCol w:w="6038"/>
        <w:gridCol w:w="2466"/>
      </w:tblGrid>
      <w:tr w:rsidR="007E5CA5" w14:paraId="05B70728" w14:textId="77777777" w:rsidTr="007E5CA5">
        <w:trPr>
          <w:trHeight w:val="315"/>
        </w:trPr>
        <w:tc>
          <w:tcPr>
            <w:tcW w:w="3550" w:type="pct"/>
            <w:tcBorders>
              <w:top w:val="single" w:sz="4" w:space="0" w:color="auto"/>
              <w:left w:val="nil"/>
              <w:bottom w:val="single" w:sz="4" w:space="0" w:color="auto"/>
              <w:right w:val="nil"/>
            </w:tcBorders>
            <w:noWrap/>
            <w:vAlign w:val="center"/>
            <w:hideMark/>
          </w:tcPr>
          <w:p w14:paraId="134253A4" w14:textId="77777777" w:rsidR="007E5CA5" w:rsidRDefault="007E5CA5" w:rsidP="00B92DFE">
            <w:pPr>
              <w:pStyle w:val="SemEspaamento"/>
              <w:rPr>
                <w:lang w:eastAsia="pt-BR"/>
              </w:rPr>
            </w:pPr>
            <w:r>
              <w:rPr>
                <w:lang w:eastAsia="pt-BR"/>
              </w:rPr>
              <w:t>Variáveis</w:t>
            </w:r>
          </w:p>
        </w:tc>
        <w:tc>
          <w:tcPr>
            <w:tcW w:w="1450" w:type="pct"/>
            <w:tcBorders>
              <w:top w:val="single" w:sz="4" w:space="0" w:color="auto"/>
              <w:left w:val="nil"/>
              <w:bottom w:val="single" w:sz="4" w:space="0" w:color="auto"/>
              <w:right w:val="nil"/>
            </w:tcBorders>
            <w:noWrap/>
            <w:vAlign w:val="center"/>
            <w:hideMark/>
          </w:tcPr>
          <w:p w14:paraId="728F7CE3" w14:textId="77777777" w:rsidR="007E5CA5" w:rsidRDefault="007E5CA5" w:rsidP="00B92DFE">
            <w:pPr>
              <w:pStyle w:val="SemEspaamento"/>
              <w:rPr>
                <w:lang w:eastAsia="pt-BR"/>
              </w:rPr>
            </w:pPr>
            <w:r>
              <w:rPr>
                <w:lang w:eastAsia="pt-BR"/>
              </w:rPr>
              <w:t>n (%)</w:t>
            </w:r>
          </w:p>
        </w:tc>
      </w:tr>
      <w:tr w:rsidR="007E5CA5" w14:paraId="15DB5D31" w14:textId="77777777" w:rsidTr="007E5CA5">
        <w:trPr>
          <w:trHeight w:val="315"/>
        </w:trPr>
        <w:tc>
          <w:tcPr>
            <w:tcW w:w="3550" w:type="pct"/>
            <w:noWrap/>
            <w:vAlign w:val="center"/>
            <w:hideMark/>
          </w:tcPr>
          <w:p w14:paraId="599A3237" w14:textId="77777777" w:rsidR="007E5CA5" w:rsidRDefault="007E5CA5" w:rsidP="00B92DFE">
            <w:pPr>
              <w:pStyle w:val="SemEspaamento"/>
              <w:rPr>
                <w:lang w:eastAsia="pt-BR"/>
              </w:rPr>
            </w:pPr>
            <w:r>
              <w:rPr>
                <w:lang w:eastAsia="pt-BR"/>
              </w:rPr>
              <w:t>Gênero</w:t>
            </w:r>
          </w:p>
        </w:tc>
        <w:tc>
          <w:tcPr>
            <w:tcW w:w="1450" w:type="pct"/>
            <w:noWrap/>
            <w:vAlign w:val="center"/>
            <w:hideMark/>
          </w:tcPr>
          <w:p w14:paraId="0B855A06" w14:textId="77777777" w:rsidR="007E5CA5" w:rsidRDefault="007E5CA5" w:rsidP="00B92DFE">
            <w:pPr>
              <w:pStyle w:val="SemEspaamento"/>
              <w:rPr>
                <w:lang w:eastAsia="pt-BR"/>
              </w:rPr>
            </w:pPr>
          </w:p>
        </w:tc>
      </w:tr>
      <w:tr w:rsidR="007E5CA5" w14:paraId="55CA4554" w14:textId="77777777" w:rsidTr="007E5CA5">
        <w:trPr>
          <w:trHeight w:val="315"/>
        </w:trPr>
        <w:tc>
          <w:tcPr>
            <w:tcW w:w="3550" w:type="pct"/>
            <w:noWrap/>
            <w:vAlign w:val="center"/>
            <w:hideMark/>
          </w:tcPr>
          <w:p w14:paraId="1B92DF72" w14:textId="77777777" w:rsidR="007E5CA5" w:rsidRDefault="007E5CA5" w:rsidP="00B92DFE">
            <w:pPr>
              <w:pStyle w:val="SemEspaamento"/>
              <w:rPr>
                <w:lang w:eastAsia="pt-BR"/>
              </w:rPr>
            </w:pPr>
            <w:r>
              <w:rPr>
                <w:lang w:eastAsia="pt-BR"/>
              </w:rPr>
              <w:t xml:space="preserve">   Feminino</w:t>
            </w:r>
          </w:p>
        </w:tc>
        <w:tc>
          <w:tcPr>
            <w:tcW w:w="1450" w:type="pct"/>
            <w:noWrap/>
            <w:vAlign w:val="center"/>
            <w:hideMark/>
          </w:tcPr>
          <w:p w14:paraId="6C92C631" w14:textId="77777777" w:rsidR="007E5CA5" w:rsidRDefault="007E5CA5" w:rsidP="00B92DFE">
            <w:pPr>
              <w:pStyle w:val="SemEspaamento"/>
              <w:rPr>
                <w:lang w:eastAsia="pt-BR"/>
              </w:rPr>
            </w:pPr>
            <w:r>
              <w:rPr>
                <w:lang w:eastAsia="pt-BR"/>
              </w:rPr>
              <w:t>3309 (47,9%)</w:t>
            </w:r>
          </w:p>
        </w:tc>
      </w:tr>
      <w:tr w:rsidR="007E5CA5" w14:paraId="07826394" w14:textId="77777777" w:rsidTr="007E5CA5">
        <w:trPr>
          <w:trHeight w:val="315"/>
        </w:trPr>
        <w:tc>
          <w:tcPr>
            <w:tcW w:w="3550" w:type="pct"/>
            <w:noWrap/>
            <w:vAlign w:val="center"/>
            <w:hideMark/>
          </w:tcPr>
          <w:p w14:paraId="4BD28759" w14:textId="77777777" w:rsidR="007E5CA5" w:rsidRDefault="007E5CA5" w:rsidP="00B92DFE">
            <w:pPr>
              <w:pStyle w:val="SemEspaamento"/>
              <w:rPr>
                <w:lang w:eastAsia="pt-BR"/>
              </w:rPr>
            </w:pPr>
            <w:r>
              <w:rPr>
                <w:lang w:eastAsia="pt-BR"/>
              </w:rPr>
              <w:t xml:space="preserve">   Masculino</w:t>
            </w:r>
          </w:p>
        </w:tc>
        <w:tc>
          <w:tcPr>
            <w:tcW w:w="1450" w:type="pct"/>
            <w:noWrap/>
            <w:vAlign w:val="center"/>
            <w:hideMark/>
          </w:tcPr>
          <w:p w14:paraId="669F4762" w14:textId="77777777" w:rsidR="007E5CA5" w:rsidRDefault="007E5CA5" w:rsidP="00B92DFE">
            <w:pPr>
              <w:pStyle w:val="SemEspaamento"/>
              <w:rPr>
                <w:lang w:eastAsia="pt-BR"/>
              </w:rPr>
            </w:pPr>
            <w:r>
              <w:rPr>
                <w:lang w:eastAsia="pt-BR"/>
              </w:rPr>
              <w:t>3569 (51,7%)</w:t>
            </w:r>
          </w:p>
        </w:tc>
      </w:tr>
      <w:tr w:rsidR="007E5CA5" w14:paraId="4D0B72C4" w14:textId="77777777" w:rsidTr="007E5CA5">
        <w:trPr>
          <w:trHeight w:val="315"/>
        </w:trPr>
        <w:tc>
          <w:tcPr>
            <w:tcW w:w="3550" w:type="pct"/>
            <w:noWrap/>
            <w:vAlign w:val="center"/>
            <w:hideMark/>
          </w:tcPr>
          <w:p w14:paraId="3032EA9A" w14:textId="77777777" w:rsidR="007E5CA5" w:rsidRDefault="007E5CA5" w:rsidP="00B92DFE">
            <w:pPr>
              <w:pStyle w:val="SemEspaamento"/>
              <w:rPr>
                <w:lang w:eastAsia="pt-BR"/>
              </w:rPr>
            </w:pPr>
            <w:r>
              <w:rPr>
                <w:lang w:eastAsia="pt-BR"/>
              </w:rPr>
              <w:t>Orientação sexual</w:t>
            </w:r>
          </w:p>
        </w:tc>
        <w:tc>
          <w:tcPr>
            <w:tcW w:w="1450" w:type="pct"/>
            <w:noWrap/>
            <w:vAlign w:val="center"/>
            <w:hideMark/>
          </w:tcPr>
          <w:p w14:paraId="2C5ED483" w14:textId="77777777" w:rsidR="007E5CA5" w:rsidRDefault="007E5CA5" w:rsidP="00B92DFE">
            <w:pPr>
              <w:pStyle w:val="SemEspaamento"/>
              <w:rPr>
                <w:lang w:eastAsia="pt-BR"/>
              </w:rPr>
            </w:pPr>
          </w:p>
        </w:tc>
      </w:tr>
      <w:tr w:rsidR="007E5CA5" w14:paraId="553DB67B" w14:textId="77777777" w:rsidTr="007E5CA5">
        <w:trPr>
          <w:trHeight w:val="315"/>
        </w:trPr>
        <w:tc>
          <w:tcPr>
            <w:tcW w:w="3550" w:type="pct"/>
            <w:noWrap/>
            <w:vAlign w:val="center"/>
            <w:hideMark/>
          </w:tcPr>
          <w:p w14:paraId="4B3EA67D" w14:textId="77777777" w:rsidR="007E5CA5" w:rsidRDefault="007E5CA5" w:rsidP="00B92DFE">
            <w:pPr>
              <w:pStyle w:val="SemEspaamento"/>
              <w:rPr>
                <w:lang w:eastAsia="pt-BR"/>
              </w:rPr>
            </w:pPr>
            <w:r>
              <w:rPr>
                <w:lang w:eastAsia="pt-BR"/>
              </w:rPr>
              <w:t xml:space="preserve">   Heterossexual</w:t>
            </w:r>
          </w:p>
        </w:tc>
        <w:tc>
          <w:tcPr>
            <w:tcW w:w="1450" w:type="pct"/>
            <w:noWrap/>
            <w:vAlign w:val="center"/>
            <w:hideMark/>
          </w:tcPr>
          <w:p w14:paraId="3D85E8B8" w14:textId="77777777" w:rsidR="007E5CA5" w:rsidRDefault="007E5CA5" w:rsidP="00B92DFE">
            <w:pPr>
              <w:pStyle w:val="SemEspaamento"/>
              <w:rPr>
                <w:lang w:eastAsia="pt-BR"/>
              </w:rPr>
            </w:pPr>
            <w:r>
              <w:rPr>
                <w:lang w:eastAsia="pt-BR"/>
              </w:rPr>
              <w:t>5221 (75,6%)</w:t>
            </w:r>
          </w:p>
        </w:tc>
      </w:tr>
      <w:tr w:rsidR="007E5CA5" w14:paraId="24EEFFE3" w14:textId="77777777" w:rsidTr="007E5CA5">
        <w:trPr>
          <w:trHeight w:val="315"/>
        </w:trPr>
        <w:tc>
          <w:tcPr>
            <w:tcW w:w="3550" w:type="pct"/>
            <w:noWrap/>
            <w:vAlign w:val="center"/>
            <w:hideMark/>
          </w:tcPr>
          <w:p w14:paraId="3B8E6C25" w14:textId="77777777" w:rsidR="007E5CA5" w:rsidRDefault="007E5CA5" w:rsidP="00B92DFE">
            <w:pPr>
              <w:pStyle w:val="SemEspaamento"/>
              <w:rPr>
                <w:lang w:eastAsia="pt-BR"/>
              </w:rPr>
            </w:pPr>
            <w:r>
              <w:rPr>
                <w:lang w:eastAsia="pt-BR"/>
              </w:rPr>
              <w:t xml:space="preserve">   Todas as outras orientações sexuais</w:t>
            </w:r>
          </w:p>
        </w:tc>
        <w:tc>
          <w:tcPr>
            <w:tcW w:w="1450" w:type="pct"/>
            <w:noWrap/>
            <w:vAlign w:val="center"/>
            <w:hideMark/>
          </w:tcPr>
          <w:p w14:paraId="61D78AA6" w14:textId="77777777" w:rsidR="007E5CA5" w:rsidRDefault="007E5CA5" w:rsidP="00B92DFE">
            <w:pPr>
              <w:pStyle w:val="SemEspaamento"/>
              <w:rPr>
                <w:lang w:eastAsia="pt-BR"/>
              </w:rPr>
            </w:pPr>
            <w:r>
              <w:rPr>
                <w:lang w:eastAsia="pt-BR"/>
              </w:rPr>
              <w:t>1390 (20,1%)</w:t>
            </w:r>
          </w:p>
        </w:tc>
      </w:tr>
      <w:tr w:rsidR="007E5CA5" w14:paraId="7E84E130" w14:textId="77777777" w:rsidTr="007E5CA5">
        <w:trPr>
          <w:trHeight w:val="315"/>
        </w:trPr>
        <w:tc>
          <w:tcPr>
            <w:tcW w:w="3550" w:type="pct"/>
            <w:noWrap/>
            <w:vAlign w:val="center"/>
            <w:hideMark/>
          </w:tcPr>
          <w:p w14:paraId="7FDB6B6C" w14:textId="77777777" w:rsidR="007E5CA5" w:rsidRDefault="007E5CA5" w:rsidP="00B92DFE">
            <w:pPr>
              <w:pStyle w:val="SemEspaamento"/>
              <w:rPr>
                <w:lang w:eastAsia="pt-BR"/>
              </w:rPr>
            </w:pPr>
            <w:r>
              <w:rPr>
                <w:lang w:eastAsia="pt-BR"/>
              </w:rPr>
              <w:t>Estado civil</w:t>
            </w:r>
          </w:p>
        </w:tc>
        <w:tc>
          <w:tcPr>
            <w:tcW w:w="1450" w:type="pct"/>
            <w:noWrap/>
            <w:vAlign w:val="center"/>
            <w:hideMark/>
          </w:tcPr>
          <w:p w14:paraId="1FB504C6" w14:textId="77777777" w:rsidR="007E5CA5" w:rsidRDefault="007E5CA5" w:rsidP="00B92DFE">
            <w:pPr>
              <w:pStyle w:val="SemEspaamento"/>
              <w:rPr>
                <w:lang w:eastAsia="pt-BR"/>
              </w:rPr>
            </w:pPr>
          </w:p>
        </w:tc>
      </w:tr>
      <w:tr w:rsidR="007E5CA5" w14:paraId="118601AF" w14:textId="77777777" w:rsidTr="007E5CA5">
        <w:trPr>
          <w:trHeight w:val="315"/>
        </w:trPr>
        <w:tc>
          <w:tcPr>
            <w:tcW w:w="3550" w:type="pct"/>
            <w:noWrap/>
            <w:vAlign w:val="center"/>
            <w:hideMark/>
          </w:tcPr>
          <w:p w14:paraId="4ABFF6A8" w14:textId="77777777" w:rsidR="007E5CA5" w:rsidRDefault="007E5CA5" w:rsidP="00B92DFE">
            <w:pPr>
              <w:pStyle w:val="SemEspaamento"/>
              <w:rPr>
                <w:lang w:eastAsia="pt-BR"/>
              </w:rPr>
            </w:pPr>
            <w:r>
              <w:rPr>
                <w:lang w:eastAsia="pt-BR"/>
              </w:rPr>
              <w:t xml:space="preserve">   Não solteiro</w:t>
            </w:r>
          </w:p>
        </w:tc>
        <w:tc>
          <w:tcPr>
            <w:tcW w:w="1450" w:type="pct"/>
            <w:noWrap/>
            <w:vAlign w:val="center"/>
            <w:hideMark/>
          </w:tcPr>
          <w:p w14:paraId="41666D90" w14:textId="77777777" w:rsidR="007E5CA5" w:rsidRDefault="007E5CA5" w:rsidP="00B92DFE">
            <w:pPr>
              <w:pStyle w:val="SemEspaamento"/>
              <w:rPr>
                <w:lang w:eastAsia="pt-BR"/>
              </w:rPr>
            </w:pPr>
            <w:r>
              <w:rPr>
                <w:lang w:eastAsia="pt-BR"/>
              </w:rPr>
              <w:t>307 (4,4%)</w:t>
            </w:r>
          </w:p>
        </w:tc>
      </w:tr>
      <w:tr w:rsidR="007E5CA5" w14:paraId="2BC3F890" w14:textId="77777777" w:rsidTr="007E5CA5">
        <w:trPr>
          <w:trHeight w:val="315"/>
        </w:trPr>
        <w:tc>
          <w:tcPr>
            <w:tcW w:w="3550" w:type="pct"/>
            <w:noWrap/>
            <w:vAlign w:val="center"/>
            <w:hideMark/>
          </w:tcPr>
          <w:p w14:paraId="5CFB5E47" w14:textId="77777777" w:rsidR="007E5CA5" w:rsidRDefault="007E5CA5" w:rsidP="00B92DFE">
            <w:pPr>
              <w:pStyle w:val="SemEspaamento"/>
              <w:rPr>
                <w:lang w:eastAsia="pt-BR"/>
              </w:rPr>
            </w:pPr>
            <w:r>
              <w:rPr>
                <w:lang w:eastAsia="pt-BR"/>
              </w:rPr>
              <w:t xml:space="preserve">   Solteiro</w:t>
            </w:r>
          </w:p>
        </w:tc>
        <w:tc>
          <w:tcPr>
            <w:tcW w:w="1450" w:type="pct"/>
            <w:noWrap/>
            <w:vAlign w:val="center"/>
            <w:hideMark/>
          </w:tcPr>
          <w:p w14:paraId="325CC37A" w14:textId="77777777" w:rsidR="007E5CA5" w:rsidRDefault="007E5CA5" w:rsidP="00B92DFE">
            <w:pPr>
              <w:pStyle w:val="SemEspaamento"/>
              <w:rPr>
                <w:lang w:eastAsia="pt-BR"/>
              </w:rPr>
            </w:pPr>
            <w:r>
              <w:rPr>
                <w:lang w:eastAsia="pt-BR"/>
              </w:rPr>
              <w:t>6576 (95,2%)</w:t>
            </w:r>
          </w:p>
        </w:tc>
      </w:tr>
      <w:tr w:rsidR="007E5CA5" w14:paraId="7A119FC7" w14:textId="77777777" w:rsidTr="007E5CA5">
        <w:trPr>
          <w:trHeight w:val="315"/>
        </w:trPr>
        <w:tc>
          <w:tcPr>
            <w:tcW w:w="3550" w:type="pct"/>
            <w:noWrap/>
            <w:vAlign w:val="center"/>
            <w:hideMark/>
          </w:tcPr>
          <w:p w14:paraId="18236C9B" w14:textId="77777777" w:rsidR="007E5CA5" w:rsidRDefault="007E5CA5" w:rsidP="00B92DFE">
            <w:pPr>
              <w:pStyle w:val="SemEspaamento"/>
              <w:rPr>
                <w:lang w:eastAsia="pt-BR"/>
              </w:rPr>
            </w:pPr>
            <w:r>
              <w:rPr>
                <w:lang w:eastAsia="pt-BR"/>
              </w:rPr>
              <w:t>Nível socioeconômico</w:t>
            </w:r>
          </w:p>
        </w:tc>
        <w:tc>
          <w:tcPr>
            <w:tcW w:w="1450" w:type="pct"/>
            <w:noWrap/>
            <w:vAlign w:val="center"/>
            <w:hideMark/>
          </w:tcPr>
          <w:p w14:paraId="220A23F1" w14:textId="77777777" w:rsidR="007E5CA5" w:rsidRDefault="007E5CA5" w:rsidP="00B92DFE">
            <w:pPr>
              <w:pStyle w:val="SemEspaamento"/>
              <w:rPr>
                <w:lang w:eastAsia="pt-BR"/>
              </w:rPr>
            </w:pPr>
          </w:p>
        </w:tc>
      </w:tr>
      <w:tr w:rsidR="007E5CA5" w14:paraId="72118BE2" w14:textId="77777777" w:rsidTr="007E5CA5">
        <w:trPr>
          <w:trHeight w:val="315"/>
        </w:trPr>
        <w:tc>
          <w:tcPr>
            <w:tcW w:w="3550" w:type="pct"/>
            <w:noWrap/>
            <w:vAlign w:val="center"/>
            <w:hideMark/>
          </w:tcPr>
          <w:p w14:paraId="112B7D39" w14:textId="77777777" w:rsidR="007E5CA5" w:rsidRDefault="007E5CA5" w:rsidP="00B92DFE">
            <w:pPr>
              <w:pStyle w:val="SemEspaamento"/>
              <w:rPr>
                <w:lang w:eastAsia="pt-BR"/>
              </w:rPr>
            </w:pPr>
            <w:r>
              <w:rPr>
                <w:lang w:eastAsia="pt-BR"/>
              </w:rPr>
              <w:t xml:space="preserve">   A</w:t>
            </w:r>
          </w:p>
        </w:tc>
        <w:tc>
          <w:tcPr>
            <w:tcW w:w="1450" w:type="pct"/>
            <w:noWrap/>
            <w:vAlign w:val="center"/>
            <w:hideMark/>
          </w:tcPr>
          <w:p w14:paraId="4C6FA4C9" w14:textId="77777777" w:rsidR="007E5CA5" w:rsidRDefault="007E5CA5" w:rsidP="00B92DFE">
            <w:pPr>
              <w:pStyle w:val="SemEspaamento"/>
              <w:rPr>
                <w:lang w:eastAsia="pt-BR"/>
              </w:rPr>
            </w:pPr>
            <w:r>
              <w:rPr>
                <w:lang w:eastAsia="pt-BR"/>
              </w:rPr>
              <w:t>2493 (36,1%)</w:t>
            </w:r>
          </w:p>
        </w:tc>
      </w:tr>
      <w:tr w:rsidR="007E5CA5" w14:paraId="0507A923" w14:textId="77777777" w:rsidTr="007E5CA5">
        <w:trPr>
          <w:trHeight w:val="315"/>
        </w:trPr>
        <w:tc>
          <w:tcPr>
            <w:tcW w:w="3550" w:type="pct"/>
            <w:noWrap/>
            <w:vAlign w:val="center"/>
            <w:hideMark/>
          </w:tcPr>
          <w:p w14:paraId="26304747" w14:textId="77777777" w:rsidR="007E5CA5" w:rsidRDefault="007E5CA5" w:rsidP="00B92DFE">
            <w:pPr>
              <w:pStyle w:val="SemEspaamento"/>
              <w:rPr>
                <w:lang w:eastAsia="pt-BR"/>
              </w:rPr>
            </w:pPr>
            <w:r>
              <w:rPr>
                <w:lang w:eastAsia="pt-BR"/>
              </w:rPr>
              <w:t xml:space="preserve">   B</w:t>
            </w:r>
          </w:p>
        </w:tc>
        <w:tc>
          <w:tcPr>
            <w:tcW w:w="1450" w:type="pct"/>
            <w:noWrap/>
            <w:vAlign w:val="center"/>
            <w:hideMark/>
          </w:tcPr>
          <w:p w14:paraId="252B311B" w14:textId="77777777" w:rsidR="007E5CA5" w:rsidRDefault="007E5CA5" w:rsidP="00B92DFE">
            <w:pPr>
              <w:pStyle w:val="SemEspaamento"/>
              <w:rPr>
                <w:lang w:eastAsia="pt-BR"/>
              </w:rPr>
            </w:pPr>
            <w:r>
              <w:rPr>
                <w:lang w:eastAsia="pt-BR"/>
              </w:rPr>
              <w:t>3449 (49,9%)</w:t>
            </w:r>
          </w:p>
        </w:tc>
      </w:tr>
      <w:tr w:rsidR="007E5CA5" w14:paraId="56DB9F17" w14:textId="77777777" w:rsidTr="007E5CA5">
        <w:trPr>
          <w:trHeight w:val="315"/>
        </w:trPr>
        <w:tc>
          <w:tcPr>
            <w:tcW w:w="3550" w:type="pct"/>
            <w:noWrap/>
            <w:vAlign w:val="center"/>
            <w:hideMark/>
          </w:tcPr>
          <w:p w14:paraId="11F04C67" w14:textId="77777777" w:rsidR="007E5CA5" w:rsidRDefault="007E5CA5" w:rsidP="00B92DFE">
            <w:pPr>
              <w:pStyle w:val="SemEspaamento"/>
              <w:rPr>
                <w:lang w:eastAsia="pt-BR"/>
              </w:rPr>
            </w:pPr>
            <w:r>
              <w:rPr>
                <w:lang w:eastAsia="pt-BR"/>
              </w:rPr>
              <w:t xml:space="preserve">   C, D e E</w:t>
            </w:r>
          </w:p>
        </w:tc>
        <w:tc>
          <w:tcPr>
            <w:tcW w:w="1450" w:type="pct"/>
            <w:noWrap/>
            <w:vAlign w:val="center"/>
            <w:hideMark/>
          </w:tcPr>
          <w:p w14:paraId="4AAFD718" w14:textId="77777777" w:rsidR="007E5CA5" w:rsidRDefault="007E5CA5" w:rsidP="00B92DFE">
            <w:pPr>
              <w:pStyle w:val="SemEspaamento"/>
              <w:rPr>
                <w:lang w:eastAsia="pt-BR"/>
              </w:rPr>
            </w:pPr>
            <w:r>
              <w:rPr>
                <w:lang w:eastAsia="pt-BR"/>
              </w:rPr>
              <w:t>945 (13,7%)</w:t>
            </w:r>
          </w:p>
        </w:tc>
      </w:tr>
      <w:tr w:rsidR="007E5CA5" w14:paraId="73AD06D6" w14:textId="77777777" w:rsidTr="007E5CA5">
        <w:trPr>
          <w:trHeight w:val="315"/>
        </w:trPr>
        <w:tc>
          <w:tcPr>
            <w:tcW w:w="3550" w:type="pct"/>
            <w:noWrap/>
            <w:vAlign w:val="center"/>
            <w:hideMark/>
          </w:tcPr>
          <w:p w14:paraId="42731A5C" w14:textId="77777777" w:rsidR="007E5CA5" w:rsidRDefault="007E5CA5" w:rsidP="00B92DFE">
            <w:pPr>
              <w:pStyle w:val="SemEspaamento"/>
              <w:rPr>
                <w:lang w:eastAsia="pt-BR"/>
              </w:rPr>
            </w:pPr>
            <w:r>
              <w:rPr>
                <w:lang w:eastAsia="pt-BR"/>
              </w:rPr>
              <w:t>Pratica atividade física</w:t>
            </w:r>
          </w:p>
        </w:tc>
        <w:tc>
          <w:tcPr>
            <w:tcW w:w="1450" w:type="pct"/>
            <w:noWrap/>
            <w:vAlign w:val="center"/>
            <w:hideMark/>
          </w:tcPr>
          <w:p w14:paraId="54C70F91" w14:textId="77777777" w:rsidR="007E5CA5" w:rsidRDefault="007E5CA5" w:rsidP="00B92DFE">
            <w:pPr>
              <w:pStyle w:val="SemEspaamento"/>
              <w:rPr>
                <w:lang w:eastAsia="pt-BR"/>
              </w:rPr>
            </w:pPr>
          </w:p>
        </w:tc>
      </w:tr>
      <w:tr w:rsidR="007E5CA5" w14:paraId="0A8D8F3A" w14:textId="77777777" w:rsidTr="007E5CA5">
        <w:trPr>
          <w:trHeight w:val="315"/>
        </w:trPr>
        <w:tc>
          <w:tcPr>
            <w:tcW w:w="3550" w:type="pct"/>
            <w:noWrap/>
            <w:vAlign w:val="center"/>
            <w:hideMark/>
          </w:tcPr>
          <w:p w14:paraId="4FEC45CA" w14:textId="77777777" w:rsidR="007E5CA5" w:rsidRDefault="007E5CA5" w:rsidP="00B92DFE">
            <w:pPr>
              <w:pStyle w:val="SemEspaamento"/>
              <w:rPr>
                <w:lang w:eastAsia="pt-BR"/>
              </w:rPr>
            </w:pPr>
            <w:r>
              <w:rPr>
                <w:lang w:eastAsia="pt-BR"/>
              </w:rPr>
              <w:t xml:space="preserve">   Não</w:t>
            </w:r>
          </w:p>
        </w:tc>
        <w:tc>
          <w:tcPr>
            <w:tcW w:w="1450" w:type="pct"/>
            <w:noWrap/>
            <w:vAlign w:val="center"/>
            <w:hideMark/>
          </w:tcPr>
          <w:p w14:paraId="363E2E93" w14:textId="77777777" w:rsidR="007E5CA5" w:rsidRDefault="007E5CA5" w:rsidP="00B92DFE">
            <w:pPr>
              <w:pStyle w:val="SemEspaamento"/>
              <w:rPr>
                <w:lang w:eastAsia="pt-BR"/>
              </w:rPr>
            </w:pPr>
            <w:r>
              <w:rPr>
                <w:lang w:eastAsia="pt-BR"/>
              </w:rPr>
              <w:t>2527 (36,6%)</w:t>
            </w:r>
          </w:p>
        </w:tc>
      </w:tr>
      <w:tr w:rsidR="007E5CA5" w14:paraId="584E1A44" w14:textId="77777777" w:rsidTr="007E5CA5">
        <w:trPr>
          <w:trHeight w:val="315"/>
        </w:trPr>
        <w:tc>
          <w:tcPr>
            <w:tcW w:w="3550" w:type="pct"/>
            <w:noWrap/>
            <w:vAlign w:val="center"/>
            <w:hideMark/>
          </w:tcPr>
          <w:p w14:paraId="73BC6508" w14:textId="77777777" w:rsidR="007E5CA5" w:rsidRDefault="007E5CA5" w:rsidP="00B92DFE">
            <w:pPr>
              <w:pStyle w:val="SemEspaamento"/>
              <w:rPr>
                <w:lang w:eastAsia="pt-BR"/>
              </w:rPr>
            </w:pPr>
            <w:r>
              <w:rPr>
                <w:lang w:eastAsia="pt-BR"/>
              </w:rPr>
              <w:t xml:space="preserve">   Sim</w:t>
            </w:r>
          </w:p>
        </w:tc>
        <w:tc>
          <w:tcPr>
            <w:tcW w:w="1450" w:type="pct"/>
            <w:noWrap/>
            <w:vAlign w:val="center"/>
            <w:hideMark/>
          </w:tcPr>
          <w:p w14:paraId="1D7CD041" w14:textId="77777777" w:rsidR="007E5CA5" w:rsidRDefault="007E5CA5" w:rsidP="00B92DFE">
            <w:pPr>
              <w:pStyle w:val="SemEspaamento"/>
              <w:rPr>
                <w:lang w:eastAsia="pt-BR"/>
              </w:rPr>
            </w:pPr>
            <w:r>
              <w:rPr>
                <w:lang w:eastAsia="pt-BR"/>
              </w:rPr>
              <w:t>4208 (60,9%)</w:t>
            </w:r>
          </w:p>
        </w:tc>
      </w:tr>
      <w:tr w:rsidR="007E5CA5" w14:paraId="4EAB7D2E" w14:textId="77777777" w:rsidTr="007E5CA5">
        <w:trPr>
          <w:trHeight w:val="315"/>
        </w:trPr>
        <w:tc>
          <w:tcPr>
            <w:tcW w:w="3550" w:type="pct"/>
            <w:noWrap/>
            <w:vAlign w:val="center"/>
            <w:hideMark/>
          </w:tcPr>
          <w:p w14:paraId="47527593" w14:textId="77777777" w:rsidR="007E5CA5" w:rsidRDefault="007E5CA5" w:rsidP="00B92DFE">
            <w:pPr>
              <w:pStyle w:val="SemEspaamento"/>
              <w:rPr>
                <w:lang w:eastAsia="pt-BR"/>
              </w:rPr>
            </w:pPr>
            <w:r>
              <w:rPr>
                <w:lang w:eastAsia="pt-BR"/>
              </w:rPr>
              <w:t>Faixa etária</w:t>
            </w:r>
          </w:p>
        </w:tc>
        <w:tc>
          <w:tcPr>
            <w:tcW w:w="1450" w:type="pct"/>
            <w:noWrap/>
            <w:vAlign w:val="center"/>
            <w:hideMark/>
          </w:tcPr>
          <w:p w14:paraId="41755E32" w14:textId="77777777" w:rsidR="007E5CA5" w:rsidRDefault="007E5CA5" w:rsidP="00B92DFE">
            <w:pPr>
              <w:pStyle w:val="SemEspaamento"/>
              <w:rPr>
                <w:lang w:eastAsia="pt-BR"/>
              </w:rPr>
            </w:pPr>
          </w:p>
        </w:tc>
      </w:tr>
      <w:tr w:rsidR="007E5CA5" w14:paraId="1C830764" w14:textId="77777777" w:rsidTr="007E5CA5">
        <w:trPr>
          <w:trHeight w:val="315"/>
        </w:trPr>
        <w:tc>
          <w:tcPr>
            <w:tcW w:w="3550" w:type="pct"/>
            <w:noWrap/>
            <w:vAlign w:val="center"/>
            <w:hideMark/>
          </w:tcPr>
          <w:p w14:paraId="23EE1F76" w14:textId="77777777" w:rsidR="007E5CA5" w:rsidRDefault="007E5CA5" w:rsidP="00B92DFE">
            <w:pPr>
              <w:pStyle w:val="SemEspaamento"/>
              <w:rPr>
                <w:lang w:eastAsia="pt-BR"/>
              </w:rPr>
            </w:pPr>
            <w:r>
              <w:rPr>
                <w:lang w:eastAsia="pt-BR"/>
              </w:rPr>
              <w:t xml:space="preserve">   Até 20 anos</w:t>
            </w:r>
          </w:p>
        </w:tc>
        <w:tc>
          <w:tcPr>
            <w:tcW w:w="1450" w:type="pct"/>
            <w:noWrap/>
            <w:vAlign w:val="center"/>
            <w:hideMark/>
          </w:tcPr>
          <w:p w14:paraId="0139ABDE" w14:textId="77777777" w:rsidR="007E5CA5" w:rsidRDefault="007E5CA5" w:rsidP="00B92DFE">
            <w:pPr>
              <w:pStyle w:val="SemEspaamento"/>
              <w:rPr>
                <w:lang w:eastAsia="pt-BR"/>
              </w:rPr>
            </w:pPr>
            <w:r>
              <w:rPr>
                <w:lang w:eastAsia="pt-BR"/>
              </w:rPr>
              <w:t>2175 (31,5%)</w:t>
            </w:r>
          </w:p>
        </w:tc>
      </w:tr>
      <w:tr w:rsidR="007E5CA5" w14:paraId="2B4D20D5" w14:textId="77777777" w:rsidTr="007E5CA5">
        <w:trPr>
          <w:trHeight w:val="315"/>
        </w:trPr>
        <w:tc>
          <w:tcPr>
            <w:tcW w:w="3550" w:type="pct"/>
            <w:noWrap/>
            <w:vAlign w:val="center"/>
            <w:hideMark/>
          </w:tcPr>
          <w:p w14:paraId="69BF5374" w14:textId="77777777" w:rsidR="007E5CA5" w:rsidRDefault="007E5CA5" w:rsidP="00B92DFE">
            <w:pPr>
              <w:pStyle w:val="SemEspaamento"/>
              <w:rPr>
                <w:lang w:eastAsia="pt-BR"/>
              </w:rPr>
            </w:pPr>
            <w:r>
              <w:rPr>
                <w:lang w:eastAsia="pt-BR"/>
              </w:rPr>
              <w:t xml:space="preserve">   20+ anos</w:t>
            </w:r>
          </w:p>
        </w:tc>
        <w:tc>
          <w:tcPr>
            <w:tcW w:w="1450" w:type="pct"/>
            <w:noWrap/>
            <w:vAlign w:val="center"/>
            <w:hideMark/>
          </w:tcPr>
          <w:p w14:paraId="6BF18375" w14:textId="77777777" w:rsidR="007E5CA5" w:rsidRDefault="007E5CA5" w:rsidP="00B92DFE">
            <w:pPr>
              <w:pStyle w:val="SemEspaamento"/>
              <w:rPr>
                <w:lang w:eastAsia="pt-BR"/>
              </w:rPr>
            </w:pPr>
            <w:r>
              <w:rPr>
                <w:lang w:eastAsia="pt-BR"/>
              </w:rPr>
              <w:t>4731 (68,5%)</w:t>
            </w:r>
          </w:p>
        </w:tc>
      </w:tr>
      <w:tr w:rsidR="007E5CA5" w14:paraId="1BA8C8F6" w14:textId="77777777" w:rsidTr="007E5CA5">
        <w:trPr>
          <w:trHeight w:val="315"/>
        </w:trPr>
        <w:tc>
          <w:tcPr>
            <w:tcW w:w="3550" w:type="pct"/>
            <w:noWrap/>
            <w:vAlign w:val="center"/>
            <w:hideMark/>
          </w:tcPr>
          <w:p w14:paraId="48F152A3" w14:textId="77777777" w:rsidR="007E5CA5" w:rsidRDefault="007E5CA5" w:rsidP="00B92DFE">
            <w:pPr>
              <w:pStyle w:val="SemEspaamento"/>
              <w:rPr>
                <w:lang w:eastAsia="pt-BR"/>
              </w:rPr>
            </w:pPr>
            <w:r>
              <w:rPr>
                <w:lang w:eastAsia="pt-BR"/>
              </w:rPr>
              <w:t>Área da graduação</w:t>
            </w:r>
          </w:p>
        </w:tc>
        <w:tc>
          <w:tcPr>
            <w:tcW w:w="1450" w:type="pct"/>
            <w:noWrap/>
            <w:vAlign w:val="center"/>
            <w:hideMark/>
          </w:tcPr>
          <w:p w14:paraId="6CFC0716" w14:textId="77777777" w:rsidR="007E5CA5" w:rsidRDefault="007E5CA5" w:rsidP="00B92DFE">
            <w:pPr>
              <w:pStyle w:val="SemEspaamento"/>
              <w:rPr>
                <w:lang w:eastAsia="pt-BR"/>
              </w:rPr>
            </w:pPr>
          </w:p>
        </w:tc>
      </w:tr>
      <w:tr w:rsidR="007E5CA5" w14:paraId="7A7162F0" w14:textId="77777777" w:rsidTr="007E5CA5">
        <w:trPr>
          <w:trHeight w:val="315"/>
        </w:trPr>
        <w:tc>
          <w:tcPr>
            <w:tcW w:w="3550" w:type="pct"/>
            <w:noWrap/>
            <w:vAlign w:val="center"/>
            <w:hideMark/>
          </w:tcPr>
          <w:p w14:paraId="3532437C" w14:textId="77777777" w:rsidR="007E5CA5" w:rsidRDefault="007E5CA5" w:rsidP="00B92DFE">
            <w:pPr>
              <w:pStyle w:val="SemEspaamento"/>
              <w:rPr>
                <w:lang w:eastAsia="pt-BR"/>
              </w:rPr>
            </w:pPr>
            <w:r>
              <w:rPr>
                <w:lang w:eastAsia="pt-BR"/>
              </w:rPr>
              <w:t xml:space="preserve">   Artes e Humanidades</w:t>
            </w:r>
          </w:p>
        </w:tc>
        <w:tc>
          <w:tcPr>
            <w:tcW w:w="1450" w:type="pct"/>
            <w:noWrap/>
            <w:vAlign w:val="center"/>
            <w:hideMark/>
          </w:tcPr>
          <w:p w14:paraId="6453B5C6" w14:textId="77777777" w:rsidR="007E5CA5" w:rsidRDefault="007E5CA5" w:rsidP="00B92DFE">
            <w:pPr>
              <w:pStyle w:val="SemEspaamento"/>
              <w:rPr>
                <w:lang w:eastAsia="pt-BR"/>
              </w:rPr>
            </w:pPr>
            <w:r>
              <w:rPr>
                <w:lang w:eastAsia="pt-BR"/>
              </w:rPr>
              <w:t>1922 (27,8%)</w:t>
            </w:r>
          </w:p>
        </w:tc>
      </w:tr>
      <w:tr w:rsidR="007E5CA5" w14:paraId="22281182" w14:textId="77777777" w:rsidTr="007E5CA5">
        <w:trPr>
          <w:trHeight w:val="315"/>
        </w:trPr>
        <w:tc>
          <w:tcPr>
            <w:tcW w:w="3550" w:type="pct"/>
            <w:noWrap/>
            <w:vAlign w:val="center"/>
            <w:hideMark/>
          </w:tcPr>
          <w:p w14:paraId="6AED949C" w14:textId="77777777" w:rsidR="007E5CA5" w:rsidRDefault="007E5CA5" w:rsidP="00B92DFE">
            <w:pPr>
              <w:pStyle w:val="SemEspaamento"/>
              <w:rPr>
                <w:lang w:eastAsia="pt-BR"/>
              </w:rPr>
            </w:pPr>
            <w:r>
              <w:rPr>
                <w:lang w:eastAsia="pt-BR"/>
              </w:rPr>
              <w:lastRenderedPageBreak/>
              <w:t xml:space="preserve">   Ciências Básicas</w:t>
            </w:r>
          </w:p>
        </w:tc>
        <w:tc>
          <w:tcPr>
            <w:tcW w:w="1450" w:type="pct"/>
            <w:noWrap/>
            <w:vAlign w:val="center"/>
            <w:hideMark/>
          </w:tcPr>
          <w:p w14:paraId="376B1597" w14:textId="77777777" w:rsidR="007E5CA5" w:rsidRDefault="007E5CA5" w:rsidP="00B92DFE">
            <w:pPr>
              <w:pStyle w:val="SemEspaamento"/>
              <w:rPr>
                <w:lang w:eastAsia="pt-BR"/>
              </w:rPr>
            </w:pPr>
            <w:r>
              <w:rPr>
                <w:lang w:eastAsia="pt-BR"/>
              </w:rPr>
              <w:t>769 (11,1%)</w:t>
            </w:r>
          </w:p>
        </w:tc>
      </w:tr>
      <w:tr w:rsidR="007E5CA5" w14:paraId="41C43A93" w14:textId="77777777" w:rsidTr="007E5CA5">
        <w:trPr>
          <w:trHeight w:val="315"/>
        </w:trPr>
        <w:tc>
          <w:tcPr>
            <w:tcW w:w="3550" w:type="pct"/>
            <w:noWrap/>
            <w:vAlign w:val="center"/>
            <w:hideMark/>
          </w:tcPr>
          <w:p w14:paraId="76345EEC" w14:textId="77777777" w:rsidR="007E5CA5" w:rsidRDefault="007E5CA5" w:rsidP="00B92DFE">
            <w:pPr>
              <w:pStyle w:val="SemEspaamento"/>
              <w:rPr>
                <w:lang w:eastAsia="pt-BR"/>
              </w:rPr>
            </w:pPr>
            <w:r>
              <w:rPr>
                <w:lang w:eastAsia="pt-BR"/>
              </w:rPr>
              <w:t xml:space="preserve">   Ciências da Saúde</w:t>
            </w:r>
          </w:p>
        </w:tc>
        <w:tc>
          <w:tcPr>
            <w:tcW w:w="1450" w:type="pct"/>
            <w:noWrap/>
            <w:vAlign w:val="center"/>
            <w:hideMark/>
          </w:tcPr>
          <w:p w14:paraId="522A7480" w14:textId="77777777" w:rsidR="007E5CA5" w:rsidRDefault="007E5CA5" w:rsidP="00B92DFE">
            <w:pPr>
              <w:pStyle w:val="SemEspaamento"/>
              <w:rPr>
                <w:lang w:eastAsia="pt-BR"/>
              </w:rPr>
            </w:pPr>
            <w:r>
              <w:rPr>
                <w:lang w:eastAsia="pt-BR"/>
              </w:rPr>
              <w:t>1592 (23,1%)</w:t>
            </w:r>
          </w:p>
        </w:tc>
      </w:tr>
      <w:tr w:rsidR="007E5CA5" w14:paraId="73FE97D2" w14:textId="77777777" w:rsidTr="007E5CA5">
        <w:trPr>
          <w:trHeight w:val="315"/>
        </w:trPr>
        <w:tc>
          <w:tcPr>
            <w:tcW w:w="3550" w:type="pct"/>
            <w:noWrap/>
            <w:vAlign w:val="center"/>
            <w:hideMark/>
          </w:tcPr>
          <w:p w14:paraId="2007FEB5" w14:textId="77777777" w:rsidR="007E5CA5" w:rsidRDefault="007E5CA5" w:rsidP="00B92DFE">
            <w:pPr>
              <w:pStyle w:val="SemEspaamento"/>
              <w:rPr>
                <w:lang w:eastAsia="pt-BR"/>
              </w:rPr>
            </w:pPr>
            <w:r>
              <w:rPr>
                <w:lang w:eastAsia="pt-BR"/>
              </w:rPr>
              <w:t xml:space="preserve">   Exatas e Tecnológicas</w:t>
            </w:r>
          </w:p>
        </w:tc>
        <w:tc>
          <w:tcPr>
            <w:tcW w:w="1450" w:type="pct"/>
            <w:noWrap/>
            <w:vAlign w:val="center"/>
            <w:hideMark/>
          </w:tcPr>
          <w:p w14:paraId="6DC32F68" w14:textId="77777777" w:rsidR="007E5CA5" w:rsidRDefault="007E5CA5" w:rsidP="00B92DFE">
            <w:pPr>
              <w:pStyle w:val="SemEspaamento"/>
              <w:rPr>
                <w:lang w:eastAsia="pt-BR"/>
              </w:rPr>
            </w:pPr>
            <w:r>
              <w:rPr>
                <w:lang w:eastAsia="pt-BR"/>
              </w:rPr>
              <w:t>2316 (33,5%)</w:t>
            </w:r>
          </w:p>
        </w:tc>
      </w:tr>
      <w:tr w:rsidR="007E5CA5" w14:paraId="0F2B5DBE" w14:textId="77777777" w:rsidTr="007E5CA5">
        <w:trPr>
          <w:trHeight w:val="330"/>
        </w:trPr>
        <w:tc>
          <w:tcPr>
            <w:tcW w:w="3550" w:type="pct"/>
            <w:tcBorders>
              <w:top w:val="nil"/>
              <w:left w:val="nil"/>
              <w:bottom w:val="single" w:sz="8" w:space="0" w:color="auto"/>
              <w:right w:val="nil"/>
            </w:tcBorders>
            <w:noWrap/>
            <w:vAlign w:val="center"/>
            <w:hideMark/>
          </w:tcPr>
          <w:p w14:paraId="09135AFD" w14:textId="77777777" w:rsidR="007E5CA5" w:rsidRDefault="007E5CA5" w:rsidP="00B92DFE">
            <w:pPr>
              <w:pStyle w:val="SemEspaamento"/>
              <w:rPr>
                <w:lang w:eastAsia="pt-BR"/>
              </w:rPr>
            </w:pPr>
            <w:r>
              <w:rPr>
                <w:lang w:eastAsia="pt-BR"/>
              </w:rPr>
              <w:t xml:space="preserve">   Profissionalizante</w:t>
            </w:r>
          </w:p>
        </w:tc>
        <w:tc>
          <w:tcPr>
            <w:tcW w:w="1450" w:type="pct"/>
            <w:tcBorders>
              <w:top w:val="nil"/>
              <w:left w:val="nil"/>
              <w:bottom w:val="single" w:sz="4" w:space="0" w:color="auto"/>
              <w:right w:val="nil"/>
            </w:tcBorders>
            <w:noWrap/>
            <w:vAlign w:val="center"/>
            <w:hideMark/>
          </w:tcPr>
          <w:p w14:paraId="46964D96" w14:textId="77777777" w:rsidR="007E5CA5" w:rsidRDefault="007E5CA5" w:rsidP="00B92DFE">
            <w:pPr>
              <w:pStyle w:val="SemEspaamento"/>
              <w:rPr>
                <w:lang w:eastAsia="pt-BR"/>
              </w:rPr>
            </w:pPr>
            <w:r>
              <w:rPr>
                <w:lang w:eastAsia="pt-BR"/>
              </w:rPr>
              <w:t>307 ( 4,4%)</w:t>
            </w:r>
          </w:p>
        </w:tc>
      </w:tr>
    </w:tbl>
    <w:p w14:paraId="0DB80B3B" w14:textId="77777777" w:rsidR="007E5CA5" w:rsidRDefault="007E5CA5" w:rsidP="002E268D"/>
    <w:p w14:paraId="68939BAA" w14:textId="77777777" w:rsidR="007E5CA5" w:rsidRDefault="007E5CA5" w:rsidP="002E268D">
      <w:r>
        <w:t>Mais de 77% dos estudantes realizam suas atividades no campus de Campinas (77,8%, n=5375), e no geral, a maioria mora com outras pessoas que não são os pais (51,7%, n=3571) e não possui carro (72,2%, n=4983). De todos os estudantes, 31,0% (n=2139) relatou trabalhar, 25,9% (n=1790) é bolsista, 74,5% (n=5143) e tem apoio na faculdade. Aproximadamente 27% dos estudantes relataram se relacionar mais na internet do que presencial (27,3%, n=1883), e 93,9% relatou preferir relacionamentos presenciais (n=6486) (tabela 2).</w:t>
      </w:r>
    </w:p>
    <w:p w14:paraId="01C7C2AC" w14:textId="77777777" w:rsidR="007E5CA5" w:rsidRDefault="007E5CA5" w:rsidP="002E268D">
      <w:r>
        <w:rPr>
          <w:b/>
          <w:bCs/>
        </w:rPr>
        <w:t xml:space="preserve">Tabela 2. </w:t>
      </w:r>
      <w:r>
        <w:t xml:space="preserve"> Características de como vivem os estudantes avaliados no presente estudo.</w:t>
      </w:r>
    </w:p>
    <w:tbl>
      <w:tblPr>
        <w:tblW w:w="5000" w:type="pct"/>
        <w:tblCellMar>
          <w:left w:w="70" w:type="dxa"/>
          <w:right w:w="70" w:type="dxa"/>
        </w:tblCellMar>
        <w:tblLook w:val="04A0" w:firstRow="1" w:lastRow="0" w:firstColumn="1" w:lastColumn="0" w:noHBand="0" w:noVBand="1"/>
      </w:tblPr>
      <w:tblGrid>
        <w:gridCol w:w="6036"/>
        <w:gridCol w:w="2468"/>
      </w:tblGrid>
      <w:tr w:rsidR="007E5CA5" w14:paraId="09CC1E61" w14:textId="77777777" w:rsidTr="007E5CA5">
        <w:trPr>
          <w:trHeight w:val="330"/>
        </w:trPr>
        <w:tc>
          <w:tcPr>
            <w:tcW w:w="3549" w:type="pct"/>
            <w:tcBorders>
              <w:top w:val="single" w:sz="8" w:space="0" w:color="auto"/>
              <w:left w:val="nil"/>
              <w:bottom w:val="single" w:sz="4" w:space="0" w:color="auto"/>
              <w:right w:val="nil"/>
            </w:tcBorders>
            <w:noWrap/>
            <w:vAlign w:val="center"/>
            <w:hideMark/>
          </w:tcPr>
          <w:p w14:paraId="6783E1E6" w14:textId="77777777" w:rsidR="007E5CA5" w:rsidRDefault="007E5CA5" w:rsidP="00C67ED3">
            <w:pPr>
              <w:pStyle w:val="SemEspaamento"/>
              <w:rPr>
                <w:lang w:eastAsia="pt-BR"/>
              </w:rPr>
            </w:pPr>
            <w:r>
              <w:rPr>
                <w:lang w:eastAsia="pt-BR"/>
              </w:rPr>
              <w:t>Variáveis</w:t>
            </w:r>
          </w:p>
        </w:tc>
        <w:tc>
          <w:tcPr>
            <w:tcW w:w="1451" w:type="pct"/>
            <w:tcBorders>
              <w:top w:val="single" w:sz="8" w:space="0" w:color="auto"/>
              <w:left w:val="nil"/>
              <w:bottom w:val="single" w:sz="4" w:space="0" w:color="auto"/>
              <w:right w:val="nil"/>
            </w:tcBorders>
            <w:noWrap/>
            <w:vAlign w:val="center"/>
            <w:hideMark/>
          </w:tcPr>
          <w:p w14:paraId="497E3535" w14:textId="77777777" w:rsidR="007E5CA5" w:rsidRDefault="007E5CA5" w:rsidP="00C67ED3">
            <w:pPr>
              <w:pStyle w:val="SemEspaamento"/>
              <w:rPr>
                <w:rFonts w:cs="Times New Roman"/>
                <w:b/>
                <w:bCs/>
                <w:lang w:eastAsia="pt-BR"/>
              </w:rPr>
            </w:pPr>
            <w:r>
              <w:rPr>
                <w:rFonts w:cs="Times New Roman"/>
                <w:b/>
                <w:bCs/>
                <w:lang w:eastAsia="pt-BR"/>
              </w:rPr>
              <w:t>n (%)</w:t>
            </w:r>
          </w:p>
        </w:tc>
      </w:tr>
      <w:tr w:rsidR="007E5CA5" w14:paraId="2D20A99F" w14:textId="77777777" w:rsidTr="007E5CA5">
        <w:trPr>
          <w:trHeight w:val="315"/>
        </w:trPr>
        <w:tc>
          <w:tcPr>
            <w:tcW w:w="3549" w:type="pct"/>
            <w:tcBorders>
              <w:top w:val="single" w:sz="4" w:space="0" w:color="auto"/>
              <w:left w:val="nil"/>
              <w:bottom w:val="nil"/>
              <w:right w:val="nil"/>
            </w:tcBorders>
            <w:noWrap/>
            <w:vAlign w:val="center"/>
            <w:hideMark/>
          </w:tcPr>
          <w:p w14:paraId="76B626D5" w14:textId="77777777" w:rsidR="007E5CA5" w:rsidRDefault="007E5CA5" w:rsidP="00C67ED3">
            <w:pPr>
              <w:pStyle w:val="SemEspaamento"/>
              <w:rPr>
                <w:lang w:eastAsia="pt-BR"/>
              </w:rPr>
            </w:pPr>
            <w:r>
              <w:rPr>
                <w:lang w:eastAsia="pt-BR"/>
              </w:rPr>
              <w:t>Campus de Campinas</w:t>
            </w:r>
          </w:p>
        </w:tc>
        <w:tc>
          <w:tcPr>
            <w:tcW w:w="1451" w:type="pct"/>
            <w:tcBorders>
              <w:top w:val="single" w:sz="4" w:space="0" w:color="auto"/>
              <w:left w:val="nil"/>
              <w:bottom w:val="nil"/>
              <w:right w:val="nil"/>
            </w:tcBorders>
            <w:noWrap/>
            <w:vAlign w:val="center"/>
            <w:hideMark/>
          </w:tcPr>
          <w:p w14:paraId="44FCB10A" w14:textId="77777777" w:rsidR="007E5CA5" w:rsidRDefault="007E5CA5" w:rsidP="00C67ED3">
            <w:pPr>
              <w:pStyle w:val="SemEspaamento"/>
              <w:rPr>
                <w:lang w:eastAsia="pt-BR"/>
              </w:rPr>
            </w:pPr>
          </w:p>
        </w:tc>
      </w:tr>
      <w:tr w:rsidR="007E5CA5" w14:paraId="261F2C7B" w14:textId="77777777" w:rsidTr="007E5CA5">
        <w:trPr>
          <w:trHeight w:val="315"/>
        </w:trPr>
        <w:tc>
          <w:tcPr>
            <w:tcW w:w="3549" w:type="pct"/>
            <w:noWrap/>
            <w:vAlign w:val="center"/>
            <w:hideMark/>
          </w:tcPr>
          <w:p w14:paraId="5917FC32" w14:textId="77777777" w:rsidR="007E5CA5" w:rsidRDefault="007E5CA5" w:rsidP="00C67ED3">
            <w:pPr>
              <w:pStyle w:val="SemEspaamento"/>
              <w:rPr>
                <w:lang w:eastAsia="pt-BR"/>
              </w:rPr>
            </w:pPr>
            <w:r>
              <w:rPr>
                <w:lang w:eastAsia="pt-BR"/>
              </w:rPr>
              <w:t xml:space="preserve">   Sim</w:t>
            </w:r>
          </w:p>
        </w:tc>
        <w:tc>
          <w:tcPr>
            <w:tcW w:w="1451" w:type="pct"/>
            <w:noWrap/>
            <w:vAlign w:val="center"/>
            <w:hideMark/>
          </w:tcPr>
          <w:p w14:paraId="0832F64A" w14:textId="77777777" w:rsidR="007E5CA5" w:rsidRDefault="007E5CA5" w:rsidP="00C67ED3">
            <w:pPr>
              <w:pStyle w:val="SemEspaamento"/>
              <w:rPr>
                <w:rFonts w:cs="Times New Roman"/>
                <w:sz w:val="22"/>
                <w:lang w:eastAsia="pt-BR"/>
              </w:rPr>
            </w:pPr>
            <w:r>
              <w:rPr>
                <w:rFonts w:cs="Times New Roman"/>
                <w:sz w:val="22"/>
                <w:lang w:eastAsia="pt-BR"/>
              </w:rPr>
              <w:t>5375 (77,8%)</w:t>
            </w:r>
          </w:p>
        </w:tc>
      </w:tr>
      <w:tr w:rsidR="007E5CA5" w14:paraId="358A208D" w14:textId="77777777" w:rsidTr="007E5CA5">
        <w:trPr>
          <w:trHeight w:val="315"/>
        </w:trPr>
        <w:tc>
          <w:tcPr>
            <w:tcW w:w="3549" w:type="pct"/>
            <w:noWrap/>
            <w:vAlign w:val="center"/>
            <w:hideMark/>
          </w:tcPr>
          <w:p w14:paraId="14FA3BFC" w14:textId="77777777" w:rsidR="007E5CA5" w:rsidRDefault="007E5CA5" w:rsidP="00C67ED3">
            <w:pPr>
              <w:pStyle w:val="SemEspaamento"/>
              <w:rPr>
                <w:lang w:eastAsia="pt-BR"/>
              </w:rPr>
            </w:pPr>
            <w:r>
              <w:rPr>
                <w:lang w:eastAsia="pt-BR"/>
              </w:rPr>
              <w:t xml:space="preserve">   Não</w:t>
            </w:r>
          </w:p>
        </w:tc>
        <w:tc>
          <w:tcPr>
            <w:tcW w:w="1451" w:type="pct"/>
            <w:noWrap/>
            <w:vAlign w:val="center"/>
            <w:hideMark/>
          </w:tcPr>
          <w:p w14:paraId="5EDBE918" w14:textId="77777777" w:rsidR="007E5CA5" w:rsidRDefault="007E5CA5" w:rsidP="00C67ED3">
            <w:pPr>
              <w:pStyle w:val="SemEspaamento"/>
              <w:rPr>
                <w:rFonts w:cs="Times New Roman"/>
                <w:sz w:val="22"/>
                <w:lang w:eastAsia="pt-BR"/>
              </w:rPr>
            </w:pPr>
            <w:r>
              <w:rPr>
                <w:rFonts w:cs="Times New Roman"/>
                <w:sz w:val="22"/>
                <w:lang w:eastAsia="pt-BR"/>
              </w:rPr>
              <w:t>1530 (22,2%)</w:t>
            </w:r>
          </w:p>
        </w:tc>
      </w:tr>
      <w:tr w:rsidR="007E5CA5" w14:paraId="6EEA01B9" w14:textId="77777777" w:rsidTr="007E5CA5">
        <w:trPr>
          <w:trHeight w:val="315"/>
        </w:trPr>
        <w:tc>
          <w:tcPr>
            <w:tcW w:w="3549" w:type="pct"/>
            <w:noWrap/>
            <w:vAlign w:val="center"/>
            <w:hideMark/>
          </w:tcPr>
          <w:p w14:paraId="0F0F8B1B" w14:textId="77777777" w:rsidR="007E5CA5" w:rsidRDefault="007E5CA5" w:rsidP="00C67ED3">
            <w:pPr>
              <w:pStyle w:val="SemEspaamento"/>
              <w:rPr>
                <w:lang w:eastAsia="pt-BR"/>
              </w:rPr>
            </w:pPr>
            <w:r>
              <w:rPr>
                <w:lang w:eastAsia="pt-BR"/>
              </w:rPr>
              <w:t>Moradia compartilhada</w:t>
            </w:r>
          </w:p>
        </w:tc>
        <w:tc>
          <w:tcPr>
            <w:tcW w:w="1451" w:type="pct"/>
            <w:noWrap/>
            <w:vAlign w:val="center"/>
            <w:hideMark/>
          </w:tcPr>
          <w:p w14:paraId="62584207" w14:textId="77777777" w:rsidR="007E5CA5" w:rsidRDefault="007E5CA5" w:rsidP="00C67ED3">
            <w:pPr>
              <w:pStyle w:val="SemEspaamento"/>
              <w:rPr>
                <w:lang w:eastAsia="pt-BR"/>
              </w:rPr>
            </w:pPr>
          </w:p>
        </w:tc>
      </w:tr>
      <w:tr w:rsidR="007E5CA5" w14:paraId="7C7B779D" w14:textId="77777777" w:rsidTr="007E5CA5">
        <w:trPr>
          <w:trHeight w:val="315"/>
        </w:trPr>
        <w:tc>
          <w:tcPr>
            <w:tcW w:w="3549" w:type="pct"/>
            <w:noWrap/>
            <w:vAlign w:val="center"/>
            <w:hideMark/>
          </w:tcPr>
          <w:p w14:paraId="225107BA" w14:textId="77777777" w:rsidR="007E5CA5" w:rsidRDefault="007E5CA5" w:rsidP="00C67ED3">
            <w:pPr>
              <w:pStyle w:val="SemEspaamento"/>
              <w:rPr>
                <w:lang w:eastAsia="pt-BR"/>
              </w:rPr>
            </w:pPr>
            <w:r>
              <w:rPr>
                <w:lang w:eastAsia="pt-BR"/>
              </w:rPr>
              <w:t xml:space="preserve">  Outras pessoas</w:t>
            </w:r>
          </w:p>
        </w:tc>
        <w:tc>
          <w:tcPr>
            <w:tcW w:w="1451" w:type="pct"/>
            <w:noWrap/>
            <w:vAlign w:val="center"/>
            <w:hideMark/>
          </w:tcPr>
          <w:p w14:paraId="19A2253E" w14:textId="77777777" w:rsidR="007E5CA5" w:rsidRDefault="007E5CA5" w:rsidP="00C67ED3">
            <w:pPr>
              <w:pStyle w:val="SemEspaamento"/>
              <w:rPr>
                <w:rFonts w:cs="Times New Roman"/>
                <w:sz w:val="22"/>
                <w:lang w:eastAsia="pt-BR"/>
              </w:rPr>
            </w:pPr>
            <w:r>
              <w:rPr>
                <w:rFonts w:cs="Times New Roman"/>
                <w:sz w:val="22"/>
                <w:lang w:eastAsia="pt-BR"/>
              </w:rPr>
              <w:t>3571 (51,7%)</w:t>
            </w:r>
          </w:p>
        </w:tc>
      </w:tr>
      <w:tr w:rsidR="007E5CA5" w14:paraId="2B994DCA" w14:textId="77777777" w:rsidTr="007E5CA5">
        <w:trPr>
          <w:trHeight w:val="315"/>
        </w:trPr>
        <w:tc>
          <w:tcPr>
            <w:tcW w:w="3549" w:type="pct"/>
            <w:noWrap/>
            <w:vAlign w:val="center"/>
            <w:hideMark/>
          </w:tcPr>
          <w:p w14:paraId="27A8B5CD" w14:textId="77777777" w:rsidR="007E5CA5" w:rsidRDefault="007E5CA5" w:rsidP="00C67ED3">
            <w:pPr>
              <w:pStyle w:val="SemEspaamento"/>
              <w:rPr>
                <w:lang w:eastAsia="pt-BR"/>
              </w:rPr>
            </w:pPr>
            <w:r>
              <w:rPr>
                <w:lang w:eastAsia="pt-BR"/>
              </w:rPr>
              <w:t xml:space="preserve">   Pais</w:t>
            </w:r>
          </w:p>
        </w:tc>
        <w:tc>
          <w:tcPr>
            <w:tcW w:w="1451" w:type="pct"/>
            <w:noWrap/>
            <w:vAlign w:val="center"/>
            <w:hideMark/>
          </w:tcPr>
          <w:p w14:paraId="0E534561" w14:textId="77777777" w:rsidR="007E5CA5" w:rsidRDefault="007E5CA5" w:rsidP="00C67ED3">
            <w:pPr>
              <w:pStyle w:val="SemEspaamento"/>
              <w:rPr>
                <w:rFonts w:cs="Times New Roman"/>
                <w:sz w:val="22"/>
                <w:lang w:eastAsia="pt-BR"/>
              </w:rPr>
            </w:pPr>
            <w:r>
              <w:rPr>
                <w:rFonts w:cs="Times New Roman"/>
                <w:sz w:val="22"/>
                <w:lang w:eastAsia="pt-BR"/>
              </w:rPr>
              <w:t>2385 (34,5%)</w:t>
            </w:r>
          </w:p>
        </w:tc>
      </w:tr>
      <w:tr w:rsidR="007E5CA5" w14:paraId="1A040861" w14:textId="77777777" w:rsidTr="007E5CA5">
        <w:trPr>
          <w:trHeight w:val="315"/>
        </w:trPr>
        <w:tc>
          <w:tcPr>
            <w:tcW w:w="3549" w:type="pct"/>
            <w:noWrap/>
            <w:vAlign w:val="center"/>
            <w:hideMark/>
          </w:tcPr>
          <w:p w14:paraId="334A1706" w14:textId="77777777" w:rsidR="007E5CA5" w:rsidRDefault="007E5CA5" w:rsidP="00C67ED3">
            <w:pPr>
              <w:pStyle w:val="SemEspaamento"/>
              <w:rPr>
                <w:lang w:eastAsia="pt-BR"/>
              </w:rPr>
            </w:pPr>
            <w:r>
              <w:rPr>
                <w:lang w:eastAsia="pt-BR"/>
              </w:rPr>
              <w:t xml:space="preserve">   Só</w:t>
            </w:r>
          </w:p>
        </w:tc>
        <w:tc>
          <w:tcPr>
            <w:tcW w:w="1451" w:type="pct"/>
            <w:noWrap/>
            <w:vAlign w:val="center"/>
            <w:hideMark/>
          </w:tcPr>
          <w:p w14:paraId="3C621673" w14:textId="77777777" w:rsidR="007E5CA5" w:rsidRDefault="007E5CA5" w:rsidP="00C67ED3">
            <w:pPr>
              <w:pStyle w:val="SemEspaamento"/>
              <w:rPr>
                <w:rFonts w:cs="Times New Roman"/>
                <w:sz w:val="22"/>
                <w:lang w:eastAsia="pt-BR"/>
              </w:rPr>
            </w:pPr>
            <w:r>
              <w:rPr>
                <w:rFonts w:cs="Times New Roman"/>
                <w:sz w:val="22"/>
                <w:lang w:eastAsia="pt-BR"/>
              </w:rPr>
              <w:t>926 (13,4%)</w:t>
            </w:r>
          </w:p>
        </w:tc>
      </w:tr>
      <w:tr w:rsidR="007E5CA5" w14:paraId="2C180F46" w14:textId="77777777" w:rsidTr="007E5CA5">
        <w:trPr>
          <w:trHeight w:val="315"/>
        </w:trPr>
        <w:tc>
          <w:tcPr>
            <w:tcW w:w="3549" w:type="pct"/>
            <w:noWrap/>
            <w:vAlign w:val="center"/>
            <w:hideMark/>
          </w:tcPr>
          <w:p w14:paraId="27C23979" w14:textId="77777777" w:rsidR="007E5CA5" w:rsidRDefault="007E5CA5" w:rsidP="00C67ED3">
            <w:pPr>
              <w:pStyle w:val="SemEspaamento"/>
              <w:rPr>
                <w:lang w:eastAsia="pt-BR"/>
              </w:rPr>
            </w:pPr>
            <w:r>
              <w:rPr>
                <w:lang w:eastAsia="pt-BR"/>
              </w:rPr>
              <w:t>Possui carro</w:t>
            </w:r>
          </w:p>
        </w:tc>
        <w:tc>
          <w:tcPr>
            <w:tcW w:w="1451" w:type="pct"/>
            <w:noWrap/>
            <w:vAlign w:val="center"/>
            <w:hideMark/>
          </w:tcPr>
          <w:p w14:paraId="61238E54" w14:textId="77777777" w:rsidR="007E5CA5" w:rsidRDefault="007E5CA5" w:rsidP="00C67ED3">
            <w:pPr>
              <w:pStyle w:val="SemEspaamento"/>
              <w:rPr>
                <w:lang w:eastAsia="pt-BR"/>
              </w:rPr>
            </w:pPr>
          </w:p>
        </w:tc>
      </w:tr>
      <w:tr w:rsidR="007E5CA5" w14:paraId="0116BB83" w14:textId="77777777" w:rsidTr="007E5CA5">
        <w:trPr>
          <w:trHeight w:val="315"/>
        </w:trPr>
        <w:tc>
          <w:tcPr>
            <w:tcW w:w="3549" w:type="pct"/>
            <w:noWrap/>
            <w:vAlign w:val="center"/>
            <w:hideMark/>
          </w:tcPr>
          <w:p w14:paraId="320EB358" w14:textId="77777777" w:rsidR="007E5CA5" w:rsidRDefault="007E5CA5" w:rsidP="00C67ED3">
            <w:pPr>
              <w:pStyle w:val="SemEspaamento"/>
              <w:rPr>
                <w:lang w:eastAsia="pt-BR"/>
              </w:rPr>
            </w:pPr>
            <w:r>
              <w:rPr>
                <w:lang w:eastAsia="pt-BR"/>
              </w:rPr>
              <w:t xml:space="preserve">   Não</w:t>
            </w:r>
          </w:p>
        </w:tc>
        <w:tc>
          <w:tcPr>
            <w:tcW w:w="1451" w:type="pct"/>
            <w:noWrap/>
            <w:vAlign w:val="center"/>
            <w:hideMark/>
          </w:tcPr>
          <w:p w14:paraId="7902F24F" w14:textId="77777777" w:rsidR="007E5CA5" w:rsidRDefault="007E5CA5" w:rsidP="00C67ED3">
            <w:pPr>
              <w:pStyle w:val="SemEspaamento"/>
              <w:rPr>
                <w:rFonts w:cs="Times New Roman"/>
                <w:sz w:val="22"/>
                <w:lang w:eastAsia="pt-BR"/>
              </w:rPr>
            </w:pPr>
            <w:r>
              <w:rPr>
                <w:rFonts w:cs="Times New Roman"/>
                <w:sz w:val="22"/>
                <w:lang w:eastAsia="pt-BR"/>
              </w:rPr>
              <w:t>4983 (72,2%)</w:t>
            </w:r>
          </w:p>
        </w:tc>
      </w:tr>
      <w:tr w:rsidR="007E5CA5" w14:paraId="75885EDD" w14:textId="77777777" w:rsidTr="007E5CA5">
        <w:trPr>
          <w:trHeight w:val="315"/>
        </w:trPr>
        <w:tc>
          <w:tcPr>
            <w:tcW w:w="3549" w:type="pct"/>
            <w:noWrap/>
            <w:vAlign w:val="center"/>
            <w:hideMark/>
          </w:tcPr>
          <w:p w14:paraId="602438F9" w14:textId="77777777" w:rsidR="007E5CA5" w:rsidRDefault="007E5CA5" w:rsidP="00C67ED3">
            <w:pPr>
              <w:pStyle w:val="SemEspaamento"/>
              <w:rPr>
                <w:lang w:eastAsia="pt-BR"/>
              </w:rPr>
            </w:pPr>
            <w:r>
              <w:rPr>
                <w:lang w:eastAsia="pt-BR"/>
              </w:rPr>
              <w:t xml:space="preserve">   Sim</w:t>
            </w:r>
          </w:p>
        </w:tc>
        <w:tc>
          <w:tcPr>
            <w:tcW w:w="1451" w:type="pct"/>
            <w:noWrap/>
            <w:vAlign w:val="center"/>
            <w:hideMark/>
          </w:tcPr>
          <w:p w14:paraId="68AAA4FD" w14:textId="77777777" w:rsidR="007E5CA5" w:rsidRDefault="007E5CA5" w:rsidP="00C67ED3">
            <w:pPr>
              <w:pStyle w:val="SemEspaamento"/>
              <w:rPr>
                <w:rFonts w:cs="Times New Roman"/>
                <w:sz w:val="22"/>
                <w:lang w:eastAsia="pt-BR"/>
              </w:rPr>
            </w:pPr>
            <w:r>
              <w:rPr>
                <w:rFonts w:cs="Times New Roman"/>
                <w:sz w:val="22"/>
                <w:lang w:eastAsia="pt-BR"/>
              </w:rPr>
              <w:t>1901 (27,5%)</w:t>
            </w:r>
          </w:p>
        </w:tc>
      </w:tr>
      <w:tr w:rsidR="007E5CA5" w14:paraId="32F9957C" w14:textId="77777777" w:rsidTr="007E5CA5">
        <w:trPr>
          <w:trHeight w:val="315"/>
        </w:trPr>
        <w:tc>
          <w:tcPr>
            <w:tcW w:w="3549" w:type="pct"/>
            <w:noWrap/>
            <w:vAlign w:val="center"/>
            <w:hideMark/>
          </w:tcPr>
          <w:p w14:paraId="0BAC4624" w14:textId="77777777" w:rsidR="007E5CA5" w:rsidRDefault="007E5CA5" w:rsidP="00C67ED3">
            <w:pPr>
              <w:pStyle w:val="SemEspaamento"/>
              <w:rPr>
                <w:lang w:eastAsia="pt-BR"/>
              </w:rPr>
            </w:pPr>
            <w:r>
              <w:rPr>
                <w:lang w:eastAsia="pt-BR"/>
              </w:rPr>
              <w:t>Trabalha</w:t>
            </w:r>
          </w:p>
        </w:tc>
        <w:tc>
          <w:tcPr>
            <w:tcW w:w="1451" w:type="pct"/>
            <w:noWrap/>
            <w:vAlign w:val="center"/>
            <w:hideMark/>
          </w:tcPr>
          <w:p w14:paraId="6B0B7E4F" w14:textId="77777777" w:rsidR="007E5CA5" w:rsidRDefault="007E5CA5" w:rsidP="00C67ED3">
            <w:pPr>
              <w:pStyle w:val="SemEspaamento"/>
              <w:rPr>
                <w:lang w:eastAsia="pt-BR"/>
              </w:rPr>
            </w:pPr>
          </w:p>
        </w:tc>
      </w:tr>
      <w:tr w:rsidR="007E5CA5" w14:paraId="3783C00A" w14:textId="77777777" w:rsidTr="007E5CA5">
        <w:trPr>
          <w:trHeight w:val="315"/>
        </w:trPr>
        <w:tc>
          <w:tcPr>
            <w:tcW w:w="3549" w:type="pct"/>
            <w:noWrap/>
            <w:vAlign w:val="center"/>
            <w:hideMark/>
          </w:tcPr>
          <w:p w14:paraId="2BE88865" w14:textId="77777777" w:rsidR="007E5CA5" w:rsidRDefault="007E5CA5" w:rsidP="00C67ED3">
            <w:pPr>
              <w:pStyle w:val="SemEspaamento"/>
              <w:rPr>
                <w:lang w:eastAsia="pt-BR"/>
              </w:rPr>
            </w:pPr>
            <w:r>
              <w:rPr>
                <w:lang w:eastAsia="pt-BR"/>
              </w:rPr>
              <w:t xml:space="preserve">   Não</w:t>
            </w:r>
          </w:p>
        </w:tc>
        <w:tc>
          <w:tcPr>
            <w:tcW w:w="1451" w:type="pct"/>
            <w:noWrap/>
            <w:vAlign w:val="center"/>
            <w:hideMark/>
          </w:tcPr>
          <w:p w14:paraId="12C55613" w14:textId="77777777" w:rsidR="007E5CA5" w:rsidRDefault="007E5CA5" w:rsidP="00C67ED3">
            <w:pPr>
              <w:pStyle w:val="SemEspaamento"/>
              <w:rPr>
                <w:rFonts w:cs="Times New Roman"/>
                <w:sz w:val="22"/>
                <w:lang w:eastAsia="pt-BR"/>
              </w:rPr>
            </w:pPr>
            <w:r>
              <w:rPr>
                <w:rFonts w:cs="Times New Roman"/>
                <w:sz w:val="22"/>
                <w:lang w:eastAsia="pt-BR"/>
              </w:rPr>
              <w:t>4737 (68,6%)</w:t>
            </w:r>
          </w:p>
        </w:tc>
      </w:tr>
      <w:tr w:rsidR="007E5CA5" w14:paraId="74ABBB83" w14:textId="77777777" w:rsidTr="007E5CA5">
        <w:trPr>
          <w:trHeight w:val="315"/>
        </w:trPr>
        <w:tc>
          <w:tcPr>
            <w:tcW w:w="3549" w:type="pct"/>
            <w:noWrap/>
            <w:vAlign w:val="center"/>
            <w:hideMark/>
          </w:tcPr>
          <w:p w14:paraId="546B0EC2" w14:textId="77777777" w:rsidR="007E5CA5" w:rsidRDefault="007E5CA5" w:rsidP="00C67ED3">
            <w:pPr>
              <w:pStyle w:val="SemEspaamento"/>
              <w:rPr>
                <w:lang w:eastAsia="pt-BR"/>
              </w:rPr>
            </w:pPr>
            <w:r>
              <w:rPr>
                <w:lang w:eastAsia="pt-BR"/>
              </w:rPr>
              <w:t xml:space="preserve">   Sim</w:t>
            </w:r>
          </w:p>
        </w:tc>
        <w:tc>
          <w:tcPr>
            <w:tcW w:w="1451" w:type="pct"/>
            <w:noWrap/>
            <w:vAlign w:val="center"/>
            <w:hideMark/>
          </w:tcPr>
          <w:p w14:paraId="2A21FB20" w14:textId="77777777" w:rsidR="007E5CA5" w:rsidRDefault="007E5CA5" w:rsidP="00C67ED3">
            <w:pPr>
              <w:pStyle w:val="SemEspaamento"/>
              <w:rPr>
                <w:rFonts w:cs="Times New Roman"/>
                <w:sz w:val="22"/>
                <w:lang w:eastAsia="pt-BR"/>
              </w:rPr>
            </w:pPr>
            <w:r>
              <w:rPr>
                <w:rFonts w:cs="Times New Roman"/>
                <w:sz w:val="22"/>
                <w:lang w:eastAsia="pt-BR"/>
              </w:rPr>
              <w:t>2139 (31,0%)</w:t>
            </w:r>
          </w:p>
        </w:tc>
      </w:tr>
      <w:tr w:rsidR="007E5CA5" w14:paraId="4358E659" w14:textId="77777777" w:rsidTr="007E5CA5">
        <w:trPr>
          <w:trHeight w:val="315"/>
        </w:trPr>
        <w:tc>
          <w:tcPr>
            <w:tcW w:w="3549" w:type="pct"/>
            <w:noWrap/>
            <w:vAlign w:val="center"/>
            <w:hideMark/>
          </w:tcPr>
          <w:p w14:paraId="7B4575F7" w14:textId="77777777" w:rsidR="007E5CA5" w:rsidRDefault="007E5CA5" w:rsidP="00C67ED3">
            <w:pPr>
              <w:pStyle w:val="SemEspaamento"/>
              <w:rPr>
                <w:lang w:eastAsia="pt-BR"/>
              </w:rPr>
            </w:pPr>
            <w:r>
              <w:rPr>
                <w:lang w:eastAsia="pt-BR"/>
              </w:rPr>
              <w:t>Bolsista</w:t>
            </w:r>
          </w:p>
        </w:tc>
        <w:tc>
          <w:tcPr>
            <w:tcW w:w="1451" w:type="pct"/>
            <w:noWrap/>
            <w:vAlign w:val="center"/>
            <w:hideMark/>
          </w:tcPr>
          <w:p w14:paraId="32CB7BCB" w14:textId="77777777" w:rsidR="007E5CA5" w:rsidRDefault="007E5CA5" w:rsidP="00C67ED3">
            <w:pPr>
              <w:pStyle w:val="SemEspaamento"/>
              <w:rPr>
                <w:lang w:eastAsia="pt-BR"/>
              </w:rPr>
            </w:pPr>
          </w:p>
        </w:tc>
      </w:tr>
      <w:tr w:rsidR="007E5CA5" w14:paraId="52FDAC01" w14:textId="77777777" w:rsidTr="007E5CA5">
        <w:trPr>
          <w:trHeight w:val="315"/>
        </w:trPr>
        <w:tc>
          <w:tcPr>
            <w:tcW w:w="3549" w:type="pct"/>
            <w:noWrap/>
            <w:vAlign w:val="center"/>
            <w:hideMark/>
          </w:tcPr>
          <w:p w14:paraId="4489C8BC" w14:textId="77777777" w:rsidR="007E5CA5" w:rsidRDefault="007E5CA5" w:rsidP="00C67ED3">
            <w:pPr>
              <w:pStyle w:val="SemEspaamento"/>
              <w:rPr>
                <w:lang w:eastAsia="pt-BR"/>
              </w:rPr>
            </w:pPr>
            <w:r>
              <w:rPr>
                <w:lang w:eastAsia="pt-BR"/>
              </w:rPr>
              <w:t xml:space="preserve">   Não</w:t>
            </w:r>
          </w:p>
        </w:tc>
        <w:tc>
          <w:tcPr>
            <w:tcW w:w="1451" w:type="pct"/>
            <w:noWrap/>
            <w:vAlign w:val="center"/>
            <w:hideMark/>
          </w:tcPr>
          <w:p w14:paraId="74E6BD6B" w14:textId="77777777" w:rsidR="007E5CA5" w:rsidRDefault="007E5CA5" w:rsidP="00C67ED3">
            <w:pPr>
              <w:pStyle w:val="SemEspaamento"/>
              <w:rPr>
                <w:rFonts w:cs="Times New Roman"/>
                <w:sz w:val="22"/>
                <w:lang w:eastAsia="pt-BR"/>
              </w:rPr>
            </w:pPr>
            <w:r>
              <w:rPr>
                <w:rFonts w:cs="Times New Roman"/>
                <w:sz w:val="22"/>
                <w:lang w:eastAsia="pt-BR"/>
              </w:rPr>
              <w:t>5065 (73,3%)</w:t>
            </w:r>
          </w:p>
        </w:tc>
      </w:tr>
      <w:tr w:rsidR="007E5CA5" w14:paraId="23510155" w14:textId="77777777" w:rsidTr="007E5CA5">
        <w:trPr>
          <w:trHeight w:val="315"/>
        </w:trPr>
        <w:tc>
          <w:tcPr>
            <w:tcW w:w="3549" w:type="pct"/>
            <w:noWrap/>
            <w:vAlign w:val="center"/>
            <w:hideMark/>
          </w:tcPr>
          <w:p w14:paraId="68BC7F33" w14:textId="77777777" w:rsidR="007E5CA5" w:rsidRDefault="007E5CA5" w:rsidP="00C67ED3">
            <w:pPr>
              <w:pStyle w:val="SemEspaamento"/>
              <w:rPr>
                <w:lang w:eastAsia="pt-BR"/>
              </w:rPr>
            </w:pPr>
            <w:r>
              <w:rPr>
                <w:lang w:eastAsia="pt-BR"/>
              </w:rPr>
              <w:t xml:space="preserve">   Sim</w:t>
            </w:r>
          </w:p>
        </w:tc>
        <w:tc>
          <w:tcPr>
            <w:tcW w:w="1451" w:type="pct"/>
            <w:noWrap/>
            <w:vAlign w:val="center"/>
            <w:hideMark/>
          </w:tcPr>
          <w:p w14:paraId="2268A364" w14:textId="77777777" w:rsidR="007E5CA5" w:rsidRDefault="007E5CA5" w:rsidP="00C67ED3">
            <w:pPr>
              <w:pStyle w:val="SemEspaamento"/>
              <w:rPr>
                <w:rFonts w:cs="Times New Roman"/>
                <w:sz w:val="22"/>
                <w:lang w:eastAsia="pt-BR"/>
              </w:rPr>
            </w:pPr>
            <w:r>
              <w:rPr>
                <w:rFonts w:cs="Times New Roman"/>
                <w:sz w:val="22"/>
                <w:lang w:eastAsia="pt-BR"/>
              </w:rPr>
              <w:t>1790 (25,9%)</w:t>
            </w:r>
          </w:p>
        </w:tc>
      </w:tr>
      <w:tr w:rsidR="007E5CA5" w14:paraId="2E63957B" w14:textId="77777777" w:rsidTr="007E5CA5">
        <w:trPr>
          <w:trHeight w:val="315"/>
        </w:trPr>
        <w:tc>
          <w:tcPr>
            <w:tcW w:w="3549" w:type="pct"/>
            <w:noWrap/>
            <w:vAlign w:val="center"/>
            <w:hideMark/>
          </w:tcPr>
          <w:p w14:paraId="75ACD0B9" w14:textId="77777777" w:rsidR="007E5CA5" w:rsidRDefault="007E5CA5" w:rsidP="00C67ED3">
            <w:pPr>
              <w:pStyle w:val="SemEspaamento"/>
              <w:rPr>
                <w:lang w:eastAsia="pt-BR"/>
              </w:rPr>
            </w:pPr>
            <w:r>
              <w:rPr>
                <w:lang w:eastAsia="pt-BR"/>
              </w:rPr>
              <w:t>Tem apoio na faculdade</w:t>
            </w:r>
          </w:p>
        </w:tc>
        <w:tc>
          <w:tcPr>
            <w:tcW w:w="1451" w:type="pct"/>
            <w:noWrap/>
            <w:vAlign w:val="center"/>
            <w:hideMark/>
          </w:tcPr>
          <w:p w14:paraId="01D047EA" w14:textId="77777777" w:rsidR="007E5CA5" w:rsidRDefault="007E5CA5" w:rsidP="00C67ED3">
            <w:pPr>
              <w:pStyle w:val="SemEspaamento"/>
              <w:rPr>
                <w:lang w:eastAsia="pt-BR"/>
              </w:rPr>
            </w:pPr>
          </w:p>
        </w:tc>
      </w:tr>
      <w:tr w:rsidR="007E5CA5" w14:paraId="24B7718B" w14:textId="77777777" w:rsidTr="007E5CA5">
        <w:trPr>
          <w:trHeight w:val="315"/>
        </w:trPr>
        <w:tc>
          <w:tcPr>
            <w:tcW w:w="3549" w:type="pct"/>
            <w:noWrap/>
            <w:vAlign w:val="center"/>
            <w:hideMark/>
          </w:tcPr>
          <w:p w14:paraId="3D6A4F60" w14:textId="77777777" w:rsidR="007E5CA5" w:rsidRDefault="007E5CA5" w:rsidP="00C67ED3">
            <w:pPr>
              <w:pStyle w:val="SemEspaamento"/>
              <w:rPr>
                <w:lang w:eastAsia="pt-BR"/>
              </w:rPr>
            </w:pPr>
            <w:r>
              <w:rPr>
                <w:lang w:eastAsia="pt-BR"/>
              </w:rPr>
              <w:t xml:space="preserve">   Não</w:t>
            </w:r>
          </w:p>
        </w:tc>
        <w:tc>
          <w:tcPr>
            <w:tcW w:w="1451" w:type="pct"/>
            <w:noWrap/>
            <w:vAlign w:val="center"/>
            <w:hideMark/>
          </w:tcPr>
          <w:p w14:paraId="3273EF7E" w14:textId="77777777" w:rsidR="007E5CA5" w:rsidRDefault="007E5CA5" w:rsidP="00C67ED3">
            <w:pPr>
              <w:pStyle w:val="SemEspaamento"/>
              <w:rPr>
                <w:rFonts w:cs="Times New Roman"/>
                <w:sz w:val="22"/>
                <w:lang w:eastAsia="pt-BR"/>
              </w:rPr>
            </w:pPr>
            <w:r>
              <w:rPr>
                <w:rFonts w:cs="Times New Roman"/>
                <w:sz w:val="22"/>
                <w:lang w:eastAsia="pt-BR"/>
              </w:rPr>
              <w:t>1740 (25,2%)</w:t>
            </w:r>
          </w:p>
        </w:tc>
      </w:tr>
      <w:tr w:rsidR="007E5CA5" w14:paraId="5CEB1DFE" w14:textId="77777777" w:rsidTr="007E5CA5">
        <w:trPr>
          <w:trHeight w:val="315"/>
        </w:trPr>
        <w:tc>
          <w:tcPr>
            <w:tcW w:w="3549" w:type="pct"/>
            <w:noWrap/>
            <w:vAlign w:val="center"/>
            <w:hideMark/>
          </w:tcPr>
          <w:p w14:paraId="2C8BA0E3" w14:textId="77777777" w:rsidR="007E5CA5" w:rsidRDefault="007E5CA5" w:rsidP="00C67ED3">
            <w:pPr>
              <w:pStyle w:val="SemEspaamento"/>
              <w:rPr>
                <w:lang w:eastAsia="pt-BR"/>
              </w:rPr>
            </w:pPr>
            <w:r>
              <w:rPr>
                <w:lang w:eastAsia="pt-BR"/>
              </w:rPr>
              <w:t xml:space="preserve">   Sim</w:t>
            </w:r>
          </w:p>
        </w:tc>
        <w:tc>
          <w:tcPr>
            <w:tcW w:w="1451" w:type="pct"/>
            <w:noWrap/>
            <w:vAlign w:val="center"/>
            <w:hideMark/>
          </w:tcPr>
          <w:p w14:paraId="03A7F192" w14:textId="77777777" w:rsidR="007E5CA5" w:rsidRDefault="007E5CA5" w:rsidP="00C67ED3">
            <w:pPr>
              <w:pStyle w:val="SemEspaamento"/>
              <w:rPr>
                <w:rFonts w:cs="Times New Roman"/>
                <w:sz w:val="22"/>
                <w:lang w:eastAsia="pt-BR"/>
              </w:rPr>
            </w:pPr>
            <w:r>
              <w:rPr>
                <w:rFonts w:cs="Times New Roman"/>
                <w:sz w:val="22"/>
                <w:lang w:eastAsia="pt-BR"/>
              </w:rPr>
              <w:t>5143 (74,5%)</w:t>
            </w:r>
          </w:p>
        </w:tc>
      </w:tr>
      <w:tr w:rsidR="007E5CA5" w14:paraId="38BEE0A7" w14:textId="77777777" w:rsidTr="007E5CA5">
        <w:trPr>
          <w:trHeight w:val="315"/>
        </w:trPr>
        <w:tc>
          <w:tcPr>
            <w:tcW w:w="5000" w:type="pct"/>
            <w:gridSpan w:val="2"/>
            <w:noWrap/>
            <w:vAlign w:val="center"/>
            <w:hideMark/>
          </w:tcPr>
          <w:p w14:paraId="42EA7CB4" w14:textId="77777777" w:rsidR="007E5CA5" w:rsidRDefault="007E5CA5" w:rsidP="00C67ED3">
            <w:pPr>
              <w:pStyle w:val="SemEspaamento"/>
              <w:rPr>
                <w:rFonts w:cs="Times New Roman"/>
                <w:lang w:eastAsia="pt-BR"/>
              </w:rPr>
            </w:pPr>
            <w:r>
              <w:rPr>
                <w:rFonts w:cs="Times New Roman"/>
                <w:lang w:eastAsia="pt-BR"/>
              </w:rPr>
              <w:t>Relaciona mais na internet que presencial</w:t>
            </w:r>
          </w:p>
        </w:tc>
      </w:tr>
      <w:tr w:rsidR="007E5CA5" w14:paraId="1098A39C" w14:textId="77777777" w:rsidTr="007E5CA5">
        <w:trPr>
          <w:trHeight w:val="315"/>
        </w:trPr>
        <w:tc>
          <w:tcPr>
            <w:tcW w:w="3549" w:type="pct"/>
            <w:noWrap/>
            <w:vAlign w:val="center"/>
            <w:hideMark/>
          </w:tcPr>
          <w:p w14:paraId="0DBD49A7" w14:textId="77777777" w:rsidR="007E5CA5" w:rsidRDefault="007E5CA5" w:rsidP="00C67ED3">
            <w:pPr>
              <w:pStyle w:val="SemEspaamento"/>
              <w:rPr>
                <w:lang w:eastAsia="pt-BR"/>
              </w:rPr>
            </w:pPr>
            <w:r>
              <w:rPr>
                <w:lang w:eastAsia="pt-BR"/>
              </w:rPr>
              <w:t xml:space="preserve">   Não</w:t>
            </w:r>
          </w:p>
        </w:tc>
        <w:tc>
          <w:tcPr>
            <w:tcW w:w="1451" w:type="pct"/>
            <w:noWrap/>
            <w:vAlign w:val="center"/>
            <w:hideMark/>
          </w:tcPr>
          <w:p w14:paraId="31BF3D1F" w14:textId="77777777" w:rsidR="007E5CA5" w:rsidRDefault="007E5CA5" w:rsidP="00C67ED3">
            <w:pPr>
              <w:pStyle w:val="SemEspaamento"/>
              <w:rPr>
                <w:rFonts w:cs="Times New Roman"/>
                <w:sz w:val="22"/>
                <w:lang w:eastAsia="pt-BR"/>
              </w:rPr>
            </w:pPr>
            <w:r>
              <w:rPr>
                <w:rFonts w:cs="Times New Roman"/>
                <w:sz w:val="22"/>
                <w:lang w:eastAsia="pt-BR"/>
              </w:rPr>
              <w:t>4888 (70,8%)</w:t>
            </w:r>
          </w:p>
        </w:tc>
      </w:tr>
      <w:tr w:rsidR="007E5CA5" w14:paraId="6C0807F1" w14:textId="77777777" w:rsidTr="007E5CA5">
        <w:trPr>
          <w:trHeight w:val="315"/>
        </w:trPr>
        <w:tc>
          <w:tcPr>
            <w:tcW w:w="3549" w:type="pct"/>
            <w:noWrap/>
            <w:vAlign w:val="center"/>
            <w:hideMark/>
          </w:tcPr>
          <w:p w14:paraId="4AC946E0" w14:textId="77777777" w:rsidR="007E5CA5" w:rsidRDefault="007E5CA5" w:rsidP="00C67ED3">
            <w:pPr>
              <w:pStyle w:val="SemEspaamento"/>
              <w:rPr>
                <w:lang w:eastAsia="pt-BR"/>
              </w:rPr>
            </w:pPr>
            <w:r>
              <w:rPr>
                <w:lang w:eastAsia="pt-BR"/>
              </w:rPr>
              <w:t xml:space="preserve">   Sim</w:t>
            </w:r>
          </w:p>
        </w:tc>
        <w:tc>
          <w:tcPr>
            <w:tcW w:w="1451" w:type="pct"/>
            <w:noWrap/>
            <w:vAlign w:val="center"/>
            <w:hideMark/>
          </w:tcPr>
          <w:p w14:paraId="26B0E9DA" w14:textId="77777777" w:rsidR="007E5CA5" w:rsidRDefault="007E5CA5" w:rsidP="00C67ED3">
            <w:pPr>
              <w:pStyle w:val="SemEspaamento"/>
              <w:rPr>
                <w:rFonts w:cs="Times New Roman"/>
                <w:sz w:val="22"/>
                <w:lang w:eastAsia="pt-BR"/>
              </w:rPr>
            </w:pPr>
            <w:r>
              <w:rPr>
                <w:rFonts w:cs="Times New Roman"/>
                <w:sz w:val="22"/>
                <w:lang w:eastAsia="pt-BR"/>
              </w:rPr>
              <w:t>1883 (27,3%)</w:t>
            </w:r>
          </w:p>
        </w:tc>
      </w:tr>
      <w:tr w:rsidR="007E5CA5" w14:paraId="39D6FEC4" w14:textId="77777777" w:rsidTr="007E5CA5">
        <w:trPr>
          <w:trHeight w:val="315"/>
        </w:trPr>
        <w:tc>
          <w:tcPr>
            <w:tcW w:w="5000" w:type="pct"/>
            <w:gridSpan w:val="2"/>
            <w:noWrap/>
            <w:vAlign w:val="center"/>
            <w:hideMark/>
          </w:tcPr>
          <w:p w14:paraId="0B2587CA" w14:textId="77777777" w:rsidR="007E5CA5" w:rsidRDefault="007E5CA5" w:rsidP="00C67ED3">
            <w:pPr>
              <w:pStyle w:val="SemEspaamento"/>
              <w:rPr>
                <w:rFonts w:cs="Times New Roman"/>
                <w:lang w:eastAsia="pt-BR"/>
              </w:rPr>
            </w:pPr>
            <w:r>
              <w:rPr>
                <w:rFonts w:cs="Times New Roman"/>
                <w:lang w:eastAsia="pt-BR"/>
              </w:rPr>
              <w:t>Tipo de relacionamento preferido</w:t>
            </w:r>
          </w:p>
        </w:tc>
      </w:tr>
      <w:tr w:rsidR="007E5CA5" w14:paraId="1072E11D" w14:textId="77777777" w:rsidTr="007E5CA5">
        <w:trPr>
          <w:trHeight w:val="315"/>
        </w:trPr>
        <w:tc>
          <w:tcPr>
            <w:tcW w:w="3549" w:type="pct"/>
            <w:noWrap/>
            <w:vAlign w:val="center"/>
            <w:hideMark/>
          </w:tcPr>
          <w:p w14:paraId="07F86964" w14:textId="77777777" w:rsidR="007E5CA5" w:rsidRDefault="007E5CA5" w:rsidP="00C67ED3">
            <w:pPr>
              <w:pStyle w:val="SemEspaamento"/>
              <w:rPr>
                <w:lang w:eastAsia="pt-BR"/>
              </w:rPr>
            </w:pPr>
            <w:r>
              <w:rPr>
                <w:lang w:eastAsia="pt-BR"/>
              </w:rPr>
              <w:t xml:space="preserve">   Internet</w:t>
            </w:r>
          </w:p>
        </w:tc>
        <w:tc>
          <w:tcPr>
            <w:tcW w:w="1451" w:type="pct"/>
            <w:noWrap/>
            <w:vAlign w:val="center"/>
            <w:hideMark/>
          </w:tcPr>
          <w:p w14:paraId="5FEFE00B" w14:textId="77777777" w:rsidR="007E5CA5" w:rsidRDefault="007E5CA5" w:rsidP="00C67ED3">
            <w:pPr>
              <w:pStyle w:val="SemEspaamento"/>
              <w:rPr>
                <w:rFonts w:cs="Times New Roman"/>
                <w:lang w:eastAsia="pt-BR"/>
              </w:rPr>
            </w:pPr>
            <w:r>
              <w:rPr>
                <w:rFonts w:cs="Times New Roman"/>
                <w:lang w:eastAsia="pt-BR"/>
              </w:rPr>
              <w:t>243 (3,5%)</w:t>
            </w:r>
          </w:p>
        </w:tc>
      </w:tr>
      <w:tr w:rsidR="007E5CA5" w14:paraId="24BE1E3B" w14:textId="77777777" w:rsidTr="007E5CA5">
        <w:trPr>
          <w:trHeight w:val="315"/>
        </w:trPr>
        <w:tc>
          <w:tcPr>
            <w:tcW w:w="3549" w:type="pct"/>
            <w:tcBorders>
              <w:top w:val="nil"/>
              <w:left w:val="nil"/>
              <w:bottom w:val="single" w:sz="4" w:space="0" w:color="auto"/>
              <w:right w:val="nil"/>
            </w:tcBorders>
            <w:noWrap/>
            <w:vAlign w:val="center"/>
            <w:hideMark/>
          </w:tcPr>
          <w:p w14:paraId="2232C438" w14:textId="77777777" w:rsidR="007E5CA5" w:rsidRDefault="007E5CA5" w:rsidP="00C67ED3">
            <w:pPr>
              <w:pStyle w:val="SemEspaamento"/>
              <w:rPr>
                <w:lang w:eastAsia="pt-BR"/>
              </w:rPr>
            </w:pPr>
            <w:r>
              <w:rPr>
                <w:lang w:eastAsia="pt-BR"/>
              </w:rPr>
              <w:lastRenderedPageBreak/>
              <w:t xml:space="preserve">   Presenciais</w:t>
            </w:r>
          </w:p>
        </w:tc>
        <w:tc>
          <w:tcPr>
            <w:tcW w:w="1451" w:type="pct"/>
            <w:tcBorders>
              <w:top w:val="nil"/>
              <w:left w:val="nil"/>
              <w:bottom w:val="single" w:sz="4" w:space="0" w:color="auto"/>
              <w:right w:val="nil"/>
            </w:tcBorders>
            <w:noWrap/>
            <w:vAlign w:val="center"/>
            <w:hideMark/>
          </w:tcPr>
          <w:p w14:paraId="109E520B" w14:textId="77777777" w:rsidR="007E5CA5" w:rsidRDefault="007E5CA5" w:rsidP="00C67ED3">
            <w:pPr>
              <w:pStyle w:val="SemEspaamento"/>
              <w:rPr>
                <w:rFonts w:cs="Times New Roman"/>
                <w:lang w:eastAsia="pt-BR"/>
              </w:rPr>
            </w:pPr>
            <w:r>
              <w:rPr>
                <w:rFonts w:cs="Times New Roman"/>
                <w:lang w:eastAsia="pt-BR"/>
              </w:rPr>
              <w:t>6,486 (93,9%)</w:t>
            </w:r>
          </w:p>
        </w:tc>
      </w:tr>
    </w:tbl>
    <w:p w14:paraId="2C9A73AF" w14:textId="77777777" w:rsidR="007E5CA5" w:rsidRDefault="007E5CA5" w:rsidP="002E268D"/>
    <w:p w14:paraId="3C54C788" w14:textId="77777777" w:rsidR="007E5CA5" w:rsidRDefault="007E5CA5" w:rsidP="002E268D">
      <w:r>
        <w:t>Para classificação do comportamento sexual de risco foram consideradas as respostas as variáveis “Uso de preservativo com parceira(o) nova(o), recente ou desconhecida(o) após embriagada(o)” (32% de respostas válidas, n=2220) e “Uso de preservativo em relações sexuais com parceiro(a) novo(a) (primeiros contatos)” (69,0% de respostas válidas, n=4767), sendo a presença de relação sexual sem uso de preservativo considerado com comportamento sexual de risco (70,7% de respostas válidas, n=4886).</w:t>
      </w:r>
    </w:p>
    <w:p w14:paraId="1B7786C6" w14:textId="77777777" w:rsidR="007E5CA5" w:rsidRDefault="007E5CA5" w:rsidP="002E268D">
      <w:r>
        <w:t>Considerando as respostas válidas, 11,5% (n=797) dos estudantes revelou usar preservativo com parceira(o) nova(o), recente ou desconhecida(o) após embriagada(o), 13,9% (n=962) revelou não utilizar sempre preservativo relações sexuais com parceiro(a) novo(a) (primeiros contatos) – sendo que 3,5% (n=243) relatou nunca usar e 10,4% (n=719 ) só utilizar às vezes – e 32,5% (n=2244) foram classificados como tendo comportamento sexual de risco (tabela 3).</w:t>
      </w:r>
    </w:p>
    <w:p w14:paraId="537A0FA7" w14:textId="77777777" w:rsidR="007E5CA5" w:rsidRDefault="007E5CA5" w:rsidP="002E268D">
      <w:r>
        <w:rPr>
          <w:b/>
          <w:bCs/>
        </w:rPr>
        <w:t>Tabela 3.</w:t>
      </w:r>
      <w:r>
        <w:t xml:space="preserve"> Prevalência de comportamento sexual de risco em estudantes universitários.</w:t>
      </w:r>
    </w:p>
    <w:tbl>
      <w:tblPr>
        <w:tblW w:w="5000" w:type="pct"/>
        <w:tblCellMar>
          <w:left w:w="70" w:type="dxa"/>
          <w:right w:w="70" w:type="dxa"/>
        </w:tblCellMar>
        <w:tblLook w:val="04A0" w:firstRow="1" w:lastRow="0" w:firstColumn="1" w:lastColumn="0" w:noHBand="0" w:noVBand="1"/>
      </w:tblPr>
      <w:tblGrid>
        <w:gridCol w:w="6036"/>
        <w:gridCol w:w="2468"/>
      </w:tblGrid>
      <w:tr w:rsidR="007E5CA5" w14:paraId="21B224B7" w14:textId="77777777" w:rsidTr="007E5CA5">
        <w:trPr>
          <w:trHeight w:val="330"/>
        </w:trPr>
        <w:tc>
          <w:tcPr>
            <w:tcW w:w="3549" w:type="pct"/>
            <w:tcBorders>
              <w:top w:val="single" w:sz="8" w:space="0" w:color="auto"/>
              <w:left w:val="nil"/>
              <w:bottom w:val="single" w:sz="4" w:space="0" w:color="auto"/>
              <w:right w:val="nil"/>
            </w:tcBorders>
            <w:noWrap/>
            <w:vAlign w:val="center"/>
            <w:hideMark/>
          </w:tcPr>
          <w:p w14:paraId="0CB75C94" w14:textId="77777777" w:rsidR="007E5CA5" w:rsidRDefault="007E5CA5">
            <w:pPr>
              <w:pStyle w:val="SemEspaamento"/>
              <w:spacing w:line="256" w:lineRule="auto"/>
              <w:rPr>
                <w:b/>
                <w:bCs/>
                <w:lang w:eastAsia="pt-BR"/>
              </w:rPr>
            </w:pPr>
            <w:r>
              <w:rPr>
                <w:b/>
                <w:bCs/>
                <w:lang w:eastAsia="pt-BR"/>
              </w:rPr>
              <w:t>Variáveis</w:t>
            </w:r>
          </w:p>
        </w:tc>
        <w:tc>
          <w:tcPr>
            <w:tcW w:w="1451" w:type="pct"/>
            <w:tcBorders>
              <w:top w:val="single" w:sz="8" w:space="0" w:color="auto"/>
              <w:left w:val="nil"/>
              <w:bottom w:val="single" w:sz="4" w:space="0" w:color="auto"/>
              <w:right w:val="nil"/>
            </w:tcBorders>
            <w:noWrap/>
            <w:vAlign w:val="center"/>
            <w:hideMark/>
          </w:tcPr>
          <w:p w14:paraId="7167443F" w14:textId="77777777" w:rsidR="007E5CA5" w:rsidRDefault="007E5CA5">
            <w:pPr>
              <w:pStyle w:val="SemEspaamento"/>
              <w:spacing w:line="256" w:lineRule="auto"/>
              <w:jc w:val="center"/>
              <w:rPr>
                <w:b/>
                <w:bCs/>
              </w:rPr>
            </w:pPr>
            <w:r>
              <w:rPr>
                <w:b/>
                <w:bCs/>
              </w:rPr>
              <w:t>n (%)</w:t>
            </w:r>
          </w:p>
        </w:tc>
      </w:tr>
      <w:tr w:rsidR="007E5CA5" w14:paraId="1DA62FD2" w14:textId="77777777" w:rsidTr="007E5CA5">
        <w:trPr>
          <w:trHeight w:val="315"/>
        </w:trPr>
        <w:tc>
          <w:tcPr>
            <w:tcW w:w="5000" w:type="pct"/>
            <w:gridSpan w:val="2"/>
            <w:tcBorders>
              <w:top w:val="single" w:sz="4" w:space="0" w:color="auto"/>
              <w:left w:val="nil"/>
              <w:bottom w:val="nil"/>
              <w:right w:val="nil"/>
            </w:tcBorders>
            <w:noWrap/>
            <w:vAlign w:val="center"/>
            <w:hideMark/>
          </w:tcPr>
          <w:p w14:paraId="4A3755D3" w14:textId="77777777" w:rsidR="007E5CA5" w:rsidRDefault="007E5CA5">
            <w:pPr>
              <w:pStyle w:val="SemEspaamento"/>
              <w:spacing w:line="256" w:lineRule="auto"/>
            </w:pPr>
            <w:r>
              <w:t>Uso de preservativo com parceira(o) nova(o), recente ou</w:t>
            </w:r>
          </w:p>
          <w:p w14:paraId="47E45538" w14:textId="77777777" w:rsidR="007E5CA5" w:rsidRDefault="007E5CA5">
            <w:pPr>
              <w:pStyle w:val="SemEspaamento"/>
              <w:spacing w:line="256" w:lineRule="auto"/>
            </w:pPr>
            <w:r>
              <w:t xml:space="preserve"> desconhecida(o) após embriagada(o)</w:t>
            </w:r>
          </w:p>
        </w:tc>
      </w:tr>
      <w:tr w:rsidR="007E5CA5" w14:paraId="76B31C87" w14:textId="77777777" w:rsidTr="007E5CA5">
        <w:trPr>
          <w:trHeight w:val="315"/>
        </w:trPr>
        <w:tc>
          <w:tcPr>
            <w:tcW w:w="3549" w:type="pct"/>
            <w:noWrap/>
            <w:vAlign w:val="center"/>
            <w:hideMark/>
          </w:tcPr>
          <w:p w14:paraId="0B85430A" w14:textId="77777777" w:rsidR="007E5CA5" w:rsidRDefault="007E5CA5">
            <w:pPr>
              <w:pStyle w:val="SemEspaamento"/>
              <w:spacing w:line="256" w:lineRule="auto"/>
              <w:rPr>
                <w:lang w:eastAsia="pt-BR"/>
              </w:rPr>
            </w:pPr>
            <w:r>
              <w:rPr>
                <w:lang w:eastAsia="pt-BR"/>
              </w:rPr>
              <w:t xml:space="preserve">   Não</w:t>
            </w:r>
          </w:p>
        </w:tc>
        <w:tc>
          <w:tcPr>
            <w:tcW w:w="1451" w:type="pct"/>
            <w:noWrap/>
            <w:vAlign w:val="center"/>
            <w:hideMark/>
          </w:tcPr>
          <w:p w14:paraId="12698F82" w14:textId="77777777" w:rsidR="007E5CA5" w:rsidRDefault="007E5CA5">
            <w:pPr>
              <w:pStyle w:val="SemEspaamento"/>
              <w:spacing w:line="256" w:lineRule="auto"/>
              <w:jc w:val="center"/>
            </w:pPr>
            <w:r>
              <w:t>1,423 (20,6%)</w:t>
            </w:r>
          </w:p>
        </w:tc>
      </w:tr>
      <w:tr w:rsidR="007E5CA5" w14:paraId="6DCEC5FE" w14:textId="77777777" w:rsidTr="007E5CA5">
        <w:trPr>
          <w:trHeight w:val="315"/>
        </w:trPr>
        <w:tc>
          <w:tcPr>
            <w:tcW w:w="3549" w:type="pct"/>
            <w:noWrap/>
            <w:vAlign w:val="center"/>
            <w:hideMark/>
          </w:tcPr>
          <w:p w14:paraId="505A70FC" w14:textId="77777777" w:rsidR="007E5CA5" w:rsidRDefault="007E5CA5">
            <w:pPr>
              <w:pStyle w:val="SemEspaamento"/>
              <w:spacing w:line="256" w:lineRule="auto"/>
              <w:rPr>
                <w:lang w:eastAsia="pt-BR"/>
              </w:rPr>
            </w:pPr>
            <w:r>
              <w:rPr>
                <w:lang w:eastAsia="pt-BR"/>
              </w:rPr>
              <w:t xml:space="preserve">   Sim</w:t>
            </w:r>
          </w:p>
        </w:tc>
        <w:tc>
          <w:tcPr>
            <w:tcW w:w="1451" w:type="pct"/>
            <w:noWrap/>
            <w:vAlign w:val="center"/>
            <w:hideMark/>
          </w:tcPr>
          <w:p w14:paraId="38AD5CD2" w14:textId="77777777" w:rsidR="007E5CA5" w:rsidRDefault="007E5CA5">
            <w:pPr>
              <w:pStyle w:val="SemEspaamento"/>
              <w:spacing w:line="256" w:lineRule="auto"/>
              <w:jc w:val="center"/>
            </w:pPr>
            <w:r>
              <w:t>797 (11,5%)</w:t>
            </w:r>
          </w:p>
        </w:tc>
      </w:tr>
      <w:tr w:rsidR="007E5CA5" w14:paraId="1B437F69" w14:textId="77777777" w:rsidTr="007E5CA5">
        <w:trPr>
          <w:trHeight w:val="315"/>
        </w:trPr>
        <w:tc>
          <w:tcPr>
            <w:tcW w:w="5000" w:type="pct"/>
            <w:gridSpan w:val="2"/>
            <w:noWrap/>
            <w:vAlign w:val="center"/>
            <w:hideMark/>
          </w:tcPr>
          <w:p w14:paraId="308E9C15" w14:textId="77777777" w:rsidR="007E5CA5" w:rsidRDefault="007E5CA5">
            <w:pPr>
              <w:pStyle w:val="SemEspaamento"/>
              <w:spacing w:line="256" w:lineRule="auto"/>
            </w:pPr>
            <w:r>
              <w:t xml:space="preserve">Uso de preservativo em relações sexuais com parceiro(a) </w:t>
            </w:r>
          </w:p>
          <w:p w14:paraId="6A06A060" w14:textId="77777777" w:rsidR="007E5CA5" w:rsidRDefault="007E5CA5">
            <w:pPr>
              <w:pStyle w:val="SemEspaamento"/>
              <w:spacing w:line="256" w:lineRule="auto"/>
            </w:pPr>
            <w:r>
              <w:t>novo(a) (primeiros contatos)</w:t>
            </w:r>
          </w:p>
        </w:tc>
      </w:tr>
      <w:tr w:rsidR="007E5CA5" w14:paraId="74C7110D" w14:textId="77777777" w:rsidTr="007E5CA5">
        <w:trPr>
          <w:trHeight w:val="300"/>
        </w:trPr>
        <w:tc>
          <w:tcPr>
            <w:tcW w:w="3549" w:type="pct"/>
            <w:noWrap/>
            <w:vAlign w:val="bottom"/>
            <w:hideMark/>
          </w:tcPr>
          <w:p w14:paraId="077B8E47" w14:textId="77777777" w:rsidR="007E5CA5" w:rsidRDefault="007E5CA5">
            <w:pPr>
              <w:pStyle w:val="SemEspaamento"/>
              <w:spacing w:line="256" w:lineRule="auto"/>
              <w:rPr>
                <w:rFonts w:cs="Times New Roman"/>
                <w:szCs w:val="24"/>
                <w:lang w:eastAsia="pt-BR"/>
              </w:rPr>
            </w:pPr>
            <w:r>
              <w:rPr>
                <w:rFonts w:cs="Times New Roman"/>
                <w:szCs w:val="24"/>
                <w:lang w:eastAsia="pt-BR"/>
              </w:rPr>
              <w:t xml:space="preserve">   Nunca</w:t>
            </w:r>
          </w:p>
        </w:tc>
        <w:tc>
          <w:tcPr>
            <w:tcW w:w="1451" w:type="pct"/>
            <w:noWrap/>
            <w:vAlign w:val="center"/>
            <w:hideMark/>
          </w:tcPr>
          <w:p w14:paraId="2A0DF6F0" w14:textId="77777777" w:rsidR="007E5CA5" w:rsidRDefault="007E5CA5">
            <w:pPr>
              <w:pStyle w:val="SemEspaamento"/>
              <w:spacing w:line="256" w:lineRule="auto"/>
              <w:jc w:val="center"/>
              <w:rPr>
                <w:rFonts w:cs="Times New Roman"/>
                <w:szCs w:val="24"/>
              </w:rPr>
            </w:pPr>
            <w:r>
              <w:rPr>
                <w:rFonts w:cs="Times New Roman"/>
                <w:szCs w:val="24"/>
              </w:rPr>
              <w:t>243 (3,5%)</w:t>
            </w:r>
          </w:p>
        </w:tc>
      </w:tr>
      <w:tr w:rsidR="007E5CA5" w14:paraId="2A5C0D60" w14:textId="77777777" w:rsidTr="007E5CA5">
        <w:trPr>
          <w:trHeight w:val="300"/>
        </w:trPr>
        <w:tc>
          <w:tcPr>
            <w:tcW w:w="3549" w:type="pct"/>
            <w:noWrap/>
            <w:vAlign w:val="bottom"/>
            <w:hideMark/>
          </w:tcPr>
          <w:p w14:paraId="13E624F3" w14:textId="77777777" w:rsidR="007E5CA5" w:rsidRDefault="007E5CA5">
            <w:pPr>
              <w:pStyle w:val="SemEspaamento"/>
              <w:spacing w:line="256" w:lineRule="auto"/>
              <w:rPr>
                <w:rFonts w:cs="Times New Roman"/>
                <w:szCs w:val="24"/>
                <w:lang w:eastAsia="pt-BR"/>
              </w:rPr>
            </w:pPr>
            <w:r>
              <w:rPr>
                <w:rFonts w:cs="Times New Roman"/>
                <w:szCs w:val="24"/>
                <w:lang w:eastAsia="pt-BR"/>
              </w:rPr>
              <w:t xml:space="preserve">   Sempre</w:t>
            </w:r>
          </w:p>
        </w:tc>
        <w:tc>
          <w:tcPr>
            <w:tcW w:w="1451" w:type="pct"/>
            <w:noWrap/>
            <w:vAlign w:val="center"/>
            <w:hideMark/>
          </w:tcPr>
          <w:p w14:paraId="7F243040" w14:textId="77777777" w:rsidR="007E5CA5" w:rsidRDefault="007E5CA5">
            <w:pPr>
              <w:pStyle w:val="SemEspaamento"/>
              <w:spacing w:line="256" w:lineRule="auto"/>
              <w:jc w:val="center"/>
              <w:rPr>
                <w:rFonts w:cs="Times New Roman"/>
                <w:szCs w:val="24"/>
              </w:rPr>
            </w:pPr>
            <w:r>
              <w:rPr>
                <w:rFonts w:cs="Times New Roman"/>
                <w:szCs w:val="24"/>
              </w:rPr>
              <w:t>3,805 (55,1%)</w:t>
            </w:r>
          </w:p>
        </w:tc>
      </w:tr>
      <w:tr w:rsidR="007E5CA5" w14:paraId="058194AB" w14:textId="77777777" w:rsidTr="007E5CA5">
        <w:trPr>
          <w:trHeight w:val="300"/>
        </w:trPr>
        <w:tc>
          <w:tcPr>
            <w:tcW w:w="3549" w:type="pct"/>
            <w:noWrap/>
            <w:vAlign w:val="bottom"/>
            <w:hideMark/>
          </w:tcPr>
          <w:p w14:paraId="2879D4BF" w14:textId="77777777" w:rsidR="007E5CA5" w:rsidRDefault="007E5CA5">
            <w:pPr>
              <w:pStyle w:val="SemEspaamento"/>
              <w:spacing w:line="256" w:lineRule="auto"/>
              <w:rPr>
                <w:rFonts w:cs="Times New Roman"/>
                <w:szCs w:val="24"/>
                <w:lang w:eastAsia="pt-BR"/>
              </w:rPr>
            </w:pPr>
            <w:r>
              <w:rPr>
                <w:rFonts w:cs="Times New Roman"/>
                <w:szCs w:val="24"/>
                <w:lang w:eastAsia="pt-BR"/>
              </w:rPr>
              <w:t xml:space="preserve">   Às vezes</w:t>
            </w:r>
          </w:p>
        </w:tc>
        <w:tc>
          <w:tcPr>
            <w:tcW w:w="1451" w:type="pct"/>
            <w:noWrap/>
            <w:vAlign w:val="center"/>
            <w:hideMark/>
          </w:tcPr>
          <w:p w14:paraId="64E3780E" w14:textId="77777777" w:rsidR="007E5CA5" w:rsidRDefault="007E5CA5">
            <w:pPr>
              <w:pStyle w:val="SemEspaamento"/>
              <w:spacing w:line="256" w:lineRule="auto"/>
              <w:jc w:val="center"/>
              <w:rPr>
                <w:rFonts w:cs="Times New Roman"/>
                <w:szCs w:val="24"/>
              </w:rPr>
            </w:pPr>
            <w:r>
              <w:rPr>
                <w:rFonts w:cs="Times New Roman"/>
                <w:szCs w:val="24"/>
              </w:rPr>
              <w:t>719 (10,4%)</w:t>
            </w:r>
          </w:p>
        </w:tc>
      </w:tr>
      <w:tr w:rsidR="007E5CA5" w14:paraId="7055D496" w14:textId="77777777" w:rsidTr="007E5CA5">
        <w:trPr>
          <w:trHeight w:val="300"/>
        </w:trPr>
        <w:tc>
          <w:tcPr>
            <w:tcW w:w="3549" w:type="pct"/>
            <w:noWrap/>
            <w:vAlign w:val="bottom"/>
            <w:hideMark/>
          </w:tcPr>
          <w:p w14:paraId="573126F5" w14:textId="77777777" w:rsidR="007E5CA5" w:rsidRDefault="007E5CA5">
            <w:pPr>
              <w:pStyle w:val="SemEspaamento"/>
              <w:spacing w:line="256" w:lineRule="auto"/>
              <w:rPr>
                <w:rFonts w:cs="Times New Roman"/>
                <w:szCs w:val="24"/>
                <w:lang w:eastAsia="pt-BR"/>
              </w:rPr>
            </w:pPr>
            <w:r>
              <w:rPr>
                <w:rFonts w:cs="Times New Roman"/>
                <w:szCs w:val="24"/>
                <w:lang w:eastAsia="pt-BR"/>
              </w:rPr>
              <w:t>Comportamento sexual de risco</w:t>
            </w:r>
          </w:p>
        </w:tc>
        <w:tc>
          <w:tcPr>
            <w:tcW w:w="1451" w:type="pct"/>
            <w:noWrap/>
            <w:vAlign w:val="center"/>
            <w:hideMark/>
          </w:tcPr>
          <w:p w14:paraId="13B05FBF" w14:textId="77777777" w:rsidR="007E5CA5" w:rsidRDefault="007E5CA5" w:rsidP="002E268D">
            <w:pPr>
              <w:rPr>
                <w:lang w:eastAsia="pt-BR"/>
              </w:rPr>
            </w:pPr>
          </w:p>
        </w:tc>
      </w:tr>
      <w:tr w:rsidR="007E5CA5" w14:paraId="00079D58" w14:textId="77777777" w:rsidTr="007E5CA5">
        <w:trPr>
          <w:trHeight w:val="300"/>
        </w:trPr>
        <w:tc>
          <w:tcPr>
            <w:tcW w:w="3549" w:type="pct"/>
            <w:noWrap/>
            <w:vAlign w:val="bottom"/>
            <w:hideMark/>
          </w:tcPr>
          <w:p w14:paraId="27C97328" w14:textId="77777777" w:rsidR="007E5CA5" w:rsidRDefault="007E5CA5">
            <w:pPr>
              <w:pStyle w:val="SemEspaamento"/>
              <w:spacing w:line="256" w:lineRule="auto"/>
              <w:rPr>
                <w:rFonts w:cs="Times New Roman"/>
                <w:szCs w:val="24"/>
                <w:lang w:eastAsia="pt-BR"/>
              </w:rPr>
            </w:pPr>
            <w:r>
              <w:rPr>
                <w:rFonts w:cs="Times New Roman"/>
                <w:szCs w:val="24"/>
                <w:lang w:eastAsia="pt-BR"/>
              </w:rPr>
              <w:t xml:space="preserve">   Não</w:t>
            </w:r>
          </w:p>
        </w:tc>
        <w:tc>
          <w:tcPr>
            <w:tcW w:w="1451" w:type="pct"/>
            <w:noWrap/>
            <w:vAlign w:val="center"/>
            <w:hideMark/>
          </w:tcPr>
          <w:p w14:paraId="76539853" w14:textId="77777777" w:rsidR="007E5CA5" w:rsidRDefault="007E5CA5">
            <w:pPr>
              <w:pStyle w:val="SemEspaamento"/>
              <w:spacing w:line="256" w:lineRule="auto"/>
              <w:jc w:val="center"/>
              <w:rPr>
                <w:rFonts w:cs="Times New Roman"/>
                <w:szCs w:val="24"/>
              </w:rPr>
            </w:pPr>
            <w:r>
              <w:rPr>
                <w:rFonts w:cs="Times New Roman"/>
                <w:szCs w:val="24"/>
              </w:rPr>
              <w:t>2642 (38,3%)</w:t>
            </w:r>
          </w:p>
        </w:tc>
      </w:tr>
      <w:tr w:rsidR="007E5CA5" w14:paraId="74099D34" w14:textId="77777777" w:rsidTr="007E5CA5">
        <w:trPr>
          <w:trHeight w:val="300"/>
        </w:trPr>
        <w:tc>
          <w:tcPr>
            <w:tcW w:w="3549" w:type="pct"/>
            <w:tcBorders>
              <w:top w:val="nil"/>
              <w:left w:val="nil"/>
              <w:bottom w:val="single" w:sz="4" w:space="0" w:color="auto"/>
              <w:right w:val="nil"/>
            </w:tcBorders>
            <w:noWrap/>
            <w:vAlign w:val="bottom"/>
            <w:hideMark/>
          </w:tcPr>
          <w:p w14:paraId="3F2BEFBE" w14:textId="77777777" w:rsidR="007E5CA5" w:rsidRDefault="007E5CA5">
            <w:pPr>
              <w:pStyle w:val="SemEspaamento"/>
              <w:spacing w:line="256" w:lineRule="auto"/>
              <w:rPr>
                <w:rFonts w:cs="Times New Roman"/>
                <w:szCs w:val="24"/>
                <w:lang w:eastAsia="pt-BR"/>
              </w:rPr>
            </w:pPr>
            <w:r>
              <w:rPr>
                <w:rFonts w:cs="Times New Roman"/>
                <w:szCs w:val="24"/>
                <w:lang w:eastAsia="pt-BR"/>
              </w:rPr>
              <w:t xml:space="preserve">   Sim</w:t>
            </w:r>
          </w:p>
        </w:tc>
        <w:tc>
          <w:tcPr>
            <w:tcW w:w="1451" w:type="pct"/>
            <w:tcBorders>
              <w:top w:val="nil"/>
              <w:left w:val="nil"/>
              <w:bottom w:val="single" w:sz="4" w:space="0" w:color="auto"/>
              <w:right w:val="nil"/>
            </w:tcBorders>
            <w:noWrap/>
            <w:vAlign w:val="center"/>
            <w:hideMark/>
          </w:tcPr>
          <w:p w14:paraId="13991D66" w14:textId="77777777" w:rsidR="007E5CA5" w:rsidRDefault="007E5CA5">
            <w:pPr>
              <w:pStyle w:val="SemEspaamento"/>
              <w:spacing w:line="256" w:lineRule="auto"/>
              <w:jc w:val="center"/>
              <w:rPr>
                <w:rFonts w:cs="Times New Roman"/>
                <w:szCs w:val="24"/>
              </w:rPr>
            </w:pPr>
            <w:r>
              <w:rPr>
                <w:rFonts w:cs="Times New Roman"/>
                <w:szCs w:val="24"/>
              </w:rPr>
              <w:t>2244 (32,5%)</w:t>
            </w:r>
          </w:p>
        </w:tc>
      </w:tr>
    </w:tbl>
    <w:p w14:paraId="2FE0DB36" w14:textId="77777777" w:rsidR="007E5CA5" w:rsidRDefault="007E5CA5" w:rsidP="002E268D"/>
    <w:p w14:paraId="60468241" w14:textId="77777777" w:rsidR="007E5CA5" w:rsidRDefault="007E5CA5" w:rsidP="002E268D">
      <w:r>
        <w:tab/>
        <w:t xml:space="preserve">Dos 2244 estudantes que apresentaram comportamento sexual de risco, o perfil encontrado é de indivíduos do gênero masculino (53,6%, n=1203), heterossexuais (70,9%, n=1591), solteiros (93,8%, n=2105), de nível socioeconômico B (48,0%, n=1078), praticantes de atividade física (65,8%, n=1477), com faixa etária acima de 20 anos (76,1%, n=1707) e estudantes de Artes e Humanidades (34,8%, n=780) (tabela 4). </w:t>
      </w:r>
    </w:p>
    <w:p w14:paraId="0BFFD713" w14:textId="77777777" w:rsidR="007E5CA5" w:rsidRDefault="007E5CA5" w:rsidP="002E268D">
      <w:r>
        <w:rPr>
          <w:b/>
          <w:bCs/>
        </w:rPr>
        <w:lastRenderedPageBreak/>
        <w:t xml:space="preserve">Tabela 4. </w:t>
      </w:r>
      <w:r>
        <w:t>Perfil dos estudantes universitários que tem comportamento sexual de risco.</w:t>
      </w:r>
    </w:p>
    <w:tbl>
      <w:tblPr>
        <w:tblStyle w:val="formatada"/>
        <w:tblW w:w="5000" w:type="pct"/>
        <w:tblLook w:val="04A0" w:firstRow="1" w:lastRow="0" w:firstColumn="1" w:lastColumn="0" w:noHBand="0" w:noVBand="1"/>
      </w:tblPr>
      <w:tblGrid>
        <w:gridCol w:w="6417"/>
        <w:gridCol w:w="2087"/>
      </w:tblGrid>
      <w:tr w:rsidR="007E5CA5" w14:paraId="77C67212" w14:textId="77777777" w:rsidTr="007E5CA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773" w:type="pct"/>
            <w:hideMark/>
          </w:tcPr>
          <w:p w14:paraId="70EAB71C" w14:textId="77777777" w:rsidR="007E5CA5" w:rsidRDefault="007E5CA5" w:rsidP="00C67ED3">
            <w:pPr>
              <w:pStyle w:val="SemEspaamento"/>
              <w:rPr>
                <w:lang w:eastAsia="pt-BR"/>
              </w:rPr>
            </w:pPr>
            <w:r>
              <w:rPr>
                <w:lang w:eastAsia="pt-BR"/>
              </w:rPr>
              <w:t>Variáveis</w:t>
            </w:r>
          </w:p>
        </w:tc>
        <w:tc>
          <w:tcPr>
            <w:tcW w:w="1227" w:type="pct"/>
            <w:noWrap/>
            <w:hideMark/>
          </w:tcPr>
          <w:p w14:paraId="777FAAC0" w14:textId="77777777" w:rsidR="007E5CA5" w:rsidRDefault="007E5CA5" w:rsidP="00C67ED3">
            <w:pPr>
              <w:pStyle w:val="SemEspaamento"/>
              <w:cnfStyle w:val="100000000000" w:firstRow="1" w:lastRow="0" w:firstColumn="0" w:lastColumn="0" w:oddVBand="0" w:evenVBand="0" w:oddHBand="0" w:evenHBand="0" w:firstRowFirstColumn="0" w:firstRowLastColumn="0" w:lastRowFirstColumn="0" w:lastRowLastColumn="0"/>
              <w:rPr>
                <w:lang w:eastAsia="pt-BR"/>
              </w:rPr>
            </w:pPr>
            <w:r>
              <w:rPr>
                <w:lang w:eastAsia="pt-BR"/>
              </w:rPr>
              <w:t>n (%)</w:t>
            </w:r>
          </w:p>
        </w:tc>
      </w:tr>
      <w:tr w:rsidR="007E5CA5" w14:paraId="709E51EB"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3131327" w14:textId="77777777" w:rsidR="007E5CA5" w:rsidRDefault="007E5CA5" w:rsidP="00C67ED3">
            <w:pPr>
              <w:pStyle w:val="SemEspaamento"/>
              <w:rPr>
                <w:lang w:eastAsia="pt-BR"/>
              </w:rPr>
            </w:pPr>
            <w:r>
              <w:rPr>
                <w:lang w:eastAsia="pt-BR"/>
              </w:rPr>
              <w:t>Gênero</w:t>
            </w:r>
          </w:p>
        </w:tc>
        <w:tc>
          <w:tcPr>
            <w:tcW w:w="1227" w:type="pct"/>
            <w:tcBorders>
              <w:top w:val="nil"/>
              <w:left w:val="nil"/>
              <w:bottom w:val="nil"/>
              <w:right w:val="nil"/>
            </w:tcBorders>
            <w:noWrap/>
            <w:hideMark/>
          </w:tcPr>
          <w:p w14:paraId="5DD28753" w14:textId="77777777" w:rsidR="007E5CA5" w:rsidRDefault="007E5CA5" w:rsidP="00C67ED3">
            <w:pPr>
              <w:pStyle w:val="SemEspaamento"/>
              <w:cnfStyle w:val="000000000000" w:firstRow="0" w:lastRow="0" w:firstColumn="0" w:lastColumn="0" w:oddVBand="0" w:evenVBand="0" w:oddHBand="0" w:evenHBand="0" w:firstRowFirstColumn="0" w:firstRowLastColumn="0" w:lastRowFirstColumn="0" w:lastRowLastColumn="0"/>
              <w:rPr>
                <w:lang w:eastAsia="pt-BR"/>
              </w:rPr>
            </w:pPr>
          </w:p>
        </w:tc>
      </w:tr>
      <w:tr w:rsidR="007E5CA5" w14:paraId="29CF5C1F"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04B98B40" w14:textId="77777777" w:rsidR="007E5CA5" w:rsidRDefault="007E5CA5" w:rsidP="00C67ED3">
            <w:pPr>
              <w:pStyle w:val="SemEspaamento"/>
              <w:rPr>
                <w:lang w:eastAsia="pt-BR"/>
              </w:rPr>
            </w:pPr>
            <w:r>
              <w:rPr>
                <w:lang w:eastAsia="pt-BR"/>
              </w:rPr>
              <w:t xml:space="preserve">   Feminino</w:t>
            </w:r>
          </w:p>
        </w:tc>
        <w:tc>
          <w:tcPr>
            <w:tcW w:w="1227" w:type="pct"/>
            <w:tcBorders>
              <w:top w:val="nil"/>
              <w:left w:val="nil"/>
              <w:bottom w:val="nil"/>
              <w:right w:val="nil"/>
            </w:tcBorders>
            <w:noWrap/>
            <w:hideMark/>
          </w:tcPr>
          <w:p w14:paraId="5D1FD8DC" w14:textId="77777777" w:rsidR="007E5CA5" w:rsidRDefault="007E5CA5" w:rsidP="00C67ED3">
            <w:pPr>
              <w:pStyle w:val="SemEspaamento"/>
              <w:cnfStyle w:val="000000000000" w:firstRow="0" w:lastRow="0" w:firstColumn="0" w:lastColumn="0" w:oddVBand="0" w:evenVBand="0" w:oddHBand="0" w:evenHBand="0" w:firstRowFirstColumn="0" w:firstRowLastColumn="0" w:lastRowFirstColumn="0" w:lastRowLastColumn="0"/>
              <w:rPr>
                <w:lang w:eastAsia="pt-BR"/>
              </w:rPr>
            </w:pPr>
            <w:r>
              <w:rPr>
                <w:lang w:eastAsia="pt-BR"/>
              </w:rPr>
              <w:t>1,038 (46,3%)</w:t>
            </w:r>
          </w:p>
        </w:tc>
      </w:tr>
      <w:tr w:rsidR="007E5CA5" w14:paraId="309BC616"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30DCFD4" w14:textId="77777777" w:rsidR="007E5CA5" w:rsidRDefault="007E5CA5" w:rsidP="00C67ED3">
            <w:pPr>
              <w:pStyle w:val="SemEspaamento"/>
              <w:rPr>
                <w:lang w:eastAsia="pt-BR"/>
              </w:rPr>
            </w:pPr>
            <w:r>
              <w:rPr>
                <w:lang w:eastAsia="pt-BR"/>
              </w:rPr>
              <w:t xml:space="preserve">   Masculino</w:t>
            </w:r>
          </w:p>
        </w:tc>
        <w:tc>
          <w:tcPr>
            <w:tcW w:w="1227" w:type="pct"/>
            <w:tcBorders>
              <w:top w:val="nil"/>
              <w:left w:val="nil"/>
              <w:bottom w:val="nil"/>
              <w:right w:val="nil"/>
            </w:tcBorders>
            <w:noWrap/>
            <w:hideMark/>
          </w:tcPr>
          <w:p w14:paraId="13EAC532" w14:textId="77777777" w:rsidR="007E5CA5" w:rsidRDefault="007E5CA5" w:rsidP="00C67ED3">
            <w:pPr>
              <w:pStyle w:val="SemEspaamento"/>
              <w:cnfStyle w:val="000000000000" w:firstRow="0" w:lastRow="0" w:firstColumn="0" w:lastColumn="0" w:oddVBand="0" w:evenVBand="0" w:oddHBand="0" w:evenHBand="0" w:firstRowFirstColumn="0" w:firstRowLastColumn="0" w:lastRowFirstColumn="0" w:lastRowLastColumn="0"/>
              <w:rPr>
                <w:lang w:eastAsia="pt-BR"/>
              </w:rPr>
            </w:pPr>
            <w:r>
              <w:rPr>
                <w:lang w:eastAsia="pt-BR"/>
              </w:rPr>
              <w:t>1,203 (53,6%)</w:t>
            </w:r>
          </w:p>
        </w:tc>
      </w:tr>
      <w:tr w:rsidR="007E5CA5" w14:paraId="2E2A9222"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630B194D" w14:textId="77777777" w:rsidR="007E5CA5" w:rsidRDefault="007E5CA5" w:rsidP="00C67ED3">
            <w:pPr>
              <w:pStyle w:val="SemEspaamento"/>
              <w:rPr>
                <w:lang w:eastAsia="pt-BR"/>
              </w:rPr>
            </w:pPr>
            <w:r>
              <w:rPr>
                <w:lang w:eastAsia="pt-BR"/>
              </w:rPr>
              <w:t>Orientação sexual</w:t>
            </w:r>
          </w:p>
        </w:tc>
        <w:tc>
          <w:tcPr>
            <w:tcW w:w="1227" w:type="pct"/>
            <w:tcBorders>
              <w:top w:val="nil"/>
              <w:left w:val="nil"/>
              <w:bottom w:val="nil"/>
              <w:right w:val="nil"/>
            </w:tcBorders>
            <w:noWrap/>
            <w:hideMark/>
          </w:tcPr>
          <w:p w14:paraId="3BD67A9C" w14:textId="77777777" w:rsidR="007E5CA5" w:rsidRDefault="007E5CA5" w:rsidP="00C67ED3">
            <w:pPr>
              <w:pStyle w:val="SemEspaamento"/>
              <w:cnfStyle w:val="000000000000" w:firstRow="0" w:lastRow="0" w:firstColumn="0" w:lastColumn="0" w:oddVBand="0" w:evenVBand="0" w:oddHBand="0" w:evenHBand="0" w:firstRowFirstColumn="0" w:firstRowLastColumn="0" w:lastRowFirstColumn="0" w:lastRowLastColumn="0"/>
              <w:rPr>
                <w:lang w:eastAsia="pt-BR"/>
              </w:rPr>
            </w:pPr>
          </w:p>
        </w:tc>
      </w:tr>
      <w:tr w:rsidR="007E5CA5" w14:paraId="661CD15D"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3234E590" w14:textId="77777777" w:rsidR="007E5CA5" w:rsidRDefault="007E5CA5" w:rsidP="00C67ED3">
            <w:pPr>
              <w:pStyle w:val="SemEspaamento"/>
              <w:rPr>
                <w:lang w:eastAsia="pt-BR"/>
              </w:rPr>
            </w:pPr>
            <w:r>
              <w:rPr>
                <w:lang w:eastAsia="pt-BR"/>
              </w:rPr>
              <w:t xml:space="preserve">   Heterossexual</w:t>
            </w:r>
          </w:p>
        </w:tc>
        <w:tc>
          <w:tcPr>
            <w:tcW w:w="1227" w:type="pct"/>
            <w:tcBorders>
              <w:top w:val="nil"/>
              <w:left w:val="nil"/>
              <w:bottom w:val="nil"/>
              <w:right w:val="nil"/>
            </w:tcBorders>
            <w:noWrap/>
            <w:hideMark/>
          </w:tcPr>
          <w:p w14:paraId="32579C88" w14:textId="77777777" w:rsidR="007E5CA5" w:rsidRDefault="007E5CA5" w:rsidP="00C67ED3">
            <w:pPr>
              <w:pStyle w:val="SemEspaamento"/>
              <w:cnfStyle w:val="000000000000" w:firstRow="0" w:lastRow="0" w:firstColumn="0" w:lastColumn="0" w:oddVBand="0" w:evenVBand="0" w:oddHBand="0" w:evenHBand="0" w:firstRowFirstColumn="0" w:firstRowLastColumn="0" w:lastRowFirstColumn="0" w:lastRowLastColumn="0"/>
              <w:rPr>
                <w:lang w:eastAsia="pt-BR"/>
              </w:rPr>
            </w:pPr>
            <w:r>
              <w:rPr>
                <w:lang w:eastAsia="pt-BR"/>
              </w:rPr>
              <w:t>1,591 (70,9%)</w:t>
            </w:r>
          </w:p>
        </w:tc>
      </w:tr>
      <w:tr w:rsidR="007E5CA5" w14:paraId="33487CB3"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A98D352" w14:textId="77777777" w:rsidR="007E5CA5" w:rsidRDefault="007E5CA5" w:rsidP="00C67ED3">
            <w:pPr>
              <w:pStyle w:val="SemEspaamento"/>
              <w:rPr>
                <w:lang w:eastAsia="pt-BR"/>
              </w:rPr>
            </w:pPr>
            <w:r>
              <w:rPr>
                <w:lang w:eastAsia="pt-BR"/>
              </w:rPr>
              <w:t xml:space="preserve">   Todas as outras orientações sexuais</w:t>
            </w:r>
          </w:p>
        </w:tc>
        <w:tc>
          <w:tcPr>
            <w:tcW w:w="1227" w:type="pct"/>
            <w:tcBorders>
              <w:top w:val="nil"/>
              <w:left w:val="nil"/>
              <w:bottom w:val="nil"/>
              <w:right w:val="nil"/>
            </w:tcBorders>
            <w:noWrap/>
            <w:hideMark/>
          </w:tcPr>
          <w:p w14:paraId="53EFD844" w14:textId="77777777" w:rsidR="007E5CA5" w:rsidRDefault="007E5CA5" w:rsidP="00C67ED3">
            <w:pPr>
              <w:pStyle w:val="SemEspaamento"/>
              <w:cnfStyle w:val="000000000000" w:firstRow="0" w:lastRow="0" w:firstColumn="0" w:lastColumn="0" w:oddVBand="0" w:evenVBand="0" w:oddHBand="0" w:evenHBand="0" w:firstRowFirstColumn="0" w:firstRowLastColumn="0" w:lastRowFirstColumn="0" w:lastRowLastColumn="0"/>
              <w:rPr>
                <w:lang w:eastAsia="pt-BR"/>
              </w:rPr>
            </w:pPr>
            <w:r>
              <w:rPr>
                <w:lang w:eastAsia="pt-BR"/>
              </w:rPr>
              <w:t>632 (28,2%)</w:t>
            </w:r>
          </w:p>
        </w:tc>
      </w:tr>
      <w:tr w:rsidR="007E5CA5" w14:paraId="17E4F094"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EE4AA40" w14:textId="77777777" w:rsidR="007E5CA5" w:rsidRDefault="007E5CA5" w:rsidP="00C67ED3">
            <w:pPr>
              <w:pStyle w:val="SemEspaamento"/>
              <w:rPr>
                <w:lang w:eastAsia="pt-BR"/>
              </w:rPr>
            </w:pPr>
            <w:r>
              <w:rPr>
                <w:lang w:eastAsia="pt-BR"/>
              </w:rPr>
              <w:t>Estado civil</w:t>
            </w:r>
          </w:p>
        </w:tc>
        <w:tc>
          <w:tcPr>
            <w:tcW w:w="1227" w:type="pct"/>
            <w:tcBorders>
              <w:top w:val="nil"/>
              <w:left w:val="nil"/>
              <w:bottom w:val="nil"/>
              <w:right w:val="nil"/>
            </w:tcBorders>
            <w:noWrap/>
            <w:hideMark/>
          </w:tcPr>
          <w:p w14:paraId="2564678A" w14:textId="77777777" w:rsidR="007E5CA5" w:rsidRDefault="007E5CA5" w:rsidP="00C67ED3">
            <w:pPr>
              <w:pStyle w:val="SemEspaamento"/>
              <w:cnfStyle w:val="000000000000" w:firstRow="0" w:lastRow="0" w:firstColumn="0" w:lastColumn="0" w:oddVBand="0" w:evenVBand="0" w:oddHBand="0" w:evenHBand="0" w:firstRowFirstColumn="0" w:firstRowLastColumn="0" w:lastRowFirstColumn="0" w:lastRowLastColumn="0"/>
              <w:rPr>
                <w:lang w:eastAsia="pt-BR"/>
              </w:rPr>
            </w:pPr>
          </w:p>
        </w:tc>
      </w:tr>
      <w:tr w:rsidR="007E5CA5" w14:paraId="31297BFA"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44EE1044" w14:textId="77777777" w:rsidR="007E5CA5" w:rsidRDefault="007E5CA5" w:rsidP="00C67ED3">
            <w:pPr>
              <w:pStyle w:val="SemEspaamento"/>
              <w:rPr>
                <w:lang w:eastAsia="pt-BR"/>
              </w:rPr>
            </w:pPr>
            <w:r>
              <w:rPr>
                <w:lang w:eastAsia="pt-BR"/>
              </w:rPr>
              <w:t xml:space="preserve">   Não solteiro</w:t>
            </w:r>
          </w:p>
        </w:tc>
        <w:tc>
          <w:tcPr>
            <w:tcW w:w="1227" w:type="pct"/>
            <w:tcBorders>
              <w:top w:val="nil"/>
              <w:left w:val="nil"/>
              <w:bottom w:val="nil"/>
              <w:right w:val="nil"/>
            </w:tcBorders>
            <w:noWrap/>
            <w:hideMark/>
          </w:tcPr>
          <w:p w14:paraId="7BF2EAE0" w14:textId="77777777" w:rsidR="007E5CA5" w:rsidRDefault="007E5CA5" w:rsidP="00C67ED3">
            <w:pPr>
              <w:pStyle w:val="SemEspaamento"/>
              <w:cnfStyle w:val="000000000000" w:firstRow="0" w:lastRow="0" w:firstColumn="0" w:lastColumn="0" w:oddVBand="0" w:evenVBand="0" w:oddHBand="0" w:evenHBand="0" w:firstRowFirstColumn="0" w:firstRowLastColumn="0" w:lastRowFirstColumn="0" w:lastRowLastColumn="0"/>
              <w:rPr>
                <w:lang w:eastAsia="pt-BR"/>
              </w:rPr>
            </w:pPr>
            <w:r>
              <w:rPr>
                <w:lang w:eastAsia="pt-BR"/>
              </w:rPr>
              <w:t>134 ( 6,0%)</w:t>
            </w:r>
          </w:p>
        </w:tc>
      </w:tr>
      <w:tr w:rsidR="007E5CA5" w14:paraId="4B5E0D9E"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F85EF2D" w14:textId="77777777" w:rsidR="007E5CA5" w:rsidRDefault="007E5CA5" w:rsidP="00C67ED3">
            <w:pPr>
              <w:pStyle w:val="SemEspaamento"/>
              <w:rPr>
                <w:lang w:eastAsia="pt-BR"/>
              </w:rPr>
            </w:pPr>
            <w:r>
              <w:rPr>
                <w:lang w:eastAsia="pt-BR"/>
              </w:rPr>
              <w:t xml:space="preserve">   Solteiro</w:t>
            </w:r>
          </w:p>
        </w:tc>
        <w:tc>
          <w:tcPr>
            <w:tcW w:w="1227" w:type="pct"/>
            <w:tcBorders>
              <w:top w:val="nil"/>
              <w:left w:val="nil"/>
              <w:bottom w:val="nil"/>
              <w:right w:val="nil"/>
            </w:tcBorders>
            <w:noWrap/>
            <w:hideMark/>
          </w:tcPr>
          <w:p w14:paraId="70356484" w14:textId="77777777" w:rsidR="007E5CA5" w:rsidRDefault="007E5CA5" w:rsidP="00C67ED3">
            <w:pPr>
              <w:pStyle w:val="SemEspaamento"/>
              <w:cnfStyle w:val="000000000000" w:firstRow="0" w:lastRow="0" w:firstColumn="0" w:lastColumn="0" w:oddVBand="0" w:evenVBand="0" w:oddHBand="0" w:evenHBand="0" w:firstRowFirstColumn="0" w:firstRowLastColumn="0" w:lastRowFirstColumn="0" w:lastRowLastColumn="0"/>
              <w:rPr>
                <w:lang w:eastAsia="pt-BR"/>
              </w:rPr>
            </w:pPr>
            <w:r>
              <w:rPr>
                <w:lang w:eastAsia="pt-BR"/>
              </w:rPr>
              <w:t>2,105 (93,8%)</w:t>
            </w:r>
          </w:p>
        </w:tc>
      </w:tr>
      <w:tr w:rsidR="007E5CA5" w14:paraId="586CAAEF"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23D555D" w14:textId="77777777" w:rsidR="007E5CA5" w:rsidRDefault="007E5CA5" w:rsidP="00C67ED3">
            <w:pPr>
              <w:pStyle w:val="SemEspaamento"/>
              <w:rPr>
                <w:lang w:eastAsia="pt-BR"/>
              </w:rPr>
            </w:pPr>
            <w:r>
              <w:rPr>
                <w:lang w:eastAsia="pt-BR"/>
              </w:rPr>
              <w:t>Nível socioeconômico</w:t>
            </w:r>
          </w:p>
        </w:tc>
        <w:tc>
          <w:tcPr>
            <w:tcW w:w="1227" w:type="pct"/>
            <w:tcBorders>
              <w:top w:val="nil"/>
              <w:left w:val="nil"/>
              <w:bottom w:val="nil"/>
              <w:right w:val="nil"/>
            </w:tcBorders>
            <w:noWrap/>
            <w:hideMark/>
          </w:tcPr>
          <w:p w14:paraId="3600D15D" w14:textId="77777777" w:rsidR="007E5CA5" w:rsidRDefault="007E5CA5" w:rsidP="00C67ED3">
            <w:pPr>
              <w:pStyle w:val="SemEspaamento"/>
              <w:cnfStyle w:val="000000000000" w:firstRow="0" w:lastRow="0" w:firstColumn="0" w:lastColumn="0" w:oddVBand="0" w:evenVBand="0" w:oddHBand="0" w:evenHBand="0" w:firstRowFirstColumn="0" w:firstRowLastColumn="0" w:lastRowFirstColumn="0" w:lastRowLastColumn="0"/>
              <w:rPr>
                <w:lang w:eastAsia="pt-BR"/>
              </w:rPr>
            </w:pPr>
          </w:p>
        </w:tc>
      </w:tr>
      <w:tr w:rsidR="007E5CA5" w14:paraId="0258ED19"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5BE67DF8" w14:textId="77777777" w:rsidR="007E5CA5" w:rsidRDefault="007E5CA5" w:rsidP="00C67ED3">
            <w:pPr>
              <w:pStyle w:val="SemEspaamento"/>
              <w:rPr>
                <w:lang w:eastAsia="pt-BR"/>
              </w:rPr>
            </w:pPr>
            <w:r>
              <w:rPr>
                <w:lang w:eastAsia="pt-BR"/>
              </w:rPr>
              <w:t xml:space="preserve">   A</w:t>
            </w:r>
          </w:p>
        </w:tc>
        <w:tc>
          <w:tcPr>
            <w:tcW w:w="1227" w:type="pct"/>
            <w:tcBorders>
              <w:top w:val="nil"/>
              <w:left w:val="nil"/>
              <w:bottom w:val="nil"/>
              <w:right w:val="nil"/>
            </w:tcBorders>
            <w:noWrap/>
            <w:hideMark/>
          </w:tcPr>
          <w:p w14:paraId="347B898E" w14:textId="77777777" w:rsidR="007E5CA5" w:rsidRDefault="007E5CA5" w:rsidP="00C67ED3">
            <w:pPr>
              <w:pStyle w:val="SemEspaamento"/>
              <w:cnfStyle w:val="000000000000" w:firstRow="0" w:lastRow="0" w:firstColumn="0" w:lastColumn="0" w:oddVBand="0" w:evenVBand="0" w:oddHBand="0" w:evenHBand="0" w:firstRowFirstColumn="0" w:firstRowLastColumn="0" w:lastRowFirstColumn="0" w:lastRowLastColumn="0"/>
              <w:rPr>
                <w:lang w:eastAsia="pt-BR"/>
              </w:rPr>
            </w:pPr>
            <w:r>
              <w:rPr>
                <w:lang w:eastAsia="pt-BR"/>
              </w:rPr>
              <w:t>859 (38,3%)</w:t>
            </w:r>
          </w:p>
        </w:tc>
      </w:tr>
      <w:tr w:rsidR="007E5CA5" w14:paraId="034DDCC8"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288C89C3" w14:textId="77777777" w:rsidR="007E5CA5" w:rsidRDefault="007E5CA5" w:rsidP="00C67ED3">
            <w:pPr>
              <w:pStyle w:val="SemEspaamento"/>
              <w:rPr>
                <w:lang w:eastAsia="pt-BR"/>
              </w:rPr>
            </w:pPr>
            <w:r>
              <w:rPr>
                <w:lang w:eastAsia="pt-BR"/>
              </w:rPr>
              <w:t xml:space="preserve">   B</w:t>
            </w:r>
          </w:p>
        </w:tc>
        <w:tc>
          <w:tcPr>
            <w:tcW w:w="1227" w:type="pct"/>
            <w:tcBorders>
              <w:top w:val="nil"/>
              <w:left w:val="nil"/>
              <w:bottom w:val="nil"/>
              <w:right w:val="nil"/>
            </w:tcBorders>
            <w:noWrap/>
            <w:hideMark/>
          </w:tcPr>
          <w:p w14:paraId="328DC1BA" w14:textId="77777777" w:rsidR="007E5CA5" w:rsidRDefault="007E5CA5" w:rsidP="00C67ED3">
            <w:pPr>
              <w:pStyle w:val="SemEspaamento"/>
              <w:cnfStyle w:val="000000000000" w:firstRow="0" w:lastRow="0" w:firstColumn="0" w:lastColumn="0" w:oddVBand="0" w:evenVBand="0" w:oddHBand="0" w:evenHBand="0" w:firstRowFirstColumn="0" w:firstRowLastColumn="0" w:lastRowFirstColumn="0" w:lastRowLastColumn="0"/>
              <w:rPr>
                <w:lang w:eastAsia="pt-BR"/>
              </w:rPr>
            </w:pPr>
            <w:r>
              <w:rPr>
                <w:lang w:eastAsia="pt-BR"/>
              </w:rPr>
              <w:t>1,078 (48,0%)</w:t>
            </w:r>
          </w:p>
        </w:tc>
      </w:tr>
      <w:tr w:rsidR="007E5CA5" w14:paraId="73162BE3"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5D1BA0D2" w14:textId="77777777" w:rsidR="007E5CA5" w:rsidRDefault="007E5CA5" w:rsidP="00C67ED3">
            <w:pPr>
              <w:pStyle w:val="SemEspaamento"/>
              <w:rPr>
                <w:lang w:eastAsia="pt-BR"/>
              </w:rPr>
            </w:pPr>
            <w:r>
              <w:rPr>
                <w:lang w:eastAsia="pt-BR"/>
              </w:rPr>
              <w:t xml:space="preserve">   C, D e E</w:t>
            </w:r>
          </w:p>
        </w:tc>
        <w:tc>
          <w:tcPr>
            <w:tcW w:w="1227" w:type="pct"/>
            <w:tcBorders>
              <w:top w:val="nil"/>
              <w:left w:val="nil"/>
              <w:bottom w:val="nil"/>
              <w:right w:val="nil"/>
            </w:tcBorders>
            <w:noWrap/>
            <w:hideMark/>
          </w:tcPr>
          <w:p w14:paraId="07F59307" w14:textId="77777777" w:rsidR="007E5CA5" w:rsidRDefault="007E5CA5" w:rsidP="00C67ED3">
            <w:pPr>
              <w:pStyle w:val="SemEspaamento"/>
              <w:cnfStyle w:val="000000000000" w:firstRow="0" w:lastRow="0" w:firstColumn="0" w:lastColumn="0" w:oddVBand="0" w:evenVBand="0" w:oddHBand="0" w:evenHBand="0" w:firstRowFirstColumn="0" w:firstRowLastColumn="0" w:lastRowFirstColumn="0" w:lastRowLastColumn="0"/>
              <w:rPr>
                <w:lang w:eastAsia="pt-BR"/>
              </w:rPr>
            </w:pPr>
            <w:r>
              <w:rPr>
                <w:lang w:eastAsia="pt-BR"/>
              </w:rPr>
              <w:t>304 (13,5%)</w:t>
            </w:r>
          </w:p>
        </w:tc>
      </w:tr>
      <w:tr w:rsidR="007E5CA5" w14:paraId="1F9A23C0"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349E9415" w14:textId="77777777" w:rsidR="007E5CA5" w:rsidRDefault="007E5CA5" w:rsidP="00C67ED3">
            <w:pPr>
              <w:pStyle w:val="SemEspaamento"/>
              <w:rPr>
                <w:lang w:eastAsia="pt-BR"/>
              </w:rPr>
            </w:pPr>
            <w:r>
              <w:rPr>
                <w:lang w:eastAsia="pt-BR"/>
              </w:rPr>
              <w:t>Pratica atividade física</w:t>
            </w:r>
          </w:p>
        </w:tc>
        <w:tc>
          <w:tcPr>
            <w:tcW w:w="1227" w:type="pct"/>
            <w:tcBorders>
              <w:top w:val="nil"/>
              <w:left w:val="nil"/>
              <w:bottom w:val="nil"/>
              <w:right w:val="nil"/>
            </w:tcBorders>
            <w:noWrap/>
            <w:hideMark/>
          </w:tcPr>
          <w:p w14:paraId="42A3C3C5" w14:textId="77777777" w:rsidR="007E5CA5" w:rsidRDefault="007E5CA5" w:rsidP="00C67ED3">
            <w:pPr>
              <w:pStyle w:val="SemEspaamento"/>
              <w:cnfStyle w:val="000000000000" w:firstRow="0" w:lastRow="0" w:firstColumn="0" w:lastColumn="0" w:oddVBand="0" w:evenVBand="0" w:oddHBand="0" w:evenHBand="0" w:firstRowFirstColumn="0" w:firstRowLastColumn="0" w:lastRowFirstColumn="0" w:lastRowLastColumn="0"/>
              <w:rPr>
                <w:lang w:eastAsia="pt-BR"/>
              </w:rPr>
            </w:pPr>
          </w:p>
        </w:tc>
      </w:tr>
      <w:tr w:rsidR="007E5CA5" w14:paraId="712F8924"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75A45A7" w14:textId="77777777" w:rsidR="007E5CA5" w:rsidRDefault="007E5CA5" w:rsidP="00C67ED3">
            <w:pPr>
              <w:pStyle w:val="SemEspaamento"/>
              <w:rPr>
                <w:lang w:eastAsia="pt-BR"/>
              </w:rPr>
            </w:pPr>
            <w:r>
              <w:rPr>
                <w:lang w:eastAsia="pt-BR"/>
              </w:rPr>
              <w:t xml:space="preserve">   Não</w:t>
            </w:r>
          </w:p>
        </w:tc>
        <w:tc>
          <w:tcPr>
            <w:tcW w:w="1227" w:type="pct"/>
            <w:tcBorders>
              <w:top w:val="nil"/>
              <w:left w:val="nil"/>
              <w:bottom w:val="nil"/>
              <w:right w:val="nil"/>
            </w:tcBorders>
            <w:noWrap/>
            <w:hideMark/>
          </w:tcPr>
          <w:p w14:paraId="5D2F0DC1" w14:textId="77777777" w:rsidR="007E5CA5" w:rsidRDefault="007E5CA5" w:rsidP="00C67ED3">
            <w:pPr>
              <w:pStyle w:val="SemEspaamento"/>
              <w:cnfStyle w:val="000000000000" w:firstRow="0" w:lastRow="0" w:firstColumn="0" w:lastColumn="0" w:oddVBand="0" w:evenVBand="0" w:oddHBand="0" w:evenHBand="0" w:firstRowFirstColumn="0" w:firstRowLastColumn="0" w:lastRowFirstColumn="0" w:lastRowLastColumn="0"/>
              <w:rPr>
                <w:lang w:eastAsia="pt-BR"/>
              </w:rPr>
            </w:pPr>
            <w:r>
              <w:rPr>
                <w:lang w:eastAsia="pt-BR"/>
              </w:rPr>
              <w:t>722 (32,2%)</w:t>
            </w:r>
          </w:p>
        </w:tc>
      </w:tr>
      <w:tr w:rsidR="007E5CA5" w14:paraId="7AF5B1AE"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47AD16B9" w14:textId="77777777" w:rsidR="007E5CA5" w:rsidRDefault="007E5CA5" w:rsidP="00C67ED3">
            <w:pPr>
              <w:pStyle w:val="SemEspaamento"/>
              <w:rPr>
                <w:lang w:eastAsia="pt-BR"/>
              </w:rPr>
            </w:pPr>
            <w:r>
              <w:rPr>
                <w:lang w:eastAsia="pt-BR"/>
              </w:rPr>
              <w:t xml:space="preserve">   Sim</w:t>
            </w:r>
          </w:p>
        </w:tc>
        <w:tc>
          <w:tcPr>
            <w:tcW w:w="1227" w:type="pct"/>
            <w:tcBorders>
              <w:top w:val="nil"/>
              <w:left w:val="nil"/>
              <w:bottom w:val="nil"/>
              <w:right w:val="nil"/>
            </w:tcBorders>
            <w:noWrap/>
            <w:hideMark/>
          </w:tcPr>
          <w:p w14:paraId="564D9FBB" w14:textId="77777777" w:rsidR="007E5CA5" w:rsidRDefault="007E5CA5" w:rsidP="00C67ED3">
            <w:pPr>
              <w:pStyle w:val="SemEspaamento"/>
              <w:cnfStyle w:val="000000000000" w:firstRow="0" w:lastRow="0" w:firstColumn="0" w:lastColumn="0" w:oddVBand="0" w:evenVBand="0" w:oddHBand="0" w:evenHBand="0" w:firstRowFirstColumn="0" w:firstRowLastColumn="0" w:lastRowFirstColumn="0" w:lastRowLastColumn="0"/>
              <w:rPr>
                <w:lang w:eastAsia="pt-BR"/>
              </w:rPr>
            </w:pPr>
            <w:r>
              <w:rPr>
                <w:lang w:eastAsia="pt-BR"/>
              </w:rPr>
              <w:t>1,477 (65,8%)</w:t>
            </w:r>
          </w:p>
        </w:tc>
      </w:tr>
      <w:tr w:rsidR="007E5CA5" w14:paraId="25AB51B1"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3EAE5DDE" w14:textId="77777777" w:rsidR="007E5CA5" w:rsidRDefault="007E5CA5" w:rsidP="00C67ED3">
            <w:pPr>
              <w:pStyle w:val="SemEspaamento"/>
              <w:rPr>
                <w:lang w:eastAsia="pt-BR"/>
              </w:rPr>
            </w:pPr>
            <w:r>
              <w:rPr>
                <w:lang w:eastAsia="pt-BR"/>
              </w:rPr>
              <w:t>Faixa etária</w:t>
            </w:r>
          </w:p>
        </w:tc>
        <w:tc>
          <w:tcPr>
            <w:tcW w:w="1227" w:type="pct"/>
            <w:tcBorders>
              <w:top w:val="nil"/>
              <w:left w:val="nil"/>
              <w:bottom w:val="nil"/>
              <w:right w:val="nil"/>
            </w:tcBorders>
            <w:noWrap/>
            <w:hideMark/>
          </w:tcPr>
          <w:p w14:paraId="4253D8A7" w14:textId="77777777" w:rsidR="007E5CA5" w:rsidRDefault="007E5CA5" w:rsidP="00C67ED3">
            <w:pPr>
              <w:pStyle w:val="SemEspaamento"/>
              <w:cnfStyle w:val="000000000000" w:firstRow="0" w:lastRow="0" w:firstColumn="0" w:lastColumn="0" w:oddVBand="0" w:evenVBand="0" w:oddHBand="0" w:evenHBand="0" w:firstRowFirstColumn="0" w:firstRowLastColumn="0" w:lastRowFirstColumn="0" w:lastRowLastColumn="0"/>
              <w:rPr>
                <w:lang w:eastAsia="pt-BR"/>
              </w:rPr>
            </w:pPr>
          </w:p>
        </w:tc>
      </w:tr>
      <w:tr w:rsidR="007E5CA5" w14:paraId="4EB103B0"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3869B0AB" w14:textId="77777777" w:rsidR="007E5CA5" w:rsidRDefault="007E5CA5" w:rsidP="00C67ED3">
            <w:pPr>
              <w:pStyle w:val="SemEspaamento"/>
              <w:rPr>
                <w:lang w:eastAsia="pt-BR"/>
              </w:rPr>
            </w:pPr>
            <w:r>
              <w:rPr>
                <w:lang w:eastAsia="pt-BR"/>
              </w:rPr>
              <w:t xml:space="preserve">   Até 20 anos</w:t>
            </w:r>
          </w:p>
        </w:tc>
        <w:tc>
          <w:tcPr>
            <w:tcW w:w="1227" w:type="pct"/>
            <w:tcBorders>
              <w:top w:val="nil"/>
              <w:left w:val="nil"/>
              <w:bottom w:val="nil"/>
              <w:right w:val="nil"/>
            </w:tcBorders>
            <w:noWrap/>
            <w:hideMark/>
          </w:tcPr>
          <w:p w14:paraId="49AB60E5" w14:textId="77777777" w:rsidR="007E5CA5" w:rsidRDefault="007E5CA5" w:rsidP="00C67ED3">
            <w:pPr>
              <w:pStyle w:val="SemEspaamento"/>
              <w:cnfStyle w:val="000000000000" w:firstRow="0" w:lastRow="0" w:firstColumn="0" w:lastColumn="0" w:oddVBand="0" w:evenVBand="0" w:oddHBand="0" w:evenHBand="0" w:firstRowFirstColumn="0" w:firstRowLastColumn="0" w:lastRowFirstColumn="0" w:lastRowLastColumn="0"/>
              <w:rPr>
                <w:lang w:eastAsia="pt-BR"/>
              </w:rPr>
            </w:pPr>
            <w:r>
              <w:rPr>
                <w:lang w:eastAsia="pt-BR"/>
              </w:rPr>
              <w:t>537 (23,9%)</w:t>
            </w:r>
          </w:p>
        </w:tc>
      </w:tr>
      <w:tr w:rsidR="007E5CA5" w14:paraId="64A1FEF5"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7E75040" w14:textId="77777777" w:rsidR="007E5CA5" w:rsidRDefault="007E5CA5" w:rsidP="00C67ED3">
            <w:pPr>
              <w:pStyle w:val="SemEspaamento"/>
              <w:rPr>
                <w:lang w:eastAsia="pt-BR"/>
              </w:rPr>
            </w:pPr>
            <w:r>
              <w:rPr>
                <w:lang w:eastAsia="pt-BR"/>
              </w:rPr>
              <w:t xml:space="preserve">   20+ anos</w:t>
            </w:r>
          </w:p>
        </w:tc>
        <w:tc>
          <w:tcPr>
            <w:tcW w:w="1227" w:type="pct"/>
            <w:tcBorders>
              <w:top w:val="nil"/>
              <w:left w:val="nil"/>
              <w:bottom w:val="nil"/>
              <w:right w:val="nil"/>
            </w:tcBorders>
            <w:noWrap/>
            <w:hideMark/>
          </w:tcPr>
          <w:p w14:paraId="7FFE94DE" w14:textId="77777777" w:rsidR="007E5CA5" w:rsidRDefault="007E5CA5" w:rsidP="00C67ED3">
            <w:pPr>
              <w:pStyle w:val="SemEspaamento"/>
              <w:cnfStyle w:val="000000000000" w:firstRow="0" w:lastRow="0" w:firstColumn="0" w:lastColumn="0" w:oddVBand="0" w:evenVBand="0" w:oddHBand="0" w:evenHBand="0" w:firstRowFirstColumn="0" w:firstRowLastColumn="0" w:lastRowFirstColumn="0" w:lastRowLastColumn="0"/>
              <w:rPr>
                <w:lang w:eastAsia="pt-BR"/>
              </w:rPr>
            </w:pPr>
            <w:r>
              <w:rPr>
                <w:lang w:eastAsia="pt-BR"/>
              </w:rPr>
              <w:t>1,707 (76,1%)</w:t>
            </w:r>
          </w:p>
        </w:tc>
      </w:tr>
      <w:tr w:rsidR="007E5CA5" w14:paraId="22DCC6FC"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35BEF604" w14:textId="77777777" w:rsidR="007E5CA5" w:rsidRDefault="007E5CA5" w:rsidP="00C67ED3">
            <w:pPr>
              <w:pStyle w:val="SemEspaamento"/>
              <w:rPr>
                <w:lang w:eastAsia="pt-BR"/>
              </w:rPr>
            </w:pPr>
            <w:r>
              <w:rPr>
                <w:lang w:eastAsia="pt-BR"/>
              </w:rPr>
              <w:t>Área da graduação</w:t>
            </w:r>
          </w:p>
        </w:tc>
        <w:tc>
          <w:tcPr>
            <w:tcW w:w="1227" w:type="pct"/>
            <w:tcBorders>
              <w:top w:val="nil"/>
              <w:left w:val="nil"/>
              <w:bottom w:val="nil"/>
              <w:right w:val="nil"/>
            </w:tcBorders>
            <w:noWrap/>
            <w:hideMark/>
          </w:tcPr>
          <w:p w14:paraId="79F0B856" w14:textId="77777777" w:rsidR="007E5CA5" w:rsidRDefault="007E5CA5" w:rsidP="00C67ED3">
            <w:pPr>
              <w:pStyle w:val="SemEspaamento"/>
              <w:cnfStyle w:val="000000000000" w:firstRow="0" w:lastRow="0" w:firstColumn="0" w:lastColumn="0" w:oddVBand="0" w:evenVBand="0" w:oddHBand="0" w:evenHBand="0" w:firstRowFirstColumn="0" w:firstRowLastColumn="0" w:lastRowFirstColumn="0" w:lastRowLastColumn="0"/>
              <w:rPr>
                <w:lang w:eastAsia="pt-BR"/>
              </w:rPr>
            </w:pPr>
          </w:p>
        </w:tc>
      </w:tr>
      <w:tr w:rsidR="007E5CA5" w14:paraId="38129DF2"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0ACA8240" w14:textId="77777777" w:rsidR="007E5CA5" w:rsidRDefault="007E5CA5" w:rsidP="00C67ED3">
            <w:pPr>
              <w:pStyle w:val="SemEspaamento"/>
              <w:rPr>
                <w:lang w:eastAsia="pt-BR"/>
              </w:rPr>
            </w:pPr>
            <w:r>
              <w:rPr>
                <w:lang w:eastAsia="pt-BR"/>
              </w:rPr>
              <w:t xml:space="preserve">   Artes e Humanidades</w:t>
            </w:r>
          </w:p>
        </w:tc>
        <w:tc>
          <w:tcPr>
            <w:tcW w:w="1227" w:type="pct"/>
            <w:tcBorders>
              <w:top w:val="nil"/>
              <w:left w:val="nil"/>
              <w:bottom w:val="nil"/>
              <w:right w:val="nil"/>
            </w:tcBorders>
            <w:noWrap/>
            <w:hideMark/>
          </w:tcPr>
          <w:p w14:paraId="15F3766B" w14:textId="77777777" w:rsidR="007E5CA5" w:rsidRDefault="007E5CA5" w:rsidP="00C67ED3">
            <w:pPr>
              <w:pStyle w:val="SemEspaamento"/>
              <w:cnfStyle w:val="000000000000" w:firstRow="0" w:lastRow="0" w:firstColumn="0" w:lastColumn="0" w:oddVBand="0" w:evenVBand="0" w:oddHBand="0" w:evenHBand="0" w:firstRowFirstColumn="0" w:firstRowLastColumn="0" w:lastRowFirstColumn="0" w:lastRowLastColumn="0"/>
              <w:rPr>
                <w:lang w:eastAsia="pt-BR"/>
              </w:rPr>
            </w:pPr>
            <w:r>
              <w:rPr>
                <w:lang w:eastAsia="pt-BR"/>
              </w:rPr>
              <w:t>780 (34,8%)</w:t>
            </w:r>
          </w:p>
        </w:tc>
      </w:tr>
      <w:tr w:rsidR="007E5CA5" w14:paraId="78C9D111"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3D4213CC" w14:textId="77777777" w:rsidR="007E5CA5" w:rsidRDefault="007E5CA5" w:rsidP="00C67ED3">
            <w:pPr>
              <w:pStyle w:val="SemEspaamento"/>
              <w:rPr>
                <w:lang w:eastAsia="pt-BR"/>
              </w:rPr>
            </w:pPr>
            <w:r>
              <w:rPr>
                <w:lang w:eastAsia="pt-BR"/>
              </w:rPr>
              <w:t xml:space="preserve">   Ciências Básicas</w:t>
            </w:r>
          </w:p>
        </w:tc>
        <w:tc>
          <w:tcPr>
            <w:tcW w:w="1227" w:type="pct"/>
            <w:tcBorders>
              <w:top w:val="nil"/>
              <w:left w:val="nil"/>
              <w:bottom w:val="nil"/>
              <w:right w:val="nil"/>
            </w:tcBorders>
            <w:noWrap/>
            <w:hideMark/>
          </w:tcPr>
          <w:p w14:paraId="2AFE4C82" w14:textId="77777777" w:rsidR="007E5CA5" w:rsidRDefault="007E5CA5" w:rsidP="00C67ED3">
            <w:pPr>
              <w:pStyle w:val="SemEspaamento"/>
              <w:cnfStyle w:val="000000000000" w:firstRow="0" w:lastRow="0" w:firstColumn="0" w:lastColumn="0" w:oddVBand="0" w:evenVBand="0" w:oddHBand="0" w:evenHBand="0" w:firstRowFirstColumn="0" w:firstRowLastColumn="0" w:lastRowFirstColumn="0" w:lastRowLastColumn="0"/>
              <w:rPr>
                <w:lang w:eastAsia="pt-BR"/>
              </w:rPr>
            </w:pPr>
            <w:r>
              <w:rPr>
                <w:lang w:eastAsia="pt-BR"/>
              </w:rPr>
              <w:t>205 ( 9,1%)</w:t>
            </w:r>
          </w:p>
        </w:tc>
      </w:tr>
      <w:tr w:rsidR="007E5CA5" w14:paraId="7330524B"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1668211" w14:textId="77777777" w:rsidR="007E5CA5" w:rsidRDefault="007E5CA5" w:rsidP="00C67ED3">
            <w:pPr>
              <w:pStyle w:val="SemEspaamento"/>
              <w:rPr>
                <w:lang w:eastAsia="pt-BR"/>
              </w:rPr>
            </w:pPr>
            <w:r>
              <w:rPr>
                <w:lang w:eastAsia="pt-BR"/>
              </w:rPr>
              <w:t xml:space="preserve">   Ciências da Saúde</w:t>
            </w:r>
          </w:p>
        </w:tc>
        <w:tc>
          <w:tcPr>
            <w:tcW w:w="1227" w:type="pct"/>
            <w:tcBorders>
              <w:top w:val="nil"/>
              <w:left w:val="nil"/>
              <w:bottom w:val="nil"/>
              <w:right w:val="nil"/>
            </w:tcBorders>
            <w:noWrap/>
            <w:hideMark/>
          </w:tcPr>
          <w:p w14:paraId="0498C0FD" w14:textId="77777777" w:rsidR="007E5CA5" w:rsidRDefault="007E5CA5" w:rsidP="00C67ED3">
            <w:pPr>
              <w:pStyle w:val="SemEspaamento"/>
              <w:cnfStyle w:val="000000000000" w:firstRow="0" w:lastRow="0" w:firstColumn="0" w:lastColumn="0" w:oddVBand="0" w:evenVBand="0" w:oddHBand="0" w:evenHBand="0" w:firstRowFirstColumn="0" w:firstRowLastColumn="0" w:lastRowFirstColumn="0" w:lastRowLastColumn="0"/>
              <w:rPr>
                <w:lang w:eastAsia="pt-BR"/>
              </w:rPr>
            </w:pPr>
            <w:r>
              <w:rPr>
                <w:lang w:eastAsia="pt-BR"/>
              </w:rPr>
              <w:t>451 (20,1%)</w:t>
            </w:r>
          </w:p>
        </w:tc>
      </w:tr>
      <w:tr w:rsidR="007E5CA5" w14:paraId="1394C845"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FD203C7" w14:textId="77777777" w:rsidR="007E5CA5" w:rsidRDefault="007E5CA5" w:rsidP="00C67ED3">
            <w:pPr>
              <w:pStyle w:val="SemEspaamento"/>
              <w:rPr>
                <w:lang w:eastAsia="pt-BR"/>
              </w:rPr>
            </w:pPr>
            <w:r>
              <w:rPr>
                <w:lang w:eastAsia="pt-BR"/>
              </w:rPr>
              <w:t xml:space="preserve">   Exatas e Tecnológicas</w:t>
            </w:r>
          </w:p>
        </w:tc>
        <w:tc>
          <w:tcPr>
            <w:tcW w:w="1227" w:type="pct"/>
            <w:tcBorders>
              <w:top w:val="nil"/>
              <w:left w:val="nil"/>
              <w:bottom w:val="nil"/>
              <w:right w:val="nil"/>
            </w:tcBorders>
            <w:noWrap/>
            <w:hideMark/>
          </w:tcPr>
          <w:p w14:paraId="56E7BEEF" w14:textId="77777777" w:rsidR="007E5CA5" w:rsidRDefault="007E5CA5" w:rsidP="00C67ED3">
            <w:pPr>
              <w:pStyle w:val="SemEspaamento"/>
              <w:cnfStyle w:val="000000000000" w:firstRow="0" w:lastRow="0" w:firstColumn="0" w:lastColumn="0" w:oddVBand="0" w:evenVBand="0" w:oddHBand="0" w:evenHBand="0" w:firstRowFirstColumn="0" w:firstRowLastColumn="0" w:lastRowFirstColumn="0" w:lastRowLastColumn="0"/>
              <w:rPr>
                <w:lang w:eastAsia="pt-BR"/>
              </w:rPr>
            </w:pPr>
            <w:r>
              <w:rPr>
                <w:lang w:eastAsia="pt-BR"/>
              </w:rPr>
              <w:t>738 (32,9%)</w:t>
            </w:r>
          </w:p>
        </w:tc>
      </w:tr>
      <w:tr w:rsidR="007E5CA5" w14:paraId="051E2ECC" w14:textId="77777777" w:rsidTr="007E5CA5">
        <w:trPr>
          <w:trHeight w:val="330"/>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single" w:sz="4" w:space="0" w:color="auto"/>
              <w:right w:val="nil"/>
            </w:tcBorders>
            <w:hideMark/>
          </w:tcPr>
          <w:p w14:paraId="4DD3B2B1" w14:textId="77777777" w:rsidR="007E5CA5" w:rsidRDefault="007E5CA5" w:rsidP="00C67ED3">
            <w:pPr>
              <w:pStyle w:val="SemEspaamento"/>
              <w:rPr>
                <w:lang w:eastAsia="pt-BR"/>
              </w:rPr>
            </w:pPr>
            <w:r>
              <w:rPr>
                <w:lang w:eastAsia="pt-BR"/>
              </w:rPr>
              <w:t xml:space="preserve">   Profissionalizante</w:t>
            </w:r>
          </w:p>
        </w:tc>
        <w:tc>
          <w:tcPr>
            <w:tcW w:w="1227" w:type="pct"/>
            <w:tcBorders>
              <w:top w:val="nil"/>
              <w:left w:val="nil"/>
              <w:bottom w:val="single" w:sz="4" w:space="0" w:color="auto"/>
              <w:right w:val="nil"/>
            </w:tcBorders>
            <w:noWrap/>
            <w:hideMark/>
          </w:tcPr>
          <w:p w14:paraId="4D7B0FE9" w14:textId="77777777" w:rsidR="007E5CA5" w:rsidRDefault="007E5CA5" w:rsidP="00C67ED3">
            <w:pPr>
              <w:pStyle w:val="SemEspaamento"/>
              <w:cnfStyle w:val="000000000000" w:firstRow="0" w:lastRow="0" w:firstColumn="0" w:lastColumn="0" w:oddVBand="0" w:evenVBand="0" w:oddHBand="0" w:evenHBand="0" w:firstRowFirstColumn="0" w:firstRowLastColumn="0" w:lastRowFirstColumn="0" w:lastRowLastColumn="0"/>
              <w:rPr>
                <w:lang w:eastAsia="pt-BR"/>
              </w:rPr>
            </w:pPr>
            <w:r>
              <w:rPr>
                <w:lang w:eastAsia="pt-BR"/>
              </w:rPr>
              <w:t>70 ( 3,1%)</w:t>
            </w:r>
          </w:p>
        </w:tc>
      </w:tr>
    </w:tbl>
    <w:p w14:paraId="71F5F0B8" w14:textId="77777777" w:rsidR="007E5CA5" w:rsidRDefault="007E5CA5" w:rsidP="002E268D"/>
    <w:p w14:paraId="0320ADEC" w14:textId="77777777" w:rsidR="007E5CA5" w:rsidRDefault="007E5CA5" w:rsidP="002E268D">
      <w:r>
        <w:t>Ainda, são estudantes do campus de Campinas (74,9%, n=1681), moram com outras pessoas (59,1%, n=1327), não possuem carro (66,9 %, n=1501), trabalho (62,0 %, n= 1392), bolsa (75,1%, n=1685) mas relatam ter apoio na faculdade (78,4 %, n= 1760), sendo que não se relacionam mais na internet que presencial (71,9 %, n=1614) e preferem relacionar-se de forma presencial ( 95,5%, n=2143) (tabela 5).</w:t>
      </w:r>
    </w:p>
    <w:p w14:paraId="17BCD994" w14:textId="47E9B67E" w:rsidR="007E5CA5" w:rsidRDefault="007E5CA5" w:rsidP="002E268D">
      <w:r>
        <w:rPr>
          <w:b/>
          <w:bCs/>
        </w:rPr>
        <w:t xml:space="preserve">Tabela 5. </w:t>
      </w:r>
      <w:r>
        <w:t xml:space="preserve"> Características de como vivem os estudantes </w:t>
      </w:r>
      <w:r w:rsidR="00D11886">
        <w:t>universitários que</w:t>
      </w:r>
      <w:r>
        <w:t xml:space="preserve"> apresentam comportamento sexual de risco.</w:t>
      </w:r>
    </w:p>
    <w:tbl>
      <w:tblPr>
        <w:tblStyle w:val="formatada"/>
        <w:tblW w:w="5000" w:type="pct"/>
        <w:tblLook w:val="04A0" w:firstRow="1" w:lastRow="0" w:firstColumn="1" w:lastColumn="0" w:noHBand="0" w:noVBand="1"/>
      </w:tblPr>
      <w:tblGrid>
        <w:gridCol w:w="6417"/>
        <w:gridCol w:w="2087"/>
      </w:tblGrid>
      <w:tr w:rsidR="007E5CA5" w14:paraId="1D9EE9F1" w14:textId="77777777" w:rsidTr="007E5CA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773" w:type="pct"/>
            <w:hideMark/>
          </w:tcPr>
          <w:p w14:paraId="42F3C800" w14:textId="77777777" w:rsidR="007E5CA5" w:rsidRDefault="007E5CA5" w:rsidP="00C67ED3">
            <w:pPr>
              <w:pStyle w:val="SemEspaamento"/>
              <w:rPr>
                <w:lang w:eastAsia="pt-BR"/>
              </w:rPr>
            </w:pPr>
            <w:r>
              <w:rPr>
                <w:lang w:eastAsia="pt-BR"/>
              </w:rPr>
              <w:t>Variáveis</w:t>
            </w:r>
          </w:p>
        </w:tc>
        <w:tc>
          <w:tcPr>
            <w:tcW w:w="1227" w:type="pct"/>
            <w:noWrap/>
            <w:hideMark/>
          </w:tcPr>
          <w:p w14:paraId="1D4C928D" w14:textId="77777777" w:rsidR="007E5CA5" w:rsidRDefault="007E5CA5" w:rsidP="00C67ED3">
            <w:pPr>
              <w:pStyle w:val="SemEspaamento"/>
              <w:cnfStyle w:val="100000000000" w:firstRow="1" w:lastRow="0" w:firstColumn="0" w:lastColumn="0" w:oddVBand="0" w:evenVBand="0" w:oddHBand="0" w:evenHBand="0" w:firstRowFirstColumn="0" w:firstRowLastColumn="0" w:lastRowFirstColumn="0" w:lastRowLastColumn="0"/>
              <w:rPr>
                <w:lang w:eastAsia="pt-BR"/>
              </w:rPr>
            </w:pPr>
            <w:r>
              <w:rPr>
                <w:lang w:eastAsia="pt-BR"/>
              </w:rPr>
              <w:t>n (%)</w:t>
            </w:r>
          </w:p>
        </w:tc>
      </w:tr>
      <w:tr w:rsidR="007E5CA5" w14:paraId="68836B95"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481774C" w14:textId="77777777" w:rsidR="007E5CA5" w:rsidRDefault="007E5CA5" w:rsidP="00C67ED3">
            <w:pPr>
              <w:pStyle w:val="SemEspaamento"/>
              <w:rPr>
                <w:lang w:eastAsia="pt-BR"/>
              </w:rPr>
            </w:pPr>
            <w:r>
              <w:rPr>
                <w:lang w:eastAsia="pt-BR"/>
              </w:rPr>
              <w:t>Campus de Campias</w:t>
            </w:r>
          </w:p>
        </w:tc>
        <w:tc>
          <w:tcPr>
            <w:tcW w:w="1227" w:type="pct"/>
            <w:tcBorders>
              <w:top w:val="nil"/>
              <w:left w:val="nil"/>
              <w:bottom w:val="nil"/>
              <w:right w:val="nil"/>
            </w:tcBorders>
            <w:noWrap/>
            <w:hideMark/>
          </w:tcPr>
          <w:p w14:paraId="25CA9A05" w14:textId="77777777" w:rsidR="007E5CA5" w:rsidRDefault="007E5CA5" w:rsidP="00C67ED3">
            <w:pPr>
              <w:pStyle w:val="SemEspaamento"/>
              <w:cnfStyle w:val="000000000000" w:firstRow="0" w:lastRow="0" w:firstColumn="0" w:lastColumn="0" w:oddVBand="0" w:evenVBand="0" w:oddHBand="0" w:evenHBand="0" w:firstRowFirstColumn="0" w:firstRowLastColumn="0" w:lastRowFirstColumn="0" w:lastRowLastColumn="0"/>
              <w:rPr>
                <w:lang w:eastAsia="pt-BR"/>
              </w:rPr>
            </w:pPr>
          </w:p>
        </w:tc>
      </w:tr>
      <w:tr w:rsidR="007E5CA5" w14:paraId="1DBC1F1A"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4C3350F" w14:textId="77777777" w:rsidR="007E5CA5" w:rsidRDefault="007E5CA5" w:rsidP="00C67ED3">
            <w:pPr>
              <w:pStyle w:val="SemEspaamento"/>
              <w:rPr>
                <w:lang w:eastAsia="pt-BR"/>
              </w:rPr>
            </w:pPr>
            <w:r>
              <w:rPr>
                <w:lang w:eastAsia="pt-BR"/>
              </w:rPr>
              <w:t xml:space="preserve">   Sim</w:t>
            </w:r>
          </w:p>
        </w:tc>
        <w:tc>
          <w:tcPr>
            <w:tcW w:w="1227" w:type="pct"/>
            <w:tcBorders>
              <w:top w:val="nil"/>
              <w:left w:val="nil"/>
              <w:bottom w:val="nil"/>
              <w:right w:val="nil"/>
            </w:tcBorders>
            <w:noWrap/>
            <w:hideMark/>
          </w:tcPr>
          <w:p w14:paraId="1FD73294" w14:textId="77777777" w:rsidR="007E5CA5" w:rsidRDefault="007E5CA5" w:rsidP="00C67ED3">
            <w:pPr>
              <w:pStyle w:val="SemEspaamento"/>
              <w:cnfStyle w:val="000000000000" w:firstRow="0" w:lastRow="0" w:firstColumn="0" w:lastColumn="0" w:oddVBand="0" w:evenVBand="0" w:oddHBand="0" w:evenHBand="0" w:firstRowFirstColumn="0" w:firstRowLastColumn="0" w:lastRowFirstColumn="0" w:lastRowLastColumn="0"/>
              <w:rPr>
                <w:lang w:eastAsia="pt-BR"/>
              </w:rPr>
            </w:pPr>
            <w:r>
              <w:rPr>
                <w:lang w:eastAsia="pt-BR"/>
              </w:rPr>
              <w:t>1,681 (74,9%)</w:t>
            </w:r>
          </w:p>
        </w:tc>
      </w:tr>
      <w:tr w:rsidR="007E5CA5" w14:paraId="69BAE98B"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5501D8EC" w14:textId="77777777" w:rsidR="007E5CA5" w:rsidRDefault="007E5CA5" w:rsidP="00C67ED3">
            <w:pPr>
              <w:pStyle w:val="SemEspaamento"/>
              <w:rPr>
                <w:lang w:eastAsia="pt-BR"/>
              </w:rPr>
            </w:pPr>
            <w:r>
              <w:rPr>
                <w:lang w:eastAsia="pt-BR"/>
              </w:rPr>
              <w:lastRenderedPageBreak/>
              <w:t xml:space="preserve">   Não</w:t>
            </w:r>
          </w:p>
        </w:tc>
        <w:tc>
          <w:tcPr>
            <w:tcW w:w="1227" w:type="pct"/>
            <w:tcBorders>
              <w:top w:val="nil"/>
              <w:left w:val="nil"/>
              <w:bottom w:val="nil"/>
              <w:right w:val="nil"/>
            </w:tcBorders>
            <w:noWrap/>
            <w:hideMark/>
          </w:tcPr>
          <w:p w14:paraId="42EBC394" w14:textId="77777777" w:rsidR="007E5CA5" w:rsidRDefault="007E5CA5" w:rsidP="00C67ED3">
            <w:pPr>
              <w:pStyle w:val="SemEspaamento"/>
              <w:cnfStyle w:val="000000000000" w:firstRow="0" w:lastRow="0" w:firstColumn="0" w:lastColumn="0" w:oddVBand="0" w:evenVBand="0" w:oddHBand="0" w:evenHBand="0" w:firstRowFirstColumn="0" w:firstRowLastColumn="0" w:lastRowFirstColumn="0" w:lastRowLastColumn="0"/>
              <w:rPr>
                <w:lang w:eastAsia="pt-BR"/>
              </w:rPr>
            </w:pPr>
            <w:r>
              <w:rPr>
                <w:lang w:eastAsia="pt-BR"/>
              </w:rPr>
              <w:t>562 (25,0%)</w:t>
            </w:r>
          </w:p>
        </w:tc>
      </w:tr>
      <w:tr w:rsidR="007E5CA5" w14:paraId="04036A3C"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429E5F19" w14:textId="77777777" w:rsidR="007E5CA5" w:rsidRDefault="007E5CA5" w:rsidP="00C67ED3">
            <w:pPr>
              <w:pStyle w:val="SemEspaamento"/>
              <w:rPr>
                <w:lang w:eastAsia="pt-BR"/>
              </w:rPr>
            </w:pPr>
            <w:r>
              <w:rPr>
                <w:lang w:eastAsia="pt-BR"/>
              </w:rPr>
              <w:t>Moradia compartilhada</w:t>
            </w:r>
          </w:p>
        </w:tc>
        <w:tc>
          <w:tcPr>
            <w:tcW w:w="1227" w:type="pct"/>
            <w:tcBorders>
              <w:top w:val="nil"/>
              <w:left w:val="nil"/>
              <w:bottom w:val="nil"/>
              <w:right w:val="nil"/>
            </w:tcBorders>
            <w:noWrap/>
            <w:hideMark/>
          </w:tcPr>
          <w:p w14:paraId="50B3279C" w14:textId="77777777" w:rsidR="007E5CA5" w:rsidRDefault="007E5CA5" w:rsidP="00C67ED3">
            <w:pPr>
              <w:pStyle w:val="SemEspaamento"/>
              <w:cnfStyle w:val="000000000000" w:firstRow="0" w:lastRow="0" w:firstColumn="0" w:lastColumn="0" w:oddVBand="0" w:evenVBand="0" w:oddHBand="0" w:evenHBand="0" w:firstRowFirstColumn="0" w:firstRowLastColumn="0" w:lastRowFirstColumn="0" w:lastRowLastColumn="0"/>
              <w:rPr>
                <w:lang w:eastAsia="pt-BR"/>
              </w:rPr>
            </w:pPr>
          </w:p>
        </w:tc>
      </w:tr>
      <w:tr w:rsidR="007E5CA5" w14:paraId="304D4BEF"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20F3C1E" w14:textId="77777777" w:rsidR="007E5CA5" w:rsidRDefault="007E5CA5" w:rsidP="00C67ED3">
            <w:pPr>
              <w:pStyle w:val="SemEspaamento"/>
              <w:rPr>
                <w:lang w:eastAsia="pt-BR"/>
              </w:rPr>
            </w:pPr>
            <w:r>
              <w:rPr>
                <w:lang w:eastAsia="pt-BR"/>
              </w:rPr>
              <w:t xml:space="preserve">  Outras pessoas</w:t>
            </w:r>
          </w:p>
        </w:tc>
        <w:tc>
          <w:tcPr>
            <w:tcW w:w="1227" w:type="pct"/>
            <w:tcBorders>
              <w:top w:val="nil"/>
              <w:left w:val="nil"/>
              <w:bottom w:val="nil"/>
              <w:right w:val="nil"/>
            </w:tcBorders>
            <w:noWrap/>
            <w:hideMark/>
          </w:tcPr>
          <w:p w14:paraId="6D8206D7" w14:textId="77777777" w:rsidR="007E5CA5" w:rsidRDefault="007E5CA5" w:rsidP="00C67ED3">
            <w:pPr>
              <w:pStyle w:val="SemEspaamento"/>
              <w:cnfStyle w:val="000000000000" w:firstRow="0" w:lastRow="0" w:firstColumn="0" w:lastColumn="0" w:oddVBand="0" w:evenVBand="0" w:oddHBand="0" w:evenHBand="0" w:firstRowFirstColumn="0" w:firstRowLastColumn="0" w:lastRowFirstColumn="0" w:lastRowLastColumn="0"/>
              <w:rPr>
                <w:lang w:eastAsia="pt-BR"/>
              </w:rPr>
            </w:pPr>
            <w:r>
              <w:rPr>
                <w:lang w:eastAsia="pt-BR"/>
              </w:rPr>
              <w:t>1,327 (59,1%)</w:t>
            </w:r>
          </w:p>
        </w:tc>
      </w:tr>
      <w:tr w:rsidR="007E5CA5" w14:paraId="2C1315A9"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2066E3F9" w14:textId="77777777" w:rsidR="007E5CA5" w:rsidRDefault="007E5CA5" w:rsidP="00C67ED3">
            <w:pPr>
              <w:pStyle w:val="SemEspaamento"/>
              <w:rPr>
                <w:lang w:eastAsia="pt-BR"/>
              </w:rPr>
            </w:pPr>
            <w:r>
              <w:rPr>
                <w:lang w:eastAsia="pt-BR"/>
              </w:rPr>
              <w:t xml:space="preserve">   Pais</w:t>
            </w:r>
          </w:p>
        </w:tc>
        <w:tc>
          <w:tcPr>
            <w:tcW w:w="1227" w:type="pct"/>
            <w:tcBorders>
              <w:top w:val="nil"/>
              <w:left w:val="nil"/>
              <w:bottom w:val="nil"/>
              <w:right w:val="nil"/>
            </w:tcBorders>
            <w:noWrap/>
            <w:hideMark/>
          </w:tcPr>
          <w:p w14:paraId="26447A43" w14:textId="77777777" w:rsidR="007E5CA5" w:rsidRDefault="007E5CA5" w:rsidP="00C67ED3">
            <w:pPr>
              <w:pStyle w:val="SemEspaamento"/>
              <w:cnfStyle w:val="000000000000" w:firstRow="0" w:lastRow="0" w:firstColumn="0" w:lastColumn="0" w:oddVBand="0" w:evenVBand="0" w:oddHBand="0" w:evenHBand="0" w:firstRowFirstColumn="0" w:firstRowLastColumn="0" w:lastRowFirstColumn="0" w:lastRowLastColumn="0"/>
              <w:rPr>
                <w:lang w:eastAsia="pt-BR"/>
              </w:rPr>
            </w:pPr>
            <w:r>
              <w:rPr>
                <w:lang w:eastAsia="pt-BR"/>
              </w:rPr>
              <w:t>637 (28,4%)</w:t>
            </w:r>
          </w:p>
        </w:tc>
      </w:tr>
      <w:tr w:rsidR="007E5CA5" w14:paraId="6D6B4292"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332CC82" w14:textId="77777777" w:rsidR="007E5CA5" w:rsidRDefault="007E5CA5" w:rsidP="00C67ED3">
            <w:pPr>
              <w:pStyle w:val="SemEspaamento"/>
              <w:rPr>
                <w:lang w:eastAsia="pt-BR"/>
              </w:rPr>
            </w:pPr>
            <w:r>
              <w:rPr>
                <w:lang w:eastAsia="pt-BR"/>
              </w:rPr>
              <w:t xml:space="preserve">   Só</w:t>
            </w:r>
          </w:p>
        </w:tc>
        <w:tc>
          <w:tcPr>
            <w:tcW w:w="1227" w:type="pct"/>
            <w:tcBorders>
              <w:top w:val="nil"/>
              <w:left w:val="nil"/>
              <w:bottom w:val="nil"/>
              <w:right w:val="nil"/>
            </w:tcBorders>
            <w:noWrap/>
            <w:hideMark/>
          </w:tcPr>
          <w:p w14:paraId="7EDC8871" w14:textId="77777777" w:rsidR="007E5CA5" w:rsidRDefault="007E5CA5" w:rsidP="00C67ED3">
            <w:pPr>
              <w:pStyle w:val="SemEspaamento"/>
              <w:cnfStyle w:val="000000000000" w:firstRow="0" w:lastRow="0" w:firstColumn="0" w:lastColumn="0" w:oddVBand="0" w:evenVBand="0" w:oddHBand="0" w:evenHBand="0" w:firstRowFirstColumn="0" w:firstRowLastColumn="0" w:lastRowFirstColumn="0" w:lastRowLastColumn="0"/>
              <w:rPr>
                <w:lang w:eastAsia="pt-BR"/>
              </w:rPr>
            </w:pPr>
            <w:r>
              <w:rPr>
                <w:lang w:eastAsia="pt-BR"/>
              </w:rPr>
              <w:t>277 (12,3%)</w:t>
            </w:r>
          </w:p>
        </w:tc>
      </w:tr>
      <w:tr w:rsidR="007E5CA5" w14:paraId="2C0689AB"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46E5CE0E" w14:textId="77777777" w:rsidR="007E5CA5" w:rsidRDefault="007E5CA5" w:rsidP="00C67ED3">
            <w:pPr>
              <w:pStyle w:val="SemEspaamento"/>
              <w:rPr>
                <w:lang w:eastAsia="pt-BR"/>
              </w:rPr>
            </w:pPr>
            <w:r>
              <w:rPr>
                <w:lang w:eastAsia="pt-BR"/>
              </w:rPr>
              <w:t>Possui carro</w:t>
            </w:r>
          </w:p>
        </w:tc>
        <w:tc>
          <w:tcPr>
            <w:tcW w:w="1227" w:type="pct"/>
            <w:tcBorders>
              <w:top w:val="nil"/>
              <w:left w:val="nil"/>
              <w:bottom w:val="nil"/>
              <w:right w:val="nil"/>
            </w:tcBorders>
            <w:noWrap/>
            <w:hideMark/>
          </w:tcPr>
          <w:p w14:paraId="791EC207" w14:textId="77777777" w:rsidR="007E5CA5" w:rsidRDefault="007E5CA5" w:rsidP="00C67ED3">
            <w:pPr>
              <w:pStyle w:val="SemEspaamento"/>
              <w:cnfStyle w:val="000000000000" w:firstRow="0" w:lastRow="0" w:firstColumn="0" w:lastColumn="0" w:oddVBand="0" w:evenVBand="0" w:oddHBand="0" w:evenHBand="0" w:firstRowFirstColumn="0" w:firstRowLastColumn="0" w:lastRowFirstColumn="0" w:lastRowLastColumn="0"/>
              <w:rPr>
                <w:lang w:eastAsia="pt-BR"/>
              </w:rPr>
            </w:pPr>
          </w:p>
        </w:tc>
      </w:tr>
      <w:tr w:rsidR="007E5CA5" w14:paraId="2C2D2105"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1DC3A2B" w14:textId="77777777" w:rsidR="007E5CA5" w:rsidRDefault="007E5CA5" w:rsidP="00C67ED3">
            <w:pPr>
              <w:pStyle w:val="SemEspaamento"/>
              <w:rPr>
                <w:lang w:eastAsia="pt-BR"/>
              </w:rPr>
            </w:pPr>
            <w:r>
              <w:rPr>
                <w:lang w:eastAsia="pt-BR"/>
              </w:rPr>
              <w:t xml:space="preserve">   Não</w:t>
            </w:r>
          </w:p>
        </w:tc>
        <w:tc>
          <w:tcPr>
            <w:tcW w:w="1227" w:type="pct"/>
            <w:tcBorders>
              <w:top w:val="nil"/>
              <w:left w:val="nil"/>
              <w:bottom w:val="nil"/>
              <w:right w:val="nil"/>
            </w:tcBorders>
            <w:noWrap/>
            <w:hideMark/>
          </w:tcPr>
          <w:p w14:paraId="48B03D51" w14:textId="77777777" w:rsidR="007E5CA5" w:rsidRDefault="007E5CA5" w:rsidP="00C67ED3">
            <w:pPr>
              <w:pStyle w:val="SemEspaamento"/>
              <w:cnfStyle w:val="000000000000" w:firstRow="0" w:lastRow="0" w:firstColumn="0" w:lastColumn="0" w:oddVBand="0" w:evenVBand="0" w:oddHBand="0" w:evenHBand="0" w:firstRowFirstColumn="0" w:firstRowLastColumn="0" w:lastRowFirstColumn="0" w:lastRowLastColumn="0"/>
              <w:rPr>
                <w:lang w:eastAsia="pt-BR"/>
              </w:rPr>
            </w:pPr>
            <w:r>
              <w:rPr>
                <w:lang w:eastAsia="pt-BR"/>
              </w:rPr>
              <w:t>1,501 (66,9%)</w:t>
            </w:r>
          </w:p>
        </w:tc>
      </w:tr>
      <w:tr w:rsidR="007E5CA5" w14:paraId="4C222CBC"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5A58996D" w14:textId="77777777" w:rsidR="007E5CA5" w:rsidRDefault="007E5CA5" w:rsidP="00C67ED3">
            <w:pPr>
              <w:pStyle w:val="SemEspaamento"/>
              <w:rPr>
                <w:lang w:eastAsia="pt-BR"/>
              </w:rPr>
            </w:pPr>
            <w:r>
              <w:rPr>
                <w:lang w:eastAsia="pt-BR"/>
              </w:rPr>
              <w:t xml:space="preserve">   Sim</w:t>
            </w:r>
          </w:p>
        </w:tc>
        <w:tc>
          <w:tcPr>
            <w:tcW w:w="1227" w:type="pct"/>
            <w:tcBorders>
              <w:top w:val="nil"/>
              <w:left w:val="nil"/>
              <w:bottom w:val="nil"/>
              <w:right w:val="nil"/>
            </w:tcBorders>
            <w:noWrap/>
            <w:hideMark/>
          </w:tcPr>
          <w:p w14:paraId="1402D7EC" w14:textId="77777777" w:rsidR="007E5CA5" w:rsidRDefault="007E5CA5" w:rsidP="00C67ED3">
            <w:pPr>
              <w:pStyle w:val="SemEspaamento"/>
              <w:cnfStyle w:val="000000000000" w:firstRow="0" w:lastRow="0" w:firstColumn="0" w:lastColumn="0" w:oddVBand="0" w:evenVBand="0" w:oddHBand="0" w:evenHBand="0" w:firstRowFirstColumn="0" w:firstRowLastColumn="0" w:lastRowFirstColumn="0" w:lastRowLastColumn="0"/>
              <w:rPr>
                <w:lang w:eastAsia="pt-BR"/>
              </w:rPr>
            </w:pPr>
            <w:r>
              <w:rPr>
                <w:lang w:eastAsia="pt-BR"/>
              </w:rPr>
              <w:t>741 (33,0%)</w:t>
            </w:r>
          </w:p>
        </w:tc>
      </w:tr>
      <w:tr w:rsidR="007E5CA5" w14:paraId="14FA7A14"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561B0462" w14:textId="77777777" w:rsidR="007E5CA5" w:rsidRDefault="007E5CA5" w:rsidP="00C67ED3">
            <w:pPr>
              <w:pStyle w:val="SemEspaamento"/>
              <w:rPr>
                <w:lang w:eastAsia="pt-BR"/>
              </w:rPr>
            </w:pPr>
            <w:r>
              <w:rPr>
                <w:lang w:eastAsia="pt-BR"/>
              </w:rPr>
              <w:t>Trabalha</w:t>
            </w:r>
          </w:p>
        </w:tc>
        <w:tc>
          <w:tcPr>
            <w:tcW w:w="1227" w:type="pct"/>
            <w:tcBorders>
              <w:top w:val="nil"/>
              <w:left w:val="nil"/>
              <w:bottom w:val="nil"/>
              <w:right w:val="nil"/>
            </w:tcBorders>
            <w:noWrap/>
            <w:hideMark/>
          </w:tcPr>
          <w:p w14:paraId="65840681" w14:textId="77777777" w:rsidR="007E5CA5" w:rsidRDefault="007E5CA5" w:rsidP="00C67ED3">
            <w:pPr>
              <w:pStyle w:val="SemEspaamento"/>
              <w:cnfStyle w:val="000000000000" w:firstRow="0" w:lastRow="0" w:firstColumn="0" w:lastColumn="0" w:oddVBand="0" w:evenVBand="0" w:oddHBand="0" w:evenHBand="0" w:firstRowFirstColumn="0" w:firstRowLastColumn="0" w:lastRowFirstColumn="0" w:lastRowLastColumn="0"/>
              <w:rPr>
                <w:lang w:eastAsia="pt-BR"/>
              </w:rPr>
            </w:pPr>
          </w:p>
        </w:tc>
      </w:tr>
      <w:tr w:rsidR="007E5CA5" w14:paraId="3CB47A9A"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682A045D" w14:textId="77777777" w:rsidR="007E5CA5" w:rsidRDefault="007E5CA5" w:rsidP="00C67ED3">
            <w:pPr>
              <w:pStyle w:val="SemEspaamento"/>
              <w:rPr>
                <w:lang w:eastAsia="pt-BR"/>
              </w:rPr>
            </w:pPr>
            <w:r>
              <w:rPr>
                <w:lang w:eastAsia="pt-BR"/>
              </w:rPr>
              <w:t xml:space="preserve">   Não</w:t>
            </w:r>
          </w:p>
        </w:tc>
        <w:tc>
          <w:tcPr>
            <w:tcW w:w="1227" w:type="pct"/>
            <w:tcBorders>
              <w:top w:val="nil"/>
              <w:left w:val="nil"/>
              <w:bottom w:val="nil"/>
              <w:right w:val="nil"/>
            </w:tcBorders>
            <w:noWrap/>
            <w:hideMark/>
          </w:tcPr>
          <w:p w14:paraId="2EF65F58" w14:textId="77777777" w:rsidR="007E5CA5" w:rsidRDefault="007E5CA5" w:rsidP="00C67ED3">
            <w:pPr>
              <w:pStyle w:val="SemEspaamento"/>
              <w:cnfStyle w:val="000000000000" w:firstRow="0" w:lastRow="0" w:firstColumn="0" w:lastColumn="0" w:oddVBand="0" w:evenVBand="0" w:oddHBand="0" w:evenHBand="0" w:firstRowFirstColumn="0" w:firstRowLastColumn="0" w:lastRowFirstColumn="0" w:lastRowLastColumn="0"/>
              <w:rPr>
                <w:lang w:eastAsia="pt-BR"/>
              </w:rPr>
            </w:pPr>
            <w:r>
              <w:rPr>
                <w:lang w:eastAsia="pt-BR"/>
              </w:rPr>
              <w:t>1,392 (62,0%)</w:t>
            </w:r>
          </w:p>
        </w:tc>
      </w:tr>
      <w:tr w:rsidR="007E5CA5" w14:paraId="34E29286"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2D0324B" w14:textId="77777777" w:rsidR="007E5CA5" w:rsidRDefault="007E5CA5" w:rsidP="00C67ED3">
            <w:pPr>
              <w:pStyle w:val="SemEspaamento"/>
              <w:rPr>
                <w:lang w:eastAsia="pt-BR"/>
              </w:rPr>
            </w:pPr>
            <w:r>
              <w:rPr>
                <w:lang w:eastAsia="pt-BR"/>
              </w:rPr>
              <w:t xml:space="preserve">   Sim</w:t>
            </w:r>
          </w:p>
        </w:tc>
        <w:tc>
          <w:tcPr>
            <w:tcW w:w="1227" w:type="pct"/>
            <w:tcBorders>
              <w:top w:val="nil"/>
              <w:left w:val="nil"/>
              <w:bottom w:val="nil"/>
              <w:right w:val="nil"/>
            </w:tcBorders>
            <w:noWrap/>
            <w:hideMark/>
          </w:tcPr>
          <w:p w14:paraId="38266AF9" w14:textId="77777777" w:rsidR="007E5CA5" w:rsidRDefault="007E5CA5" w:rsidP="00C67ED3">
            <w:pPr>
              <w:pStyle w:val="SemEspaamento"/>
              <w:cnfStyle w:val="000000000000" w:firstRow="0" w:lastRow="0" w:firstColumn="0" w:lastColumn="0" w:oddVBand="0" w:evenVBand="0" w:oddHBand="0" w:evenHBand="0" w:firstRowFirstColumn="0" w:firstRowLastColumn="0" w:lastRowFirstColumn="0" w:lastRowLastColumn="0"/>
              <w:rPr>
                <w:lang w:eastAsia="pt-BR"/>
              </w:rPr>
            </w:pPr>
            <w:r>
              <w:rPr>
                <w:lang w:eastAsia="pt-BR"/>
              </w:rPr>
              <w:t>845 (37,7%)</w:t>
            </w:r>
          </w:p>
        </w:tc>
      </w:tr>
      <w:tr w:rsidR="007E5CA5" w14:paraId="194E3369"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31BDDC4" w14:textId="77777777" w:rsidR="007E5CA5" w:rsidRDefault="007E5CA5" w:rsidP="00C67ED3">
            <w:pPr>
              <w:pStyle w:val="SemEspaamento"/>
              <w:rPr>
                <w:lang w:eastAsia="pt-BR"/>
              </w:rPr>
            </w:pPr>
            <w:r>
              <w:rPr>
                <w:lang w:eastAsia="pt-BR"/>
              </w:rPr>
              <w:t>Bolsista</w:t>
            </w:r>
          </w:p>
        </w:tc>
        <w:tc>
          <w:tcPr>
            <w:tcW w:w="1227" w:type="pct"/>
            <w:tcBorders>
              <w:top w:val="nil"/>
              <w:left w:val="nil"/>
              <w:bottom w:val="nil"/>
              <w:right w:val="nil"/>
            </w:tcBorders>
            <w:noWrap/>
            <w:hideMark/>
          </w:tcPr>
          <w:p w14:paraId="0F17A629" w14:textId="77777777" w:rsidR="007E5CA5" w:rsidRDefault="007E5CA5" w:rsidP="00C67ED3">
            <w:pPr>
              <w:pStyle w:val="SemEspaamento"/>
              <w:cnfStyle w:val="000000000000" w:firstRow="0" w:lastRow="0" w:firstColumn="0" w:lastColumn="0" w:oddVBand="0" w:evenVBand="0" w:oddHBand="0" w:evenHBand="0" w:firstRowFirstColumn="0" w:firstRowLastColumn="0" w:lastRowFirstColumn="0" w:lastRowLastColumn="0"/>
              <w:rPr>
                <w:lang w:eastAsia="pt-BR"/>
              </w:rPr>
            </w:pPr>
          </w:p>
        </w:tc>
      </w:tr>
      <w:tr w:rsidR="007E5CA5" w14:paraId="34D9B6BD"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681705AE" w14:textId="77777777" w:rsidR="007E5CA5" w:rsidRDefault="007E5CA5" w:rsidP="00C67ED3">
            <w:pPr>
              <w:pStyle w:val="SemEspaamento"/>
              <w:rPr>
                <w:lang w:eastAsia="pt-BR"/>
              </w:rPr>
            </w:pPr>
            <w:r>
              <w:rPr>
                <w:lang w:eastAsia="pt-BR"/>
              </w:rPr>
              <w:t xml:space="preserve">   Não</w:t>
            </w:r>
          </w:p>
        </w:tc>
        <w:tc>
          <w:tcPr>
            <w:tcW w:w="1227" w:type="pct"/>
            <w:tcBorders>
              <w:top w:val="nil"/>
              <w:left w:val="nil"/>
              <w:bottom w:val="nil"/>
              <w:right w:val="nil"/>
            </w:tcBorders>
            <w:noWrap/>
            <w:hideMark/>
          </w:tcPr>
          <w:p w14:paraId="5641C970" w14:textId="77777777" w:rsidR="007E5CA5" w:rsidRDefault="007E5CA5" w:rsidP="00C67ED3">
            <w:pPr>
              <w:pStyle w:val="SemEspaamento"/>
              <w:cnfStyle w:val="000000000000" w:firstRow="0" w:lastRow="0" w:firstColumn="0" w:lastColumn="0" w:oddVBand="0" w:evenVBand="0" w:oddHBand="0" w:evenHBand="0" w:firstRowFirstColumn="0" w:firstRowLastColumn="0" w:lastRowFirstColumn="0" w:lastRowLastColumn="0"/>
              <w:rPr>
                <w:lang w:eastAsia="pt-BR"/>
              </w:rPr>
            </w:pPr>
            <w:r>
              <w:rPr>
                <w:lang w:eastAsia="pt-BR"/>
              </w:rPr>
              <w:t>1,685 (75,1%)</w:t>
            </w:r>
          </w:p>
        </w:tc>
      </w:tr>
      <w:tr w:rsidR="007E5CA5" w14:paraId="6F179265"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F443D77" w14:textId="77777777" w:rsidR="007E5CA5" w:rsidRDefault="007E5CA5" w:rsidP="00C67ED3">
            <w:pPr>
              <w:pStyle w:val="SemEspaamento"/>
              <w:rPr>
                <w:lang w:eastAsia="pt-BR"/>
              </w:rPr>
            </w:pPr>
            <w:r>
              <w:rPr>
                <w:lang w:eastAsia="pt-BR"/>
              </w:rPr>
              <w:t xml:space="preserve">   Sim</w:t>
            </w:r>
          </w:p>
        </w:tc>
        <w:tc>
          <w:tcPr>
            <w:tcW w:w="1227" w:type="pct"/>
            <w:tcBorders>
              <w:top w:val="nil"/>
              <w:left w:val="nil"/>
              <w:bottom w:val="nil"/>
              <w:right w:val="nil"/>
            </w:tcBorders>
            <w:noWrap/>
            <w:hideMark/>
          </w:tcPr>
          <w:p w14:paraId="17F6B8AD" w14:textId="77777777" w:rsidR="007E5CA5" w:rsidRDefault="007E5CA5" w:rsidP="00C67ED3">
            <w:pPr>
              <w:pStyle w:val="SemEspaamento"/>
              <w:cnfStyle w:val="000000000000" w:firstRow="0" w:lastRow="0" w:firstColumn="0" w:lastColumn="0" w:oddVBand="0" w:evenVBand="0" w:oddHBand="0" w:evenHBand="0" w:firstRowFirstColumn="0" w:firstRowLastColumn="0" w:lastRowFirstColumn="0" w:lastRowLastColumn="0"/>
              <w:rPr>
                <w:lang w:eastAsia="pt-BR"/>
              </w:rPr>
            </w:pPr>
            <w:r>
              <w:rPr>
                <w:lang w:eastAsia="pt-BR"/>
              </w:rPr>
              <w:t>550 (24,5%)</w:t>
            </w:r>
          </w:p>
        </w:tc>
      </w:tr>
      <w:tr w:rsidR="007E5CA5" w14:paraId="63CF3399"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6582CD1" w14:textId="77777777" w:rsidR="007E5CA5" w:rsidRDefault="007E5CA5" w:rsidP="00C67ED3">
            <w:pPr>
              <w:pStyle w:val="SemEspaamento"/>
              <w:rPr>
                <w:lang w:eastAsia="pt-BR"/>
              </w:rPr>
            </w:pPr>
            <w:r>
              <w:rPr>
                <w:lang w:eastAsia="pt-BR"/>
              </w:rPr>
              <w:t>Tem apoio na faculdade</w:t>
            </w:r>
          </w:p>
        </w:tc>
        <w:tc>
          <w:tcPr>
            <w:tcW w:w="1227" w:type="pct"/>
            <w:tcBorders>
              <w:top w:val="nil"/>
              <w:left w:val="nil"/>
              <w:bottom w:val="nil"/>
              <w:right w:val="nil"/>
            </w:tcBorders>
            <w:noWrap/>
            <w:hideMark/>
          </w:tcPr>
          <w:p w14:paraId="2FBC3F25" w14:textId="77777777" w:rsidR="007E5CA5" w:rsidRDefault="007E5CA5" w:rsidP="00C67ED3">
            <w:pPr>
              <w:pStyle w:val="SemEspaamento"/>
              <w:cnfStyle w:val="000000000000" w:firstRow="0" w:lastRow="0" w:firstColumn="0" w:lastColumn="0" w:oddVBand="0" w:evenVBand="0" w:oddHBand="0" w:evenHBand="0" w:firstRowFirstColumn="0" w:firstRowLastColumn="0" w:lastRowFirstColumn="0" w:lastRowLastColumn="0"/>
              <w:rPr>
                <w:lang w:eastAsia="pt-BR"/>
              </w:rPr>
            </w:pPr>
          </w:p>
        </w:tc>
      </w:tr>
      <w:tr w:rsidR="007E5CA5" w14:paraId="1EC36D0C"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EFB6786" w14:textId="77777777" w:rsidR="007E5CA5" w:rsidRDefault="007E5CA5" w:rsidP="00C67ED3">
            <w:pPr>
              <w:pStyle w:val="SemEspaamento"/>
              <w:rPr>
                <w:lang w:eastAsia="pt-BR"/>
              </w:rPr>
            </w:pPr>
            <w:r>
              <w:rPr>
                <w:lang w:eastAsia="pt-BR"/>
              </w:rPr>
              <w:t xml:space="preserve">   Não</w:t>
            </w:r>
          </w:p>
        </w:tc>
        <w:tc>
          <w:tcPr>
            <w:tcW w:w="1227" w:type="pct"/>
            <w:tcBorders>
              <w:top w:val="nil"/>
              <w:left w:val="nil"/>
              <w:bottom w:val="nil"/>
              <w:right w:val="nil"/>
            </w:tcBorders>
            <w:noWrap/>
            <w:hideMark/>
          </w:tcPr>
          <w:p w14:paraId="2DBF4B95" w14:textId="77777777" w:rsidR="007E5CA5" w:rsidRDefault="007E5CA5" w:rsidP="00C67ED3">
            <w:pPr>
              <w:pStyle w:val="SemEspaamento"/>
              <w:cnfStyle w:val="000000000000" w:firstRow="0" w:lastRow="0" w:firstColumn="0" w:lastColumn="0" w:oddVBand="0" w:evenVBand="0" w:oddHBand="0" w:evenHBand="0" w:firstRowFirstColumn="0" w:firstRowLastColumn="0" w:lastRowFirstColumn="0" w:lastRowLastColumn="0"/>
              <w:rPr>
                <w:lang w:eastAsia="pt-BR"/>
              </w:rPr>
            </w:pPr>
            <w:r>
              <w:rPr>
                <w:lang w:eastAsia="pt-BR"/>
              </w:rPr>
              <w:t>480 (21,4%)</w:t>
            </w:r>
          </w:p>
        </w:tc>
      </w:tr>
      <w:tr w:rsidR="007E5CA5" w14:paraId="10D46CA6"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4A3B17A3" w14:textId="77777777" w:rsidR="007E5CA5" w:rsidRDefault="007E5CA5" w:rsidP="00C67ED3">
            <w:pPr>
              <w:pStyle w:val="SemEspaamento"/>
              <w:rPr>
                <w:lang w:eastAsia="pt-BR"/>
              </w:rPr>
            </w:pPr>
            <w:r>
              <w:rPr>
                <w:lang w:eastAsia="pt-BR"/>
              </w:rPr>
              <w:t xml:space="preserve">   Sim</w:t>
            </w:r>
          </w:p>
        </w:tc>
        <w:tc>
          <w:tcPr>
            <w:tcW w:w="1227" w:type="pct"/>
            <w:tcBorders>
              <w:top w:val="nil"/>
              <w:left w:val="nil"/>
              <w:bottom w:val="nil"/>
              <w:right w:val="nil"/>
            </w:tcBorders>
            <w:noWrap/>
            <w:hideMark/>
          </w:tcPr>
          <w:p w14:paraId="58069D7B" w14:textId="77777777" w:rsidR="007E5CA5" w:rsidRDefault="007E5CA5" w:rsidP="00C67ED3">
            <w:pPr>
              <w:pStyle w:val="SemEspaamento"/>
              <w:cnfStyle w:val="000000000000" w:firstRow="0" w:lastRow="0" w:firstColumn="0" w:lastColumn="0" w:oddVBand="0" w:evenVBand="0" w:oddHBand="0" w:evenHBand="0" w:firstRowFirstColumn="0" w:firstRowLastColumn="0" w:lastRowFirstColumn="0" w:lastRowLastColumn="0"/>
              <w:rPr>
                <w:lang w:eastAsia="pt-BR"/>
              </w:rPr>
            </w:pPr>
            <w:r>
              <w:rPr>
                <w:lang w:eastAsia="pt-BR"/>
              </w:rPr>
              <w:t>1,760 (78,4%)</w:t>
            </w:r>
          </w:p>
        </w:tc>
      </w:tr>
      <w:tr w:rsidR="007E5CA5" w14:paraId="2D5EEC9F"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4058E489" w14:textId="77777777" w:rsidR="007E5CA5" w:rsidRDefault="007E5CA5" w:rsidP="00C67ED3">
            <w:pPr>
              <w:pStyle w:val="SemEspaamento"/>
              <w:rPr>
                <w:lang w:eastAsia="pt-BR"/>
              </w:rPr>
            </w:pPr>
            <w:r>
              <w:rPr>
                <w:lang w:eastAsia="pt-BR"/>
              </w:rPr>
              <w:t>Relaciona mais na internet que presencial</w:t>
            </w:r>
          </w:p>
        </w:tc>
        <w:tc>
          <w:tcPr>
            <w:tcW w:w="1227" w:type="pct"/>
            <w:tcBorders>
              <w:top w:val="nil"/>
              <w:left w:val="nil"/>
              <w:bottom w:val="nil"/>
              <w:right w:val="nil"/>
            </w:tcBorders>
            <w:noWrap/>
            <w:hideMark/>
          </w:tcPr>
          <w:p w14:paraId="2D443982" w14:textId="77777777" w:rsidR="007E5CA5" w:rsidRDefault="007E5CA5" w:rsidP="00C67ED3">
            <w:pPr>
              <w:pStyle w:val="SemEspaamento"/>
              <w:cnfStyle w:val="000000000000" w:firstRow="0" w:lastRow="0" w:firstColumn="0" w:lastColumn="0" w:oddVBand="0" w:evenVBand="0" w:oddHBand="0" w:evenHBand="0" w:firstRowFirstColumn="0" w:firstRowLastColumn="0" w:lastRowFirstColumn="0" w:lastRowLastColumn="0"/>
              <w:rPr>
                <w:lang w:eastAsia="pt-BR"/>
              </w:rPr>
            </w:pPr>
          </w:p>
        </w:tc>
      </w:tr>
      <w:tr w:rsidR="007E5CA5" w14:paraId="00C19640"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2DA852AD" w14:textId="77777777" w:rsidR="007E5CA5" w:rsidRDefault="007E5CA5" w:rsidP="00C67ED3">
            <w:pPr>
              <w:pStyle w:val="SemEspaamento"/>
              <w:rPr>
                <w:lang w:eastAsia="pt-BR"/>
              </w:rPr>
            </w:pPr>
            <w:r>
              <w:rPr>
                <w:lang w:eastAsia="pt-BR"/>
              </w:rPr>
              <w:t xml:space="preserve">   Não</w:t>
            </w:r>
          </w:p>
        </w:tc>
        <w:tc>
          <w:tcPr>
            <w:tcW w:w="1227" w:type="pct"/>
            <w:tcBorders>
              <w:top w:val="nil"/>
              <w:left w:val="nil"/>
              <w:bottom w:val="nil"/>
              <w:right w:val="nil"/>
            </w:tcBorders>
            <w:noWrap/>
            <w:hideMark/>
          </w:tcPr>
          <w:p w14:paraId="2D787231" w14:textId="77777777" w:rsidR="007E5CA5" w:rsidRDefault="007E5CA5" w:rsidP="00C67ED3">
            <w:pPr>
              <w:pStyle w:val="SemEspaamento"/>
              <w:cnfStyle w:val="000000000000" w:firstRow="0" w:lastRow="0" w:firstColumn="0" w:lastColumn="0" w:oddVBand="0" w:evenVBand="0" w:oddHBand="0" w:evenHBand="0" w:firstRowFirstColumn="0" w:firstRowLastColumn="0" w:lastRowFirstColumn="0" w:lastRowLastColumn="0"/>
              <w:rPr>
                <w:lang w:eastAsia="pt-BR"/>
              </w:rPr>
            </w:pPr>
            <w:r>
              <w:rPr>
                <w:lang w:eastAsia="pt-BR"/>
              </w:rPr>
              <w:t>1,614 (71,9%)</w:t>
            </w:r>
          </w:p>
        </w:tc>
      </w:tr>
      <w:tr w:rsidR="007E5CA5" w14:paraId="2642E2B5"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DADBD90" w14:textId="77777777" w:rsidR="007E5CA5" w:rsidRDefault="007E5CA5" w:rsidP="00C67ED3">
            <w:pPr>
              <w:pStyle w:val="SemEspaamento"/>
              <w:rPr>
                <w:lang w:eastAsia="pt-BR"/>
              </w:rPr>
            </w:pPr>
            <w:r>
              <w:rPr>
                <w:lang w:eastAsia="pt-BR"/>
              </w:rPr>
              <w:t xml:space="preserve">   Sim</w:t>
            </w:r>
          </w:p>
        </w:tc>
        <w:tc>
          <w:tcPr>
            <w:tcW w:w="1227" w:type="pct"/>
            <w:tcBorders>
              <w:top w:val="nil"/>
              <w:left w:val="nil"/>
              <w:bottom w:val="nil"/>
              <w:right w:val="nil"/>
            </w:tcBorders>
            <w:noWrap/>
            <w:hideMark/>
          </w:tcPr>
          <w:p w14:paraId="2D4E0C84" w14:textId="77777777" w:rsidR="007E5CA5" w:rsidRDefault="007E5CA5" w:rsidP="00C67ED3">
            <w:pPr>
              <w:pStyle w:val="SemEspaamento"/>
              <w:cnfStyle w:val="000000000000" w:firstRow="0" w:lastRow="0" w:firstColumn="0" w:lastColumn="0" w:oddVBand="0" w:evenVBand="0" w:oddHBand="0" w:evenHBand="0" w:firstRowFirstColumn="0" w:firstRowLastColumn="0" w:lastRowFirstColumn="0" w:lastRowLastColumn="0"/>
              <w:rPr>
                <w:lang w:eastAsia="pt-BR"/>
              </w:rPr>
            </w:pPr>
            <w:r>
              <w:rPr>
                <w:lang w:eastAsia="pt-BR"/>
              </w:rPr>
              <w:t>612 (27,3%)</w:t>
            </w:r>
          </w:p>
        </w:tc>
      </w:tr>
      <w:tr w:rsidR="007E5CA5" w14:paraId="35D0874E"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6F00052B" w14:textId="77777777" w:rsidR="007E5CA5" w:rsidRDefault="007E5CA5" w:rsidP="00C67ED3">
            <w:pPr>
              <w:pStyle w:val="SemEspaamento"/>
              <w:rPr>
                <w:lang w:eastAsia="pt-BR"/>
              </w:rPr>
            </w:pPr>
            <w:r>
              <w:rPr>
                <w:lang w:eastAsia="pt-BR"/>
              </w:rPr>
              <w:t>Tipo de relacionamento preferido</w:t>
            </w:r>
          </w:p>
        </w:tc>
        <w:tc>
          <w:tcPr>
            <w:tcW w:w="1227" w:type="pct"/>
            <w:tcBorders>
              <w:top w:val="nil"/>
              <w:left w:val="nil"/>
              <w:bottom w:val="nil"/>
              <w:right w:val="nil"/>
            </w:tcBorders>
            <w:noWrap/>
            <w:hideMark/>
          </w:tcPr>
          <w:p w14:paraId="6ED328C9" w14:textId="77777777" w:rsidR="007E5CA5" w:rsidRDefault="007E5CA5" w:rsidP="00C67ED3">
            <w:pPr>
              <w:pStyle w:val="SemEspaamento"/>
              <w:cnfStyle w:val="000000000000" w:firstRow="0" w:lastRow="0" w:firstColumn="0" w:lastColumn="0" w:oddVBand="0" w:evenVBand="0" w:oddHBand="0" w:evenHBand="0" w:firstRowFirstColumn="0" w:firstRowLastColumn="0" w:lastRowFirstColumn="0" w:lastRowLastColumn="0"/>
              <w:rPr>
                <w:lang w:eastAsia="pt-BR"/>
              </w:rPr>
            </w:pPr>
          </w:p>
        </w:tc>
      </w:tr>
      <w:tr w:rsidR="007E5CA5" w14:paraId="5728FB39"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BE37E8D" w14:textId="77777777" w:rsidR="007E5CA5" w:rsidRDefault="007E5CA5" w:rsidP="00C67ED3">
            <w:pPr>
              <w:pStyle w:val="SemEspaamento"/>
              <w:rPr>
                <w:lang w:eastAsia="pt-BR"/>
              </w:rPr>
            </w:pPr>
            <w:r>
              <w:rPr>
                <w:lang w:eastAsia="pt-BR"/>
              </w:rPr>
              <w:t xml:space="preserve">   Internet</w:t>
            </w:r>
          </w:p>
        </w:tc>
        <w:tc>
          <w:tcPr>
            <w:tcW w:w="1227" w:type="pct"/>
            <w:tcBorders>
              <w:top w:val="nil"/>
              <w:left w:val="nil"/>
              <w:bottom w:val="nil"/>
              <w:right w:val="nil"/>
            </w:tcBorders>
            <w:noWrap/>
            <w:hideMark/>
          </w:tcPr>
          <w:p w14:paraId="017A9814" w14:textId="77777777" w:rsidR="007E5CA5" w:rsidRDefault="007E5CA5" w:rsidP="00C67ED3">
            <w:pPr>
              <w:pStyle w:val="SemEspaamento"/>
              <w:cnfStyle w:val="000000000000" w:firstRow="0" w:lastRow="0" w:firstColumn="0" w:lastColumn="0" w:oddVBand="0" w:evenVBand="0" w:oddHBand="0" w:evenHBand="0" w:firstRowFirstColumn="0" w:firstRowLastColumn="0" w:lastRowFirstColumn="0" w:lastRowLastColumn="0"/>
              <w:rPr>
                <w:lang w:eastAsia="pt-BR"/>
              </w:rPr>
            </w:pPr>
            <w:r>
              <w:rPr>
                <w:lang w:eastAsia="pt-BR"/>
              </w:rPr>
              <w:t>68 ( 3,0%)</w:t>
            </w:r>
          </w:p>
        </w:tc>
      </w:tr>
      <w:tr w:rsidR="007E5CA5" w14:paraId="3B44FA22"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single" w:sz="4" w:space="0" w:color="auto"/>
              <w:right w:val="nil"/>
            </w:tcBorders>
            <w:hideMark/>
          </w:tcPr>
          <w:p w14:paraId="5A3AB03E" w14:textId="77777777" w:rsidR="007E5CA5" w:rsidRDefault="007E5CA5" w:rsidP="00C67ED3">
            <w:pPr>
              <w:pStyle w:val="SemEspaamento"/>
              <w:rPr>
                <w:lang w:eastAsia="pt-BR"/>
              </w:rPr>
            </w:pPr>
            <w:r>
              <w:rPr>
                <w:lang w:eastAsia="pt-BR"/>
              </w:rPr>
              <w:t xml:space="preserve">   Presenciais</w:t>
            </w:r>
          </w:p>
        </w:tc>
        <w:tc>
          <w:tcPr>
            <w:tcW w:w="1227" w:type="pct"/>
            <w:tcBorders>
              <w:top w:val="nil"/>
              <w:left w:val="nil"/>
              <w:bottom w:val="single" w:sz="4" w:space="0" w:color="auto"/>
              <w:right w:val="nil"/>
            </w:tcBorders>
            <w:noWrap/>
            <w:hideMark/>
          </w:tcPr>
          <w:p w14:paraId="18882D77" w14:textId="77777777" w:rsidR="007E5CA5" w:rsidRDefault="007E5CA5" w:rsidP="00C67ED3">
            <w:pPr>
              <w:pStyle w:val="SemEspaamento"/>
              <w:cnfStyle w:val="000000000000" w:firstRow="0" w:lastRow="0" w:firstColumn="0" w:lastColumn="0" w:oddVBand="0" w:evenVBand="0" w:oddHBand="0" w:evenHBand="0" w:firstRowFirstColumn="0" w:firstRowLastColumn="0" w:lastRowFirstColumn="0" w:lastRowLastColumn="0"/>
              <w:rPr>
                <w:lang w:eastAsia="pt-BR"/>
              </w:rPr>
            </w:pPr>
            <w:r>
              <w:rPr>
                <w:lang w:eastAsia="pt-BR"/>
              </w:rPr>
              <w:t>2,143 (95,5%)</w:t>
            </w:r>
          </w:p>
        </w:tc>
      </w:tr>
    </w:tbl>
    <w:p w14:paraId="603CC444" w14:textId="77777777" w:rsidR="007E5CA5" w:rsidRDefault="007E5CA5" w:rsidP="002E268D"/>
    <w:p w14:paraId="7FFD1321" w14:textId="2AD3CAF5" w:rsidR="007E5CA5" w:rsidRDefault="007E5CA5" w:rsidP="002E268D"/>
    <w:p w14:paraId="1A1DD71F" w14:textId="4393D0FA" w:rsidR="007E5CA5" w:rsidRDefault="00B22D0B" w:rsidP="002E268D">
      <w:pPr>
        <w:pStyle w:val="Ttulo1"/>
      </w:pPr>
      <w:r>
        <w:t>Discussão</w:t>
      </w:r>
    </w:p>
    <w:p w14:paraId="2C424008" w14:textId="37E861EE" w:rsidR="00756B68" w:rsidRDefault="007E5CA5" w:rsidP="002E268D">
      <w:r w:rsidRPr="00D11886">
        <w:t xml:space="preserve">A prevalência de CRS encontrada no presente estudo foi de </w:t>
      </w:r>
      <w:r w:rsidR="00D11886" w:rsidRPr="00D11886">
        <w:t>32%</w:t>
      </w:r>
      <w:r w:rsidR="00756B68">
        <w:t>, sendo o perfil do estudante que apresenta esse comportamento caracterizado por ser do gênero masculino, heterossexual, solteiro, de moderado nível socioeconômico, praticante de atividade física, acima de 20 anos de idade e da área de Artes e Humanidades. Ainda, é possível incluir nesse perfil que são estudantes que tem moradia compartilhada com outras pessoas que não são os pais, não possuem carro e nem trabalham e nem são bolsistas, mas que apresentam apoio institucional na faculdade, com relacionamento e preferência de relacionamentos presenciais.</w:t>
      </w:r>
    </w:p>
    <w:p w14:paraId="4E409CF1" w14:textId="77777777" w:rsidR="00AB6461" w:rsidRDefault="00AB6461" w:rsidP="002E268D">
      <w:pPr>
        <w:pStyle w:val="CSR"/>
      </w:pPr>
      <w:r>
        <w:t>O comportamento sexual de risco pode ser entendido como qualquer ação que leve a uma relação sexual que aumente o risco de infecções sexuais ou gravidez não intencional</w:t>
      </w:r>
      <w:r>
        <w:fldChar w:fldCharType="begin"/>
      </w:r>
      <w:r>
        <w:instrText xml:space="preserve"> ADDIN ZOTERO_ITEM CSL_CITATION {"citationID":"op3I3yaL","properties":{"formattedCitation":"(KANN et al., 2018)","plainCitation":"(KANN et al., 2018)","noteIndex":0},"citationItems":[{"id":2712,"uris":["http://zotero.org/users/10339151/items/FDIBSEC3"],"itemData":{"id":2712,"type":"article-journal","abstract":"PROBLEM: Health-risk behaviors contribute to the leading causes of morbidity and mortality among youth and adults in the United States. In addition, significant health disparities exist among demographic subgroups of youth defined by sex, race/ethnicity, and grade in school and between sexual minority and nonsexual minority youth. Population-based data on the most important health-related behaviors at the national, state, and local levels can be used to help monitor the effectiveness of public health interventions designed to protect and promote the health of youth at the national, state, and local levels. REPORTING PERIOD COVERED: September 2016-December 2017. DESCRIPTION OF THE SYSTEM: The Youth Risk Behavior Surveillance System (YRBSS) monitors six categories of priority health-related behaviors among youth and young adults: 1) behaviors that contribute to unintentional injuries and violence; 2) tobacco use; 3) alcohol and other drug use; 4) sexual behaviors related to unintended pregnancy and sexually transmitted infections (STIs), including human immunodeficiency virus (HIV) infection; 5) unhealthy dietary behaviors; and 6) physical inactivity. In addition, YRBSS monitors the prevalence of other health-related behaviors, obesity, and asthma. YRBSS includes a national school-based Youth Risk Behavior Survey (YRBS) conducted by CDC and state and large urban school district school-based YRBSs conducted by state and local education and health agencies. Starting with the 2015 YRBSS cycle, a question to ascertain sexual identity and a question to ascertain sex of sexual contacts were added to the national YRBS questionnaire and to the standard YRBS questionnaire used by the states and large urban school districts as a starting point for their questionnaires. This report summarizes results from the 2017 national YRBS for 121 health-related behaviors and for obesity, overweight, and asthma by demographic subgroups defined by sex, race/ethnicity, and grade in school and by sexual minority status; updates the numbers of sexual minority students nationwide; and describes overall trends in health-related behaviors during 1991-2017. This reports also summarizes results from 39 state and 21 large urban school district surveys with weighted data for the 2017 YRBSS cycle by sex and sexual minority status (where available). RESULTS: Results from the 2017 national YRBS indicated that many high school students are engaged in health-risk behaviors associated with the leading causes of death among persons aged 10-24 years in the United States. During the 30 days before the survey, 39.2% of high school students nationwide (among the 62.8% who drove a car or other vehicle during the 30 days before the survey) had texted or e-mailed while driving, 29.8% reported current alcohol use, and 19.8% reported current marijuana use. In addition, 14.0% of students had taken prescription pain medicine without a doctor's prescription or differently than how a doctor told them to use it one or more times during their life. During the 12 months before the survey, 19.0% had been bullied on school property and 7.4% had attempted suicide. Many high school students are engaged in sexual risk behaviors that relate to unintended pregnancies and STIs, including HIV infection. Nationwide, 39.5% of students had ever had sexual intercourse and 9.7% had had sexual intercourse with four or more persons during their life. Among currently sexually active students, 53.8% reported that either they or their partner had used a condom during their last sexual intercourse. Results from the 2017 national YRBS also indicated many high school students are engaged in behaviors associated with chronic diseases, such as cardiovascular disease, cancer, and diabetes. Nationwide, 8.8% of high school students had smoked cigarettes and 13.2% had used an electronic vapor product on at least 1 day during the 30 days before the survey. Forty-three percent played video or computer games or used a computer for 3 or more hours per day on an average school day for something that was not school work and 15.4% had not been physically active for a total of at least 60 minutes on at least 1 day during the 7 days before the survey. Further, 14.8% had obesity and 15.6% were overweight. The prevalence of most health-related behaviors varies by sex, race/ethnicity, and, particularly, sexual identity and sex of sexual contacts. Specifically, the prevalence of many health-risk behaviors is significantly higher among sexual minority students compared with nonsexual minority students. Nonetheless, analysis of long-term temporal trends indicates that the overall prevalence of most health-risk behaviors has moved in the desired direction. INTERPRETATION: Most high school students cope with the transition from childhood through adolescence to adulthood successfully and become healthy and productive adults. However, this report documents that some subgroups of students defined by sex, race/ethnicity, grade in school, and especially sexual minority status have a higher prevalence of many health-risk behaviors that might place them at risk for unnecessary or premature mortality, morbidity, and social problems (e.g., academic failure, poverty, and crime). PUBLIC HEALTH ACTION: YRBSS data are used widely to compare the prevalence of health-related behaviors among subpopulations of students; assess trends in health-related behaviors over time; monitor progress toward achieving 21 national health objectives; provide comparable state and large urban school district data; and take public health actions to decrease health-risk behaviors and improve health outcomes among youth. Using this and other reports based on scientifically sound data is important for raising awareness about the prevalence of health-related behaviors among students in grades 9-12, especially sexual minority students, among decision makers, the public, and a wide variety of agencies and organizations that work with youth. These agencies and organizations, including schools and youth-friendly health care providers, can help facilitate access to critically important education, health care, and high-impact, evidence-based interventions.","DOI":"10.15585/mmwr.ss6708a1","issue":"8","note":"DOI: 10.15585/mmwr.ss6708a1\nMAG ID: 2808153400","page":"1-114","title":"Youth Risk Behavior Surveillance - United States, 2017.","volume":"67","author":[{"family":"Kann","given":"Laura"},{"family":"McManus","given":"Tim"},{"family":"Harris","given":"William A."},{"family":"Shanklin","given":"Shari L."},{"family":"Flint","given":"Katherine H."},{"family":"Queen","given":"Barbara"},{"family":"Lowry","given":"Richard"},{"family":"Chyen","given":"David"},{"family":"Whittle","given":"Lisa"},{"family":"Thornton","given":"Jemekia"},{"family":"Lim","given":"Connie"},{"family":"Bradford","given":"Denise"},{"family":"Yamakawa","given":"Yoshimi"},{"family":"Leon","given":"Michelle"},{"family":"Brener","given":"Nancy D."},{"family":"Ethier","given":"Kathleen A."}],"issued":{"date-parts":[["2018",6,15]]}}}],"schema":"https://github.com/citation-style-language/schema/raw/master/csl-citation.json"} </w:instrText>
      </w:r>
      <w:r>
        <w:fldChar w:fldCharType="separate"/>
      </w:r>
      <w:r w:rsidRPr="006D39CE">
        <w:t>(KANN et al., 2018)</w:t>
      </w:r>
      <w:r>
        <w:fldChar w:fldCharType="end"/>
      </w:r>
      <w:r>
        <w:t xml:space="preserve"> pela ausência de uso de preservativo, principalmente em relações sexuais com parceiros </w:t>
      </w:r>
      <w:r>
        <w:lastRenderedPageBreak/>
        <w:t>desconhecidos, e entre universitários</w:t>
      </w:r>
      <w:r>
        <w:fldChar w:fldCharType="begin"/>
      </w:r>
      <w:r>
        <w:instrText xml:space="preserve"> ADDIN ZOTERO_ITEM CSL_CITATION {"citationID":"qGULGdD5","properties":{"formattedCitation":"(YUSI LIU et al., 2022)","plainCitation":"(YUSI LIU et al., 2022)","noteIndex":0},"citationItems":[{"id":2693,"uris":["http://zotero.org/users/10339151/items/ZWT25GUV"],"itemData":{"id":2693,"type":"article-journal","abstract":"HIV prevention, diagnosis, treatment and care services might be hampered by inaccurate risk assessment. This study aimed to investigate the extent of and factors associated with the discordance between perceived risk and actual risky sexual behaviors among undergraduates in mainland China, guided by the Anderson's behavioral model.This study involved a secondary analysis of cross-sectional data collected during the fall semester of 2018-2019 academic year. The present analysis was restricted to 8808 undergraduates with low risk perception. Those who had low perceived risk but actually engaged in risky sexual behaviors were categorized as risk discordance (RD). Univariate and multivariate Logistic regression analyses were conducted to identify factors associated with RD.Overall, the discordance rate between perceived and actual risk was 8.5% (95% CI: 7.9%-9.1%). Multivariate Logistic regression analysis indicated that non-heterosexual women (AOR = 0.41, 95% CI:0.27-0.60), heterosexual men (AOR = 0.45, 95% CI:0.33-0.61) and women (AOR = 0.26, 95% CI:0.19-0.35) were less likely to exhibit RD, when compared with non- heterosexual men. Furthermore, non-freshmen (AOR = 1.57, 95% CI:1.30-1.90), early initiators of sexual intercourse (AOR = 5.82, 95% CI:4.10-8.26), and those who had lower levels of HIV knowledge (AOR = 1.28, 95% CI:1.08-1.51), displayed higher levels of stigma against PLHIV (AOR = 1.50, 95% CI:1.26-1.77) and had ever been tested for HIV (AOR = 1.36, 95% CI:1.04-1.77) were more prone to reporting RD. Those with more enabling resources [i.e., displaying high levels of condom use self-efficacy (AOR = 0.70, 95% CI:0.59-0.84) and being knowledge of local testing center (AOR = 0.71, 95% CI:0.60-0.83)] were less likely to report RD. However, spending more than 2000 Yuan a month on basic needs (AOR = 2.55, 95% CI:2.07-3.14), residing in urban areas (AOR = 1.35, 95% CI:1.15-1.59) and being knowledgeable of the national AIDS policy (AOR = 1.40,95% CI:1.18-1.66) increased the chance of exhibiting RD.Comprehensive interventions, including targeting students with high-risk characteristics, improving the acceptability of PrEP and PEP, conducting health education, enhancing self-efficacy for using condoms and making opt-out HIV testing routine in college campus, should be taken to reduce the discordance between perceived and actual HIV risk and finally to reach the goal of Zero AIDS.","container-title":"BMC Public Health","DOI":"10.1186/s12889-022-13132-w","issue":"1","note":"DOI: 10.1186/s12889-022-13132-w\nMAG ID: 4223510141\nPMCID: 9006618\nPMID: 35413860\nS2ID: f95122a699a652d809c4f9c910ce03d77a4c9e25","title":"Discordance between perceived risk and actual risky sexual behaviors among undergraduate university students in mainland China: a cross-sectional study","volume":"22","author":[{"literal":"Yusi Liu"},{"literal":"Guochen Fu"},{"literal":"Yifan Chen"},{"literal":"Lei Wu"},{"literal":"Mingliang Pan"},{"literal":"Yuli Yang"},{"literal":"Zhuo Chen"},{"literal":"Yu Cao"},{"literal":"Yong Li"},{"literal":"Hao Wang"},{"literal":"Bixiang Wang"},{"literal":"Chengcheng Lv"},{"literal":"Ruyi Du"},{"literal":"Yanting Xiong"},{"literal":"Wei Liu"},{"literal":"Nuo Xu"},{"literal":"Xiaobao Xia"},{"literal":"Qianqian Li"},{"literal":"Fang Ruan"},{"literal":"Junfang Wang"}],"issued":{"date-parts":[["2022",4,12]]}}}],"schema":"https://github.com/citation-style-language/schema/raw/master/csl-citation.json"} </w:instrText>
      </w:r>
      <w:r>
        <w:fldChar w:fldCharType="separate"/>
      </w:r>
      <w:r w:rsidRPr="00C01BDF">
        <w:t>(YUSI LIU et al., 2022)</w:t>
      </w:r>
      <w:r>
        <w:fldChar w:fldCharType="end"/>
      </w:r>
      <w:r>
        <w:t xml:space="preserve"> fato que</w:t>
      </w:r>
      <w:r w:rsidRPr="00BF143B">
        <w:t xml:space="preserve"> </w:t>
      </w:r>
      <w:r>
        <w:t>varia entre culturas, faixas etárias e sexo</w:t>
      </w:r>
      <w:r>
        <w:fldChar w:fldCharType="begin"/>
      </w:r>
      <w:r>
        <w:instrText xml:space="preserve"> ADDIN ZOTERO_ITEM CSL_CITATION {"citationID":"LlouQyTQ","properties":{"formattedCitation":"(CHAWLA; SARKAR, 2019)","plainCitation":"(CHAWLA; SARKAR, 2019)","noteIndex":0},"citationItems":[{"id":2699,"uris":["http://zotero.org/users/10339151/items/92D5W8ST"],"itemData":{"id":2699,"type":"article-journal","abstract":"AbstractIntroduction: Sexual behavior is a behavior exhibited by individuals to gratify one of their basic needs, that is the sexual need. Often the way in which sexual behavior is practiced may le...","container-title":"Journal of Psychosexual Health","DOI":"10.1177/2631831818822015","issue":"1","note":"DOI: 10.1177/2631831818822015\nMAG ID: 2910532293\nS2ID: e186365a1e66932ab9aa496f15eacda875ad7693","page":"26-31","title":"Defining “High-risk Sexual Behavior” in the Context of Substance Use:","volume":"1","author":[{"family":"Chawla","given":"Nishtha"},{"family":"Sarkar","given":"Siddharth"}],"issued":{"date-parts":[["2019",1,17]]}}}],"schema":"https://github.com/citation-style-language/schema/raw/master/csl-citation.json"} </w:instrText>
      </w:r>
      <w:r>
        <w:fldChar w:fldCharType="separate"/>
      </w:r>
      <w:r w:rsidRPr="00C01BDF">
        <w:t>(CHAWLA; SARKAR, 2019)</w:t>
      </w:r>
      <w:r>
        <w:fldChar w:fldCharType="end"/>
      </w:r>
      <w:r>
        <w:t>.</w:t>
      </w:r>
    </w:p>
    <w:p w14:paraId="1FD1BAFF" w14:textId="2552D215" w:rsidR="00AB6461" w:rsidRDefault="00AB6461" w:rsidP="002E268D">
      <w:pPr>
        <w:pStyle w:val="CSR"/>
      </w:pPr>
      <w:r>
        <w:t>De forma mais completa</w:t>
      </w:r>
      <w:r w:rsidR="00542994">
        <w:t xml:space="preserve">, </w:t>
      </w:r>
      <w:r>
        <w:t>o comportamento sexual de alto risco (</w:t>
      </w:r>
      <w:r w:rsidRPr="00BF143B">
        <w:rPr>
          <w:i/>
          <w:iCs/>
        </w:rPr>
        <w:t>High-risk Sexual Behavior</w:t>
      </w:r>
      <w:r>
        <w:t>), definido como atividades sexuais que elevam o risco de contrair doenças sexualmente transmissíveis (DST), envolve relações sexuais desprotegidas e múltiplos parceiros</w:t>
      </w:r>
      <w:r>
        <w:fldChar w:fldCharType="begin"/>
      </w:r>
      <w:r>
        <w:instrText xml:space="preserve"> ADDIN ZOTERO_ITEM CSL_CITATION {"citationID":"MNzP2YqV","properties":{"formattedCitation":"(DANIELLE R. EAKINS et al., 2022)","plainCitation":"(DANIELLE R. EAKINS et al., 2022)","noteIndex":0},"citationItems":[{"id":2711,"uris":["http://zotero.org/users/10339151/items/XG683F4N"],"itemData":{"id":2711,"type":"article-journal","abstract":"• Women are at high risk for sexually transmitted infections. • Risk and protective factors associated with sexual risk intentions were examined. • Drinking and STI risk perception were associated with sexual risk intentions. • Race and ethnic identity were associated with STI risk perception. Sexually Transmitted Infections (STI) rates are the highest of the last 20 years, with people of color and women particularly affected. Ongoing research has identified risk factors (e.g., alcohol intoxication) and protective factors (e.g., risk perception) for sexual risk behaviors, such as inconsistent condom use. Depending on behavioral norms within a group, ethnic identity (EI) – the exploration and sense of belonging to one’s ethnicity – may be a risk or protective factor. This study examined the relations between EI, alcohol intoxication, and STI risk perception on sexual risk intentions among women of color (WOC) and white women (WW). Cisgender women ( N = 390; 35% WOC; 65% WW) completed measures and were randomly assigned to an alcohol condition (.10% BrAC vs control). They projected themselves into an eroticized scenario and self-reported two aspects of STI risk perception (personal, partner) and two sexual risk behaviors (condomless sex intentions, condom decision abdication intentions). Path analysis indicated that intoxicated women endorsed higher sexual risk intentions compared to women in the control group. Personal STI risk perception was negatively associated with sexual risk intentions. Indirect effects indicated that race was indirectly associated with both indicators of sexual risk, such that WOC reported higher perceived personal STI risk and subsequently endorsed lower sexual risk intentions compared to WW. Surprisingly, EI was associated with higher perceived partner risk for WW only. Prevention initiatives that address STI risk perception, condom assertion behaviors, and alcohol may be effective for mitigating women’s sexual risk behaviors.","container-title":"Addictive Behaviors","DOI":"10.1016/j.addbeh.2022.107314","note":"DOI: 10.1016/j.addbeh.2022.107314\nMAG ID: 4220974600","page":"107314-107314","title":"Alcohol Intoxication and Sexual Risk Intentions: Exploring Cultural Factors among Heavy Drinking Women","author":[{"literal":"Danielle R. Eakins"},{"literal":"Elizabeth C. Neilson"},{"literal":"Cynthia A. Stappenbeck"},{"literal":"Hong V. Nguyen"},{"literal":"Kelly Cue Davis"},{"literal":"William H. George"}],"issued":{"date-parts":[["2022",3,1]]}}}],"schema":"https://github.com/citation-style-language/schema/raw/master/csl-citation.json"} </w:instrText>
      </w:r>
      <w:r>
        <w:fldChar w:fldCharType="separate"/>
      </w:r>
      <w:r w:rsidRPr="00BF143B">
        <w:t>(DANIELLE R. EAKINS et al., 2022)</w:t>
      </w:r>
      <w:r>
        <w:fldChar w:fldCharType="end"/>
      </w:r>
      <w:r>
        <w:t>, assim como práticas de sexo oral ou anal sem uso de preservativos</w:t>
      </w:r>
      <w:r>
        <w:fldChar w:fldCharType="begin"/>
      </w:r>
      <w:r>
        <w:instrText xml:space="preserve"> ADDIN ZOTERO_ITEM CSL_CITATION {"citationID":"JNkexuxU","properties":{"formattedCitation":"(CHAWLA; SARKAR, 2019)","plainCitation":"(CHAWLA; SARKAR, 2019)","noteIndex":0},"citationItems":[{"id":2699,"uris":["http://zotero.org/users/10339151/items/92D5W8ST"],"itemData":{"id":2699,"type":"article-journal","abstract":"AbstractIntroduction: Sexual behavior is a behavior exhibited by individuals to gratify one of their basic needs, that is the sexual need. Often the way in which sexual behavior is practiced may le...","container-title":"Journal of Psychosexual Health","DOI":"10.1177/2631831818822015","issue":"1","note":"DOI: 10.1177/2631831818822015\nMAG ID: 2910532293\nS2ID: e186365a1e66932ab9aa496f15eacda875ad7693","page":"26-31","title":"Defining “High-risk Sexual Behavior” in the Context of Substance Use:","volume":"1","author":[{"family":"Chawla","given":"Nishtha"},{"family":"Sarkar","given":"Siddharth"}],"issued":{"date-parts":[["2019",1,17]]}}}],"schema":"https://github.com/citation-style-language/schema/raw/master/csl-citation.json"} </w:instrText>
      </w:r>
      <w:r>
        <w:fldChar w:fldCharType="separate"/>
      </w:r>
      <w:r w:rsidRPr="006D39CE">
        <w:t>(CHAWLA; SARKAR, 2019)</w:t>
      </w:r>
      <w:r>
        <w:fldChar w:fldCharType="end"/>
      </w:r>
      <w:r>
        <w:t>, e sob influência de álcool ou outros tipos de drogas</w:t>
      </w:r>
      <w:r>
        <w:fldChar w:fldCharType="begin"/>
      </w:r>
      <w:r>
        <w:instrText xml:space="preserve"> ADDIN ZOTERO_ITEM CSL_CITATION {"citationID":"PsioekcU","properties":{"formattedCitation":"(SALES et al., 2016)","plainCitation":"(SALES et al., 2016)","noteIndex":0},"citationItems":[{"id":2716,"uris":["http://zotero.org/users/10339151/items/B8HDEVRV"],"itemData":{"id":2716,"type":"article-journal","abstract":"da área da saúde. Utilizou-se um questionário com questões sobre aspetos demográficos, conduta sexual e conhecimento sobre IST/ SIDA. Adotou-se como comportamento de risco 2 ou mais comportamentos sexuais: não utilização de preservativos, mais de 10 parceiros sexuais, manter relações sob efeito de álcool/drogas e ( DE ± 6,7), el 52 % tenía un comportamiento de riesgo y un conocimiento insuficiente sobre las ITS. Conclusión: El 52 % de los participantes tiene comportamientos sexuales de riesgo, un hecho que requiere que se desarrolle una labor preventiva con esta población a través de actividades educativas dirigidas a concienciar y reducir los riesgos de ITS. Backgr ound: Risky sexual behaviors are associated with the number of sexual partners, and non-use of condom, among other factors. Objective: To identify the profile of health students attending a higher education institution, according to demographic and sexual characteristics. Methods: This is a prospective, cross-sectional and descriptive study with a quantitative approach using a sample of 819 university health students. We used a questionnaire in order to obtain information on the students’ demographic characteristics, sexual behaviors and knowledge of STIs/AIDS. We defined risky behavior as the adoption of 2 or more of the following sexual behaviors: non-use of condom, more than 10 sexual partners, sexual intercourse under the influence of alcohol/drugs, and sexual intercourse with little or recently known person. Results: The sample was composed of 77.41% (634) of women and 22.59% (185) of men, with a mean age of 24.4 years (SD ± 6.7). Most participants (52%) reported risky behaviors and insufficient knowledge of STIs. Conclusion: The fact that 52% of the participants reported risky sexual behaviors points to the need for preventive interventions among this population, aimed at raising awareness and reducing the risk of STIs.","container-title":"Revista de Enfermagem Referência","DOI":"10.12707/riv16019","issue":"10","note":"DOI: 10.12707/riv16019\nMAG ID: 2521777476\nS2ID: 78222259424a1fc0d9068f5ec6b8a68fa801b57e","page":"19-27","title":"Comportamento sexual de risco e conhecimento sobre IST/SIDA em universitários da saúde","author":[{"family":"Sales","given":"Willian Barbosa"},{"family":"Caveião","given":"Cristiano"},{"family":"Visentin","given":"Angelita"},{"family":"Mocelin","given":"Daniela"},{"family":"Costa","given":"Priscila Moreira","non-dropping-particle":"da"},{"family":"Simm","given":"Eduardo Bolicenha"}],"issued":{"date-parts":[["2016",9,30]]}}}],"schema":"https://github.com/citation-style-language/schema/raw/master/csl-citation.json"} </w:instrText>
      </w:r>
      <w:r>
        <w:fldChar w:fldCharType="separate"/>
      </w:r>
      <w:r w:rsidRPr="006A3DC8">
        <w:t>(SALES et al., 2016)</w:t>
      </w:r>
      <w:r>
        <w:fldChar w:fldCharType="end"/>
      </w:r>
      <w:r>
        <w:t>, bem como pelo sexo forçado</w:t>
      </w:r>
      <w:r>
        <w:fldChar w:fldCharType="begin"/>
      </w:r>
      <w:r>
        <w:instrText xml:space="preserve"> ADDIN ZOTERO_ITEM CSL_CITATION {"citationID":"U1exantx","properties":{"formattedCitation":"(KANN et al., 2018)","plainCitation":"(KANN et al., 2018)","noteIndex":0},"citationItems":[{"id":2712,"uris":["http://zotero.org/users/10339151/items/FDIBSEC3"],"itemData":{"id":2712,"type":"article-journal","abstract":"PROBLEM: Health-risk behaviors contribute to the leading causes of morbidity and mortality among youth and adults in the United States. In addition, significant health disparities exist among demographic subgroups of youth defined by sex, race/ethnicity, and grade in school and between sexual minority and nonsexual minority youth. Population-based data on the most important health-related behaviors at the national, state, and local levels can be used to help monitor the effectiveness of public health interventions designed to protect and promote the health of youth at the national, state, and local levels. REPORTING PERIOD COVERED: September 2016-December 2017. DESCRIPTION OF THE SYSTEM: The Youth Risk Behavior Surveillance System (YRBSS) monitors six categories of priority health-related behaviors among youth and young adults: 1) behaviors that contribute to unintentional injuries and violence; 2) tobacco use; 3) alcohol and other drug use; 4) sexual behaviors related to unintended pregnancy and sexually transmitted infections (STIs), including human immunodeficiency virus (HIV) infection; 5) unhealthy dietary behaviors; and 6) physical inactivity. In addition, YRBSS monitors the prevalence of other health-related behaviors, obesity, and asthma. YRBSS includes a national school-based Youth Risk Behavior Survey (YRBS) conducted by CDC and state and large urban school district school-based YRBSs conducted by state and local education and health agencies. Starting with the 2015 YRBSS cycle, a question to ascertain sexual identity and a question to ascertain sex of sexual contacts were added to the national YRBS questionnaire and to the standard YRBS questionnaire used by the states and large urban school districts as a starting point for their questionnaires. This report summarizes results from the 2017 national YRBS for 121 health-related behaviors and for obesity, overweight, and asthma by demographic subgroups defined by sex, race/ethnicity, and grade in school and by sexual minority status; updates the numbers of sexual minority students nationwide; and describes overall trends in health-related behaviors during 1991-2017. This reports also summarizes results from 39 state and 21 large urban school district surveys with weighted data for the 2017 YRBSS cycle by sex and sexual minority status (where available). RESULTS: Results from the 2017 national YRBS indicated that many high school students are engaged in health-risk behaviors associated with the leading causes of death among persons aged 10-24 years in the United States. During the 30 days before the survey, 39.2% of high school students nationwide (among the 62.8% who drove a car or other vehicle during the 30 days before the survey) had texted or e-mailed while driving, 29.8% reported current alcohol use, and 19.8% reported current marijuana use. In addition, 14.0% of students had taken prescription pain medicine without a doctor's prescription or differently than how a doctor told them to use it one or more times during their life. During the 12 months before the survey, 19.0% had been bullied on school property and 7.4% had attempted suicide. Many high school students are engaged in sexual risk behaviors that relate to unintended pregnancies and STIs, including HIV infection. Nationwide, 39.5% of students had ever had sexual intercourse and 9.7% had had sexual intercourse with four or more persons during their life. Among currently sexually active students, 53.8% reported that either they or their partner had used a condom during their last sexual intercourse. Results from the 2017 national YRBS also indicated many high school students are engaged in behaviors associated with chronic diseases, such as cardiovascular disease, cancer, and diabetes. Nationwide, 8.8% of high school students had smoked cigarettes and 13.2% had used an electronic vapor product on at least 1 day during the 30 days before the survey. Forty-three percent played video or computer games or used a computer for 3 or more hours per day on an average school day for something that was not school work and 15.4% had not been physically active for a total of at least 60 minutes on at least 1 day during the 7 days before the survey. Further, 14.8% had obesity and 15.6% were overweight. The prevalence of most health-related behaviors varies by sex, race/ethnicity, and, particularly, sexual identity and sex of sexual contacts. Specifically, the prevalence of many health-risk behaviors is significantly higher among sexual minority students compared with nonsexual minority students. Nonetheless, analysis of long-term temporal trends indicates that the overall prevalence of most health-risk behaviors has moved in the desired direction. INTERPRETATION: Most high school students cope with the transition from childhood through adolescence to adulthood successfully and become healthy and productive adults. However, this report documents that some subgroups of students defined by sex, race/ethnicity, grade in school, and especially sexual minority status have a higher prevalence of many health-risk behaviors that might place them at risk for unnecessary or premature mortality, morbidity, and social problems (e.g., academic failure, poverty, and crime). PUBLIC HEALTH ACTION: YRBSS data are used widely to compare the prevalence of health-related behaviors among subpopulations of students; assess trends in health-related behaviors over time; monitor progress toward achieving 21 national health objectives; provide comparable state and large urban school district data; and take public health actions to decrease health-risk behaviors and improve health outcomes among youth. Using this and other reports based on scientifically sound data is important for raising awareness about the prevalence of health-related behaviors among students in grades 9-12, especially sexual minority students, among decision makers, the public, and a wide variety of agencies and organizations that work with youth. These agencies and organizations, including schools and youth-friendly health care providers, can help facilitate access to critically important education, health care, and high-impact, evidence-based interventions.","DOI":"10.15585/mmwr.ss6708a1","issue":"8","note":"DOI: 10.15585/mmwr.ss6708a1\nMAG ID: 2808153400","page":"1-114","title":"Youth Risk Behavior Surveillance - United States, 2017.","volume":"67","author":[{"family":"Kann","given":"Laura"},{"family":"McManus","given":"Tim"},{"family":"Harris","given":"William A."},{"family":"Shanklin","given":"Shari L."},{"family":"Flint","given":"Katherine H."},{"family":"Queen","given":"Barbara"},{"family":"Lowry","given":"Richard"},{"family":"Chyen","given":"David"},{"family":"Whittle","given":"Lisa"},{"family":"Thornton","given":"Jemekia"},{"family":"Lim","given":"Connie"},{"family":"Bradford","given":"Denise"},{"family":"Yamakawa","given":"Yoshimi"},{"family":"Leon","given":"Michelle"},{"family":"Brener","given":"Nancy D."},{"family":"Ethier","given":"Kathleen A."}],"issued":{"date-parts":[["2018",6,15]]}}}],"schema":"https://github.com/citation-style-language/schema/raw/master/csl-citation.json"} </w:instrText>
      </w:r>
      <w:r>
        <w:fldChar w:fldCharType="separate"/>
      </w:r>
      <w:r w:rsidRPr="006D39CE">
        <w:t>(KANN et al., 2018)</w:t>
      </w:r>
      <w:r>
        <w:fldChar w:fldCharType="end"/>
      </w:r>
      <w:r>
        <w:t>.</w:t>
      </w:r>
    </w:p>
    <w:p w14:paraId="67CD6B01" w14:textId="4DB51C8A" w:rsidR="00542994" w:rsidRDefault="00542994" w:rsidP="002E268D">
      <w:r>
        <w:t>No Brasil, as políticas públicas têm buscado enfrentar esse desafio por meio da distribuição gratuita de preservativos masculinos e femininos nos postos de saúde e em eventos públicos. O objetivo dessas campanhas é promover a prática de sexo seguro, e consequentemente, combater o CSR e seus desfechos sobre a saúde da população.</w:t>
      </w:r>
    </w:p>
    <w:p w14:paraId="09319018" w14:textId="77777777" w:rsidR="00F411BE" w:rsidRDefault="00F411BE" w:rsidP="00F411BE">
      <w:r>
        <w:t xml:space="preserve">Em Fortaleza, Ceará, nordeste do Brasil, aproximadamente 44% de homens que fazem sexo com homem relataram CRS no ano anterior a realização do estudo, principalmente por falta de conhecimento sobre AIDS, número de parceiros sexuais e sexo desprotegido. </w:t>
      </w:r>
    </w:p>
    <w:p w14:paraId="4D71ADBA" w14:textId="444686B1" w:rsidR="00F411BE" w:rsidRDefault="00F411BE" w:rsidP="00F411BE">
      <w:r>
        <w:t>Graf</w:t>
      </w:r>
      <w:r>
        <w:t xml:space="preserve"> </w:t>
      </w:r>
      <w:r>
        <w:fldChar w:fldCharType="begin"/>
      </w:r>
      <w:r>
        <w:instrText xml:space="preserve"> ADDIN ZOTERO_ITEM CSL_CITATION {"citationID":"fuW9aIbS","properties":{"formattedCitation":"(GR\\uc0\\u196{}F; MARILIA ARNDT MESENBURG; FASSA, 2020)","plainCitation":"(GRÄF; MARILIA ARNDT MESENBURG; FASSA, 2020)","noteIndex":0},"citationItems":[{"id":2738,"uris":["http://zotero.org/users/10339151/items/NIWQJ7IZ"],"itemData":{"id":2738,"type":"article-journal","abstract":"RESUMO OBJETIVO Descrever o comportamento sexual de ingressantes universitarios de acordo com caracteristicas demograficas, economicas, psicossociais e comportamentais, e avaliar a prevalencia de comportamento sexual de risco e seus fatores associados. METODOS Estudo de delineamento transversal, do tipo censo, com universitarios maiores de 18 anos, de 80 cursos de graduacao da Universidade Federal de Pelotas […]","container-title":"Revista De Saude Publica","DOI":"10.11606/s1518-8787.2020054001709","note":"DOI: 10.11606/s1518-8787.2020054001709\nMAG ID: 3014599434\nPMCID: 7135094\nPMID: 32321057\nS2ID: 61ba8b80bd1595ae21205bb3c75aedfb447e486d","page":"41-41","title":"Risky sexual behavior and associated factors in undergraduate students in a city in Southern Brazil","volume":"54","author":[{"family":"Gräf","given":"Débora Dalmas"},{"literal":"Marilia Arndt Mesenburg"},{"family":"Fassa","given":"Anaclaudia Gastal"}],"issued":{"date-parts":[["2020",4,3]]}}}],"schema":"https://github.com/citation-style-language/schema/raw/master/csl-citation.json"} </w:instrText>
      </w:r>
      <w:r>
        <w:fldChar w:fldCharType="separate"/>
      </w:r>
      <w:r w:rsidRPr="00F411BE">
        <w:rPr>
          <w:rFonts w:cs="Times New Roman"/>
          <w:szCs w:val="24"/>
        </w:rPr>
        <w:t>(GRÄF; MARILIA ARNDT MESENBURG; FASSA, 2020)</w:t>
      </w:r>
      <w:r>
        <w:fldChar w:fldCharType="end"/>
      </w:r>
      <w:r>
        <w:t xml:space="preserve"> </w:t>
      </w:r>
      <w:r>
        <w:t>descreve sobre universitários brasileiros do Sul do país relata que  apesar de serem uma população que se espera que sejam informadas há uma importante prevalência de CSR, cuja necessidade de educação sexual e ações para melhorar o conhecimento dessa população sobre o tema.</w:t>
      </w:r>
    </w:p>
    <w:p w14:paraId="7482A620" w14:textId="77777777" w:rsidR="00542994" w:rsidRDefault="00542994" w:rsidP="002E268D">
      <w:r>
        <w:t>Entretanto, esse é um desafio global.</w:t>
      </w:r>
      <w:r w:rsidRPr="00AB6461">
        <w:t xml:space="preserve"> </w:t>
      </w:r>
      <w:r>
        <w:t>Em estudantes universitários da Nigéria, fatores como ignorância, ausência de educação sexual, e determinantes socioeconômicos como a pobreza são fatores de risco para CSR e levam a desfechos negativos em saúde como aborto, doenças sexualmente transmitidas e evasão escolar</w:t>
      </w:r>
      <w:r>
        <w:fldChar w:fldCharType="begin"/>
      </w:r>
      <w:r>
        <w:instrText xml:space="preserve"> ADDIN ZOTERO_ITEM CSL_CITATION {"citationID":"xAwQxvyG","properties":{"formattedCitation":"(EUNICE OGONNA OSUALA et al., 2021)","plainCitation":"(EUNICE OGONNA OSUALA et al., 2021)","noteIndex":0},"citationItems":[{"id":2692,"uris":["http://zotero.org/users/10339151/items/SZTAQBUE"],"itemData":{"id":2692,"type":"article-journal","abstract":"Undergraduates experience overwhelming changes and challenges that expose them to risky sexual behaviors, an act that leads to physical, psychosocial harm and its predictors contribute to lost lecture hours among campus students; hence this study aims at exploring contributory factors and outcomes of risky sexual behaviors among Nursing and Medicine students in PAMO University of Medical Sciences, Port Harcourt Rivers State Nigeria. Descriptive survey was conducted in 2019 and 280 students in their first and second year of study from the participating Departments were selected from study population of 491 using Yaro Yamanes sample size formula. Proportionate sampling technique followed by simple randomization was done. Ethical approval and consent were obtained while confidentiality and anonymity were maintained. WHO-adapted questionnaire was administered to respondents with the help of a research assistant. Data was collected using a 3-point Likert statistically-validated questionnaire with a reliability coefficient of 0.8, analyzed and computed on Statistical Package for Social Sciences version 21. Mean values below 2.0 were judged insignificant. Findings shows that Ignorance (x¯=2.81), lack of sex education (x¯=2.79), were among the factors that significantly influenced participant’s risky sexual behavior, however, reduced fun associated with use of condom (x¯=1.99) and equivalent of unprotected sex with trust (x¯=1.97) had insignificant impact. Interestingly, participants expressed similar outcomes of risky sexual behavior recording- sexually transmitted infection (x¯=2.80), pregnancy (x¯=2.76) abortion (x¯=2.71), out of School due to non-support by family (x¯=2.65); among others. Finally, risky sexual behavior among undergraduates affects the academic pursuit and there is need to continue reproductive health education if Sustainable Development Goals five and six will be achieved.","container-title":"International Research Journal of Public and Environmental Health","DOI":"10.15739/irjpeh.21.034","issue":"6","note":"DOI: 10.15739/irjpeh.21.034\nMAG ID: 4200592015\nS2ID: ce91392fe2a21631d579f3ac34e3acb1484e83f5","page":"310-315","title":"Risky sexual behaviors among undergraduates of Pamo University of Medical Sciences: Exploring contributory factors and outcomes","volume":"8","author":[{"literal":"Eunice Ogonna Osuala"},{"literal":"Oluebubechukwu Amarachukwu Udi"},{"literal":"Basil Nnaemeka Ogbu"},{"literal":"Elizabeth Nnenda Oduali Oduali"}],"issued":{"date-parts":[["2021",12,4]]}}}],"schema":"https://github.com/citation-style-language/schema/raw/master/csl-citation.json"} </w:instrText>
      </w:r>
      <w:r>
        <w:fldChar w:fldCharType="separate"/>
      </w:r>
      <w:r w:rsidRPr="00A576BD">
        <w:rPr>
          <w:rFonts w:cs="Times New Roman"/>
        </w:rPr>
        <w:t>(EUNICE OGONNA OSUALA et al., 2021)</w:t>
      </w:r>
      <w:r>
        <w:fldChar w:fldCharType="end"/>
      </w:r>
      <w:r>
        <w:t xml:space="preserve">. </w:t>
      </w:r>
    </w:p>
    <w:p w14:paraId="532C1A80" w14:textId="0A12639F" w:rsidR="00542994" w:rsidRDefault="00542994" w:rsidP="002E268D">
      <w:r>
        <w:t>Na Inglaterra, os fatores que influenciam o CRS são estilo de vida, fatores estruturais e individuais, consumo de álcool, aumento de oportunidades de sexo, bem como barreiras no acesso aos serviços de saúde sexual e ações preventivas</w:t>
      </w:r>
      <w:r w:rsidR="003321A3">
        <w:fldChar w:fldCharType="begin"/>
      </w:r>
      <w:r w:rsidR="003321A3">
        <w:instrText xml:space="preserve"> ADDIN ZOTERO_ITEM CSL_CITATION {"citationID":"nim2h33o","properties":{"formattedCitation":"(CHANAKIRA et al., 2014)","plainCitation":"(CHANAKIRA et al., 2014)","noteIndex":0},"citationItems":[{"id":2753,"uris":["http://zotero.org/users/10339151/items/6VZSNEUV"],"itemData":{"id":2753,"type":"article-journal","abstract":"Background: In the United Kingdom people under the age of 25 years are at increased risk of contracting sexually transmitted infections. Most university students belong to this age group but little is known about their sexual behaviours. The aim of the study was to explore university students’ perspectives of factors and mechanisms that influence risky sexual behaviours among university students in the United Kingdom. Methods: All students at a university in a northern city of England were invited via email to participate in qualitative telephone interviews. Interviews were audio recorded and transcribed verbatim. Framework analytical approach was used. Results: Twenty interviews were conducted with a diverse sample of students. The social context of university lifestyle was perceived to affect risky sex through high levels of alcohol consumption, increased sexual opportunities, liberation from moral surveillance and expectations of the stereotypical highly sexually active student. Individual and cultural differences were also perceived to account for some patterns of risky sex with older students, overseas students and religious students perceived to be less likely to engage in risky sex due to academic priorities and a tendency to be more likely to adhere to moral values. Risk denial was also a key factor that led students to engage in risky sex. Poor access to sexual health services including inconvenient opening times, lack of confidentiality and stigma were perceived to contribute to the limited use of sexually transmitted infections testing and contraceptive services. Conclusions: Lifestyle, individual and structural factors seem to play an important role in influencing the risky sexual behaviours of university students. Therefore preventive interventions that focus on these factors could be very useful in this sub-population of young people. This study provides useful baseline information that helps us understand how and why some United Kingdom university students engage in risky sexual behaviours that puts them at risk of contracting sexually transmitted infections.","container-title":"BMC Public Health","DOI":"10.1186/1471-2458-14-1055","issue":"1","note":"DOI: 10.1186/1471-2458-14-1055\nMAG ID: 1975798358\nPMCID: 4203964\nPMID: 25300195\nS2ID: 13f17c6c22f85b552c71fc3e5172c5450b463b24","page":"1055-1055","title":"Factors perceived to influence risky sexual behaviours among university students in the United Kingdom: a qualitative telephone interview study","volume":"14","author":[{"family":"Chanakira","given":"Elton"},{"family":"O’Cathain","given":"Alicia"},{"family":"Goyder","given":"Elizabeth"},{"family":"Freeman","given":"Jennifer"}],"issued":{"date-parts":[["2014",10,9]]}}}],"schema":"https://github.com/citation-style-language/schema/raw/master/csl-citation.json"} </w:instrText>
      </w:r>
      <w:r w:rsidR="003321A3">
        <w:fldChar w:fldCharType="separate"/>
      </w:r>
      <w:r w:rsidR="003321A3" w:rsidRPr="003321A3">
        <w:rPr>
          <w:rFonts w:cs="Times New Roman"/>
        </w:rPr>
        <w:t>(CHANAKIRA et al., 2014)</w:t>
      </w:r>
      <w:r w:rsidR="003321A3">
        <w:fldChar w:fldCharType="end"/>
      </w:r>
      <w:r>
        <w:t xml:space="preserve">. </w:t>
      </w:r>
    </w:p>
    <w:p w14:paraId="273E3C6D" w14:textId="5708CEF4" w:rsidR="00AB6461" w:rsidRDefault="00F411BE" w:rsidP="002E268D">
      <w:r>
        <w:t>H</w:t>
      </w:r>
      <w:r>
        <w:t>á necessidade de estratégias de prevenção desses comportamento de risco em adultos jovens brasileiros que usam drogas por apresentarem maior risco de HPV  e outras coinfecções sexualmente transmissíveis</w:t>
      </w:r>
      <w:r>
        <w:fldChar w:fldCharType="begin"/>
      </w:r>
      <w:r>
        <w:instrText xml:space="preserve"> ADDIN ZOTERO_ITEM CSL_CITATION {"citationID":"r1iLYEQ1","properties":{"formattedCitation":"(KOPS et al., 2019)","plainCitation":"(KOPS et al., 2019)","noteIndex":0},"citationItems":[{"id":2767,"uris":["http://zotero.org/users/10339151/items/6DGV4IUA"],"itemData":{"id":2767,"type":"article-journal","abstract":"Objectives  To analyse factors associated with genital human papillomavirus (HPV) and other self-reported sexually transmitted infection (STI) coinfections among women and men aged 16–25 years from Brazil.  Design  A cross-sectional, nationwide, multicentre study.  Setting  119 primary healthcare centres between September 2016 and November 2017.  Participants  6388 sexually active young adults were enrolled by trained health professionals.  Primary outcome measure  Genital HPV and other self-reported STI coinfections.  Results  Of 3512 participants with valid data for genital HPV and (STI)-positive status, 276 (9.60%, 95%CI 7.82% to 11.36%) had HPV/STI coinfection. Among men, HPV/STI coinfection was more prevalent than HPV infection alone. Among HPV-positive participants, the percentage of subjects who reported having another STI was highest for gonorrhoea at 4.24% (95% CI 2.67% to 5.81%), followed by syphilis, herpes and HIV. Smoking, drug use and ever having a same-sex sexual experience were risk factors that were uniquely associated with HPV/STI coinfection compared with HPV infection alone.  Conclusions  The results identified a low prevalence of self-reported STIs, but in participants with at least one STI, the prevalence of HPV was high. These results reinforce the importance of implementing strategies to prevent risky behaviours among Brazilian young adults.","container-title":"BMJ Open","DOI":"10.1136/bmjopen-2018-027438","issue":"6","note":"DOI: 10.1136/bmjopen-2018-027438\nMAG ID: 2951767521\nPMCID: 6596954\nPMID: 31230011\nS2ID: 616059f073eda8c2d221b946ee3db81879d4f541","title":"Factors associated with HPV and other self-reported STI coinfections among sexually active Brazilian young adults: cross-sectional nationwide study.","volume":"9","author":[{"family":"Kops","given":"Natália Luiza"},{"family":"Bessel","given":"Marina"},{"family":"Horvath","given":"Jaqueline Driemeyer Correia"},{"family":"Domingues","given":"Carla Magda S."},{"family":"Domingues","given":"Carla Magda Allan Santos"},{"family":"Souza","given":"Flavia Moreno Alves","non-dropping-particle":"de"},{"family":"Benzaken","given":"Adele Schwartz"},{"family":"Pereira","given":"Gerson Fernando Mendes"},{"literal":"Ana Goretti Kalume Maranhão"},{"family":"Maranhão","given":"Ana Goretti Kalume"},{"family":"Villa","given":"Luisa L."},{"family":"Mello","given":"B. P."},{"family":"Wendland","given":"Eliana Marcia"}],"issued":{"date-parts":[["2019",6,1]]}}}],"schema":"https://github.com/citation-style-language/schema/raw/master/csl-citation.json"} </w:instrText>
      </w:r>
      <w:r>
        <w:fldChar w:fldCharType="separate"/>
      </w:r>
      <w:r w:rsidRPr="00F411BE">
        <w:rPr>
          <w:rFonts w:cs="Times New Roman"/>
        </w:rPr>
        <w:t>(KOPS et al., 2019)</w:t>
      </w:r>
      <w:r>
        <w:fldChar w:fldCharType="end"/>
      </w:r>
      <w:r>
        <w:t>.</w:t>
      </w:r>
    </w:p>
    <w:p w14:paraId="07F8504B" w14:textId="5CC82B04" w:rsidR="00F934A5" w:rsidRPr="00F934A5" w:rsidRDefault="00F934A5" w:rsidP="002E268D">
      <w:pPr>
        <w:rPr>
          <w:b/>
          <w:bCs/>
          <w:i/>
          <w:iCs/>
        </w:rPr>
      </w:pPr>
      <w:r w:rsidRPr="00F934A5">
        <w:rPr>
          <w:b/>
          <w:bCs/>
          <w:i/>
          <w:iCs/>
        </w:rPr>
        <w:lastRenderedPageBreak/>
        <w:t>Pelo elicit</w:t>
      </w:r>
    </w:p>
    <w:p w14:paraId="746C0FCC" w14:textId="27601101" w:rsidR="003A4899" w:rsidRPr="00D11886" w:rsidRDefault="003A4899" w:rsidP="003A4899">
      <w:r>
        <w:t xml:space="preserve">Sanchez 2013 em uma amostra de mais de 17 mil estudantes </w:t>
      </w:r>
      <w:r w:rsidR="004308B6">
        <w:t xml:space="preserve">no Brasil inteiro </w:t>
      </w:r>
      <w:r>
        <w:t>encontrou maior prevalência de csr em mulheres, relacionada a menor perfil socioeconômico, ressaltando que as escolas precisam incluir discussões sobre comportamentos de risco relacionados a uso de drogas e a sexualidade.</w:t>
      </w:r>
    </w:p>
    <w:sectPr w:rsidR="003A4899" w:rsidRPr="00D118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Calibri"/>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94C2D"/>
    <w:multiLevelType w:val="hybridMultilevel"/>
    <w:tmpl w:val="2CD43DC6"/>
    <w:lvl w:ilvl="0" w:tplc="C9541B34">
      <w:start w:val="1"/>
      <w:numFmt w:val="decimal"/>
      <w:lvlText w:val="%1"/>
      <w:lvlJc w:val="left"/>
      <w:pPr>
        <w:ind w:left="1381" w:hanging="360"/>
      </w:pPr>
      <w:rPr>
        <w:rFonts w:hint="default"/>
      </w:rPr>
    </w:lvl>
    <w:lvl w:ilvl="1" w:tplc="04160019" w:tentative="1">
      <w:start w:val="1"/>
      <w:numFmt w:val="lowerLetter"/>
      <w:lvlText w:val="%2."/>
      <w:lvlJc w:val="left"/>
      <w:pPr>
        <w:ind w:left="2101" w:hanging="360"/>
      </w:pPr>
    </w:lvl>
    <w:lvl w:ilvl="2" w:tplc="0416001B" w:tentative="1">
      <w:start w:val="1"/>
      <w:numFmt w:val="lowerRoman"/>
      <w:lvlText w:val="%3."/>
      <w:lvlJc w:val="right"/>
      <w:pPr>
        <w:ind w:left="2821" w:hanging="180"/>
      </w:pPr>
    </w:lvl>
    <w:lvl w:ilvl="3" w:tplc="0416000F" w:tentative="1">
      <w:start w:val="1"/>
      <w:numFmt w:val="decimal"/>
      <w:lvlText w:val="%4."/>
      <w:lvlJc w:val="left"/>
      <w:pPr>
        <w:ind w:left="3541" w:hanging="360"/>
      </w:pPr>
    </w:lvl>
    <w:lvl w:ilvl="4" w:tplc="04160019" w:tentative="1">
      <w:start w:val="1"/>
      <w:numFmt w:val="lowerLetter"/>
      <w:lvlText w:val="%5."/>
      <w:lvlJc w:val="left"/>
      <w:pPr>
        <w:ind w:left="4261" w:hanging="360"/>
      </w:pPr>
    </w:lvl>
    <w:lvl w:ilvl="5" w:tplc="0416001B" w:tentative="1">
      <w:start w:val="1"/>
      <w:numFmt w:val="lowerRoman"/>
      <w:lvlText w:val="%6."/>
      <w:lvlJc w:val="right"/>
      <w:pPr>
        <w:ind w:left="4981" w:hanging="180"/>
      </w:pPr>
    </w:lvl>
    <w:lvl w:ilvl="6" w:tplc="0416000F" w:tentative="1">
      <w:start w:val="1"/>
      <w:numFmt w:val="decimal"/>
      <w:lvlText w:val="%7."/>
      <w:lvlJc w:val="left"/>
      <w:pPr>
        <w:ind w:left="5701" w:hanging="360"/>
      </w:pPr>
    </w:lvl>
    <w:lvl w:ilvl="7" w:tplc="04160019" w:tentative="1">
      <w:start w:val="1"/>
      <w:numFmt w:val="lowerLetter"/>
      <w:lvlText w:val="%8."/>
      <w:lvlJc w:val="left"/>
      <w:pPr>
        <w:ind w:left="6421" w:hanging="360"/>
      </w:pPr>
    </w:lvl>
    <w:lvl w:ilvl="8" w:tplc="0416001B" w:tentative="1">
      <w:start w:val="1"/>
      <w:numFmt w:val="lowerRoman"/>
      <w:lvlText w:val="%9."/>
      <w:lvlJc w:val="right"/>
      <w:pPr>
        <w:ind w:left="7141" w:hanging="180"/>
      </w:pPr>
    </w:lvl>
  </w:abstractNum>
  <w:abstractNum w:abstractNumId="1" w15:restartNumberingAfterBreak="0">
    <w:nsid w:val="35EA22DD"/>
    <w:multiLevelType w:val="multilevel"/>
    <w:tmpl w:val="699E68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05F5CFA"/>
    <w:multiLevelType w:val="multilevel"/>
    <w:tmpl w:val="DC4CECAA"/>
    <w:lvl w:ilvl="0">
      <w:start w:val="1"/>
      <w:numFmt w:val="decimal"/>
      <w:pStyle w:val="Ttulo1"/>
      <w:lvlText w:val="%1."/>
      <w:lvlJc w:val="left"/>
      <w:pPr>
        <w:ind w:left="360" w:hanging="360"/>
      </w:pPr>
    </w:lvl>
    <w:lvl w:ilvl="1">
      <w:start w:val="1"/>
      <w:numFmt w:val="decimal"/>
      <w:pStyle w:val="SubTtulo"/>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5C72C9C"/>
    <w:multiLevelType w:val="hybridMultilevel"/>
    <w:tmpl w:val="45DC5FF2"/>
    <w:lvl w:ilvl="0" w:tplc="D6B0976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5CB4E05"/>
    <w:multiLevelType w:val="multilevel"/>
    <w:tmpl w:val="FDCE788E"/>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97396363">
    <w:abstractNumId w:val="0"/>
  </w:num>
  <w:num w:numId="2" w16cid:durableId="1062556069">
    <w:abstractNumId w:val="1"/>
  </w:num>
  <w:num w:numId="3" w16cid:durableId="181164915">
    <w:abstractNumId w:val="3"/>
  </w:num>
  <w:num w:numId="4" w16cid:durableId="1396512664">
    <w:abstractNumId w:val="2"/>
  </w:num>
  <w:num w:numId="5" w16cid:durableId="1529679839">
    <w:abstractNumId w:val="4"/>
  </w:num>
  <w:num w:numId="6" w16cid:durableId="18312932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7AC"/>
    <w:rsid w:val="000144C5"/>
    <w:rsid w:val="00057782"/>
    <w:rsid w:val="00083177"/>
    <w:rsid w:val="0009631F"/>
    <w:rsid w:val="00175C0C"/>
    <w:rsid w:val="00187139"/>
    <w:rsid w:val="001D16D0"/>
    <w:rsid w:val="001E3329"/>
    <w:rsid w:val="00203D2F"/>
    <w:rsid w:val="00277290"/>
    <w:rsid w:val="00285866"/>
    <w:rsid w:val="002B7F65"/>
    <w:rsid w:val="002E268D"/>
    <w:rsid w:val="0030131D"/>
    <w:rsid w:val="003321A3"/>
    <w:rsid w:val="0038400B"/>
    <w:rsid w:val="003A4899"/>
    <w:rsid w:val="003B61DD"/>
    <w:rsid w:val="003D3323"/>
    <w:rsid w:val="003E2CD7"/>
    <w:rsid w:val="004308B6"/>
    <w:rsid w:val="0046192F"/>
    <w:rsid w:val="004624B5"/>
    <w:rsid w:val="00487B27"/>
    <w:rsid w:val="0049395D"/>
    <w:rsid w:val="00497D87"/>
    <w:rsid w:val="004B5AD7"/>
    <w:rsid w:val="005242BA"/>
    <w:rsid w:val="00542994"/>
    <w:rsid w:val="0054704C"/>
    <w:rsid w:val="005C75E2"/>
    <w:rsid w:val="005F733F"/>
    <w:rsid w:val="00602C76"/>
    <w:rsid w:val="00604556"/>
    <w:rsid w:val="00604BDE"/>
    <w:rsid w:val="00633D05"/>
    <w:rsid w:val="006A3DC8"/>
    <w:rsid w:val="006D39CE"/>
    <w:rsid w:val="006F52AC"/>
    <w:rsid w:val="00710934"/>
    <w:rsid w:val="007163BF"/>
    <w:rsid w:val="00756B68"/>
    <w:rsid w:val="007A2E9E"/>
    <w:rsid w:val="007C2170"/>
    <w:rsid w:val="007E5CA5"/>
    <w:rsid w:val="008020CE"/>
    <w:rsid w:val="00811508"/>
    <w:rsid w:val="00836A87"/>
    <w:rsid w:val="009478C6"/>
    <w:rsid w:val="009C2B4E"/>
    <w:rsid w:val="009E6FB6"/>
    <w:rsid w:val="009F5677"/>
    <w:rsid w:val="00A20480"/>
    <w:rsid w:val="00A419E3"/>
    <w:rsid w:val="00A43F97"/>
    <w:rsid w:val="00A576BD"/>
    <w:rsid w:val="00A749C7"/>
    <w:rsid w:val="00AA5CBF"/>
    <w:rsid w:val="00AB6461"/>
    <w:rsid w:val="00B22D0B"/>
    <w:rsid w:val="00B84DB3"/>
    <w:rsid w:val="00B92DFE"/>
    <w:rsid w:val="00BC0B27"/>
    <w:rsid w:val="00BF143B"/>
    <w:rsid w:val="00C01BDF"/>
    <w:rsid w:val="00C67ED3"/>
    <w:rsid w:val="00C954BE"/>
    <w:rsid w:val="00CC4457"/>
    <w:rsid w:val="00D02F0C"/>
    <w:rsid w:val="00D11886"/>
    <w:rsid w:val="00D7230D"/>
    <w:rsid w:val="00DB2F35"/>
    <w:rsid w:val="00DB3E78"/>
    <w:rsid w:val="00E65A0C"/>
    <w:rsid w:val="00E674DD"/>
    <w:rsid w:val="00E857AC"/>
    <w:rsid w:val="00EC74ED"/>
    <w:rsid w:val="00F17C9D"/>
    <w:rsid w:val="00F411BE"/>
    <w:rsid w:val="00F4776E"/>
    <w:rsid w:val="00F5155B"/>
    <w:rsid w:val="00F90D50"/>
    <w:rsid w:val="00F934A5"/>
    <w:rsid w:val="00FF52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B44E8"/>
  <w15:chartTrackingRefBased/>
  <w15:docId w15:val="{4636F9E5-4AF8-4D33-857E-8127EF265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68D"/>
    <w:pPr>
      <w:spacing w:line="360" w:lineRule="auto"/>
      <w:ind w:firstLine="709"/>
      <w:jc w:val="both"/>
    </w:pPr>
    <w:rPr>
      <w:rFonts w:ascii="Times New Roman" w:hAnsi="Times New Roman"/>
      <w:sz w:val="24"/>
    </w:rPr>
  </w:style>
  <w:style w:type="paragraph" w:styleId="Ttulo1">
    <w:name w:val="heading 1"/>
    <w:basedOn w:val="Normal"/>
    <w:next w:val="Normal"/>
    <w:link w:val="Ttulo1Char"/>
    <w:uiPriority w:val="9"/>
    <w:qFormat/>
    <w:rsid w:val="003D3323"/>
    <w:pPr>
      <w:keepNext/>
      <w:keepLines/>
      <w:numPr>
        <w:numId w:val="4"/>
      </w:numPr>
      <w:spacing w:before="240" w:after="0"/>
      <w:outlineLvl w:val="0"/>
    </w:pPr>
    <w:rPr>
      <w:rFonts w:eastAsiaTheme="majorEastAsia" w:cstheme="majorBidi"/>
      <w:b/>
      <w:szCs w:val="32"/>
    </w:rPr>
  </w:style>
  <w:style w:type="paragraph" w:styleId="Ttulo2">
    <w:name w:val="heading 2"/>
    <w:basedOn w:val="Normal"/>
    <w:next w:val="Normal"/>
    <w:link w:val="Ttulo2Char"/>
    <w:autoRedefine/>
    <w:uiPriority w:val="9"/>
    <w:unhideWhenUsed/>
    <w:rsid w:val="00203D2F"/>
    <w:pPr>
      <w:keepNext/>
      <w:keepLines/>
      <w:numPr>
        <w:ilvl w:val="1"/>
        <w:numId w:val="5"/>
      </w:numPr>
      <w:spacing w:before="120" w:after="120"/>
      <w:outlineLvl w:val="1"/>
    </w:pPr>
    <w:rPr>
      <w:rFonts w:eastAsiaTheme="majorEastAsia" w:cs="Times New Roman"/>
      <w:b/>
      <w:b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formatada">
    <w:name w:val="formatada"/>
    <w:basedOn w:val="Tabelanormal"/>
    <w:uiPriority w:val="99"/>
    <w:rsid w:val="00083177"/>
    <w:pPr>
      <w:spacing w:after="0" w:line="240" w:lineRule="auto"/>
      <w:jc w:val="center"/>
    </w:pPr>
    <w:rPr>
      <w:rFonts w:ascii="Times New Roman" w:hAnsi="Times New Roman"/>
      <w:sz w:val="24"/>
    </w:rPr>
    <w:tblPr>
      <w:tblBorders>
        <w:bottom w:val="single" w:sz="4" w:space="0" w:color="auto"/>
      </w:tblBorders>
    </w:tblPr>
    <w:tcPr>
      <w:vAlign w:val="center"/>
    </w:tcPr>
    <w:tblStylePr w:type="firstRow">
      <w:pPr>
        <w:jc w:val="center"/>
      </w:pPr>
      <w:rPr>
        <w:b/>
      </w:rPr>
      <w:tblPr/>
      <w:tcPr>
        <w:tcBorders>
          <w:top w:val="single" w:sz="4" w:space="0" w:color="auto"/>
          <w:left w:val="nil"/>
          <w:bottom w:val="single" w:sz="4" w:space="0" w:color="auto"/>
          <w:right w:val="nil"/>
          <w:insideH w:val="nil"/>
          <w:insideV w:val="nil"/>
        </w:tcBorders>
        <w:vAlign w:val="center"/>
      </w:tcPr>
    </w:tblStylePr>
    <w:tblStylePr w:type="lastRow">
      <w:rPr>
        <w:rFonts w:ascii="Times New Roman" w:hAnsi="Times New Roman"/>
      </w:rPr>
      <w:tblPr/>
      <w:tcPr>
        <w:tcBorders>
          <w:bottom w:val="single" w:sz="4" w:space="0" w:color="auto"/>
        </w:tcBorders>
      </w:tcPr>
    </w:tblStylePr>
    <w:tblStylePr w:type="firstCol">
      <w:pPr>
        <w:jc w:val="left"/>
      </w:pPr>
    </w:tblStylePr>
  </w:style>
  <w:style w:type="paragraph" w:styleId="Sumrio2">
    <w:name w:val="toc 2"/>
    <w:basedOn w:val="Normal"/>
    <w:autoRedefine/>
    <w:uiPriority w:val="39"/>
    <w:qFormat/>
    <w:rsid w:val="00710934"/>
    <w:pPr>
      <w:widowControl w:val="0"/>
      <w:pBdr>
        <w:top w:val="nil"/>
        <w:left w:val="nil"/>
        <w:bottom w:val="nil"/>
        <w:right w:val="nil"/>
        <w:between w:val="nil"/>
      </w:pBdr>
      <w:suppressAutoHyphens/>
      <w:overflowPunct w:val="0"/>
      <w:spacing w:after="0"/>
      <w:ind w:left="240"/>
    </w:pPr>
    <w:rPr>
      <w:rFonts w:eastAsia="Times New Roman" w:cstheme="minorHAnsi"/>
      <w:b/>
      <w:color w:val="00000A"/>
      <w:szCs w:val="20"/>
      <w:lang w:eastAsia="zh-CN" w:bidi="hi-IN"/>
    </w:rPr>
  </w:style>
  <w:style w:type="paragraph" w:styleId="Sumrio1">
    <w:name w:val="toc 1"/>
    <w:basedOn w:val="Sumrio2"/>
    <w:link w:val="Sumrio1Char"/>
    <w:autoRedefine/>
    <w:uiPriority w:val="39"/>
    <w:qFormat/>
    <w:rsid w:val="00710934"/>
    <w:rPr>
      <w:bCs/>
      <w:caps/>
      <w:smallCaps/>
      <w:color w:val="auto"/>
      <w:sz w:val="22"/>
    </w:rPr>
  </w:style>
  <w:style w:type="character" w:customStyle="1" w:styleId="Sumrio1Char">
    <w:name w:val="Sumário 1 Char"/>
    <w:basedOn w:val="Fontepargpadro"/>
    <w:link w:val="Sumrio1"/>
    <w:uiPriority w:val="39"/>
    <w:rsid w:val="00710934"/>
    <w:rPr>
      <w:rFonts w:ascii="Times New Roman" w:eastAsia="Times New Roman" w:hAnsi="Times New Roman" w:cstheme="minorHAnsi"/>
      <w:b/>
      <w:bCs/>
      <w:caps/>
      <w:smallCaps/>
      <w:szCs w:val="20"/>
      <w:lang w:eastAsia="zh-CN" w:bidi="hi-IN"/>
    </w:rPr>
  </w:style>
  <w:style w:type="paragraph" w:styleId="Sumrio3">
    <w:name w:val="toc 3"/>
    <w:basedOn w:val="Normal"/>
    <w:next w:val="Normal"/>
    <w:autoRedefine/>
    <w:uiPriority w:val="39"/>
    <w:unhideWhenUsed/>
    <w:qFormat/>
    <w:rsid w:val="00710934"/>
    <w:pPr>
      <w:widowControl w:val="0"/>
      <w:pBdr>
        <w:top w:val="nil"/>
        <w:left w:val="nil"/>
        <w:bottom w:val="nil"/>
        <w:right w:val="nil"/>
        <w:between w:val="nil"/>
      </w:pBdr>
      <w:suppressAutoHyphens/>
      <w:overflowPunct w:val="0"/>
      <w:spacing w:after="0"/>
      <w:ind w:left="567"/>
    </w:pPr>
    <w:rPr>
      <w:rFonts w:eastAsia="Times New Roman" w:cstheme="minorHAnsi"/>
      <w:b/>
      <w:iCs/>
      <w:color w:val="00000A"/>
      <w:szCs w:val="20"/>
      <w:lang w:eastAsia="zh-CN" w:bidi="hi-IN"/>
    </w:rPr>
  </w:style>
  <w:style w:type="paragraph" w:customStyle="1" w:styleId="SubTtulo">
    <w:name w:val="SubTítulo"/>
    <w:basedOn w:val="Ttulo1"/>
    <w:next w:val="Corpodetexto"/>
    <w:link w:val="SubTtuloCarter"/>
    <w:qFormat/>
    <w:rsid w:val="00A419E3"/>
    <w:pPr>
      <w:numPr>
        <w:ilvl w:val="1"/>
      </w:numPr>
    </w:pPr>
  </w:style>
  <w:style w:type="character" w:customStyle="1" w:styleId="SubTtuloCarter">
    <w:name w:val="SubTítulo Caráter"/>
    <w:basedOn w:val="Ttulo1Char"/>
    <w:link w:val="SubTtulo"/>
    <w:rsid w:val="00A419E3"/>
    <w:rPr>
      <w:rFonts w:ascii="Times New Roman" w:eastAsiaTheme="majorEastAsia" w:hAnsi="Times New Roman" w:cstheme="majorBidi"/>
      <w:b/>
      <w:sz w:val="24"/>
      <w:szCs w:val="32"/>
    </w:rPr>
  </w:style>
  <w:style w:type="character" w:customStyle="1" w:styleId="Ttulo1Char">
    <w:name w:val="Título 1 Char"/>
    <w:basedOn w:val="Fontepargpadro"/>
    <w:link w:val="Ttulo1"/>
    <w:uiPriority w:val="9"/>
    <w:rsid w:val="003D3323"/>
    <w:rPr>
      <w:rFonts w:ascii="Times New Roman" w:eastAsiaTheme="majorEastAsia" w:hAnsi="Times New Roman" w:cstheme="majorBidi"/>
      <w:b/>
      <w:sz w:val="24"/>
      <w:szCs w:val="32"/>
    </w:rPr>
  </w:style>
  <w:style w:type="paragraph" w:styleId="Corpodetexto">
    <w:name w:val="Body Text"/>
    <w:basedOn w:val="Normal"/>
    <w:link w:val="CorpodetextoChar"/>
    <w:uiPriority w:val="99"/>
    <w:unhideWhenUsed/>
    <w:rsid w:val="0038400B"/>
    <w:pPr>
      <w:spacing w:after="120"/>
    </w:pPr>
  </w:style>
  <w:style w:type="character" w:customStyle="1" w:styleId="CorpodetextoChar">
    <w:name w:val="Corpo de texto Char"/>
    <w:basedOn w:val="Fontepargpadro"/>
    <w:link w:val="Corpodetexto"/>
    <w:uiPriority w:val="99"/>
    <w:rsid w:val="0038400B"/>
  </w:style>
  <w:style w:type="character" w:customStyle="1" w:styleId="Ttulo2Char">
    <w:name w:val="Título 2 Char"/>
    <w:basedOn w:val="Fontepargpadro"/>
    <w:link w:val="Ttulo2"/>
    <w:uiPriority w:val="9"/>
    <w:rsid w:val="00203D2F"/>
    <w:rPr>
      <w:rFonts w:ascii="Times New Roman" w:eastAsiaTheme="majorEastAsia" w:hAnsi="Times New Roman" w:cs="Times New Roman"/>
      <w:b/>
      <w:bCs/>
      <w:sz w:val="24"/>
    </w:rPr>
  </w:style>
  <w:style w:type="paragraph" w:styleId="ndicedeilustraes">
    <w:name w:val="table of figures"/>
    <w:basedOn w:val="Normal"/>
    <w:next w:val="Normal"/>
    <w:autoRedefine/>
    <w:uiPriority w:val="99"/>
    <w:semiHidden/>
    <w:unhideWhenUsed/>
    <w:rsid w:val="005C75E2"/>
    <w:pPr>
      <w:widowControl w:val="0"/>
      <w:autoSpaceDE w:val="0"/>
      <w:autoSpaceDN w:val="0"/>
      <w:spacing w:after="0" w:line="240" w:lineRule="auto"/>
    </w:pPr>
    <w:rPr>
      <w:rFonts w:ascii="Arial" w:eastAsia="Arial MT" w:hAnsi="Arial" w:cs="Arial MT"/>
    </w:rPr>
  </w:style>
  <w:style w:type="table" w:customStyle="1" w:styleId="Estilo1">
    <w:name w:val="Estilo1"/>
    <w:basedOn w:val="Tabelanormal"/>
    <w:uiPriority w:val="99"/>
    <w:rsid w:val="00D7230D"/>
    <w:pPr>
      <w:spacing w:after="0" w:line="240" w:lineRule="auto"/>
    </w:pPr>
    <w:rPr>
      <w:kern w:val="2"/>
      <w14:ligatures w14:val="standardContextual"/>
    </w:rPr>
    <w:tblPr>
      <w:tblBorders>
        <w:top w:val="single" w:sz="4" w:space="0" w:color="auto"/>
        <w:bottom w:val="single" w:sz="4" w:space="0" w:color="auto"/>
      </w:tblBorders>
    </w:tblPr>
  </w:style>
  <w:style w:type="paragraph" w:styleId="Ttulo">
    <w:name w:val="Title"/>
    <w:basedOn w:val="Normal"/>
    <w:next w:val="Normal"/>
    <w:link w:val="TtuloChar"/>
    <w:uiPriority w:val="10"/>
    <w:qFormat/>
    <w:rsid w:val="00203D2F"/>
    <w:pPr>
      <w:spacing w:after="0" w:line="240" w:lineRule="auto"/>
      <w:contextualSpacing/>
    </w:pPr>
    <w:rPr>
      <w:rFonts w:eastAsiaTheme="majorEastAsia" w:cs="Times New Roman"/>
      <w:b/>
      <w:bCs/>
      <w:spacing w:val="-10"/>
      <w:kern w:val="28"/>
      <w:szCs w:val="24"/>
    </w:rPr>
  </w:style>
  <w:style w:type="character" w:customStyle="1" w:styleId="TtuloChar">
    <w:name w:val="Título Char"/>
    <w:basedOn w:val="Fontepargpadro"/>
    <w:link w:val="Ttulo"/>
    <w:uiPriority w:val="10"/>
    <w:rsid w:val="00203D2F"/>
    <w:rPr>
      <w:rFonts w:ascii="Times New Roman" w:eastAsiaTheme="majorEastAsia" w:hAnsi="Times New Roman" w:cs="Times New Roman"/>
      <w:b/>
      <w:bCs/>
      <w:spacing w:val="-10"/>
      <w:kern w:val="28"/>
      <w:sz w:val="24"/>
      <w:szCs w:val="24"/>
    </w:rPr>
  </w:style>
  <w:style w:type="paragraph" w:styleId="SemEspaamento">
    <w:name w:val="No Spacing"/>
    <w:uiPriority w:val="1"/>
    <w:qFormat/>
    <w:rsid w:val="001D16D0"/>
    <w:pPr>
      <w:spacing w:after="0" w:line="240" w:lineRule="auto"/>
    </w:pPr>
    <w:rPr>
      <w:rFonts w:ascii="Times New Roman" w:hAnsi="Times New Roman"/>
      <w:sz w:val="24"/>
    </w:rPr>
  </w:style>
  <w:style w:type="paragraph" w:customStyle="1" w:styleId="CSR">
    <w:name w:val="CSR"/>
    <w:basedOn w:val="Ttulo"/>
    <w:link w:val="CSRChar"/>
    <w:qFormat/>
    <w:rsid w:val="00542994"/>
    <w:pPr>
      <w:spacing w:line="360" w:lineRule="auto"/>
    </w:pPr>
    <w:rPr>
      <w:b w:val="0"/>
      <w:bCs w:val="0"/>
      <w:color w:val="FF0000"/>
    </w:rPr>
  </w:style>
  <w:style w:type="paragraph" w:customStyle="1" w:styleId="UNIVERSITRIOS">
    <w:name w:val="UNIVERSITÁRIOS"/>
    <w:basedOn w:val="Normal"/>
    <w:link w:val="UNIVERSITRIOSChar"/>
    <w:qFormat/>
    <w:rsid w:val="00542994"/>
    <w:pPr>
      <w:ind w:firstLine="708"/>
    </w:pPr>
    <w:rPr>
      <w:color w:val="4472C4" w:themeColor="accent1"/>
    </w:rPr>
  </w:style>
  <w:style w:type="character" w:customStyle="1" w:styleId="CSRChar">
    <w:name w:val="CSR Char"/>
    <w:basedOn w:val="TtuloChar"/>
    <w:link w:val="CSR"/>
    <w:rsid w:val="00542994"/>
    <w:rPr>
      <w:rFonts w:ascii="Times New Roman" w:eastAsiaTheme="majorEastAsia" w:hAnsi="Times New Roman" w:cs="Times New Roman"/>
      <w:b w:val="0"/>
      <w:bCs w:val="0"/>
      <w:color w:val="FF0000"/>
      <w:spacing w:val="-10"/>
      <w:kern w:val="28"/>
      <w:sz w:val="24"/>
      <w:szCs w:val="24"/>
    </w:rPr>
  </w:style>
  <w:style w:type="paragraph" w:customStyle="1" w:styleId="lcool">
    <w:name w:val="Álcool"/>
    <w:basedOn w:val="UNIVERSITRIOS"/>
    <w:link w:val="lcoolChar"/>
    <w:qFormat/>
    <w:rsid w:val="00542994"/>
  </w:style>
  <w:style w:type="character" w:customStyle="1" w:styleId="UNIVERSITRIOSChar">
    <w:name w:val="UNIVERSITÁRIOS Char"/>
    <w:basedOn w:val="CSRChar"/>
    <w:link w:val="UNIVERSITRIOS"/>
    <w:rsid w:val="00542994"/>
    <w:rPr>
      <w:rFonts w:ascii="Times New Roman" w:eastAsiaTheme="majorEastAsia" w:hAnsi="Times New Roman" w:cs="Times New Roman"/>
      <w:b w:val="0"/>
      <w:bCs w:val="0"/>
      <w:color w:val="4472C4" w:themeColor="accent1"/>
      <w:spacing w:val="-10"/>
      <w:kern w:val="28"/>
      <w:sz w:val="24"/>
      <w:szCs w:val="24"/>
    </w:rPr>
  </w:style>
  <w:style w:type="paragraph" w:customStyle="1" w:styleId="link">
    <w:name w:val="link"/>
    <w:basedOn w:val="Normal"/>
    <w:link w:val="linkChar"/>
    <w:qFormat/>
    <w:rsid w:val="00542994"/>
    <w:pPr>
      <w:ind w:firstLine="708"/>
    </w:pPr>
    <w:rPr>
      <w:color w:val="7030A0"/>
    </w:rPr>
  </w:style>
  <w:style w:type="character" w:customStyle="1" w:styleId="lcoolChar">
    <w:name w:val="Álcool Char"/>
    <w:basedOn w:val="UNIVERSITRIOSChar"/>
    <w:link w:val="lcool"/>
    <w:rsid w:val="00542994"/>
    <w:rPr>
      <w:rFonts w:ascii="Times New Roman" w:eastAsiaTheme="majorEastAsia" w:hAnsi="Times New Roman" w:cs="Times New Roman"/>
      <w:b w:val="0"/>
      <w:bCs w:val="0"/>
      <w:color w:val="4472C4" w:themeColor="accent1"/>
      <w:spacing w:val="-10"/>
      <w:kern w:val="28"/>
      <w:sz w:val="24"/>
      <w:szCs w:val="24"/>
    </w:rPr>
  </w:style>
  <w:style w:type="character" w:customStyle="1" w:styleId="linkChar">
    <w:name w:val="link Char"/>
    <w:basedOn w:val="Fontepargpadro"/>
    <w:link w:val="link"/>
    <w:rsid w:val="00542994"/>
    <w:rPr>
      <w:rFonts w:ascii="Times New Roman" w:hAnsi="Times New Roman"/>
      <w:color w:val="7030A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24255">
      <w:bodyDiv w:val="1"/>
      <w:marLeft w:val="0"/>
      <w:marRight w:val="0"/>
      <w:marTop w:val="0"/>
      <w:marBottom w:val="0"/>
      <w:divBdr>
        <w:top w:val="none" w:sz="0" w:space="0" w:color="auto"/>
        <w:left w:val="none" w:sz="0" w:space="0" w:color="auto"/>
        <w:bottom w:val="none" w:sz="0" w:space="0" w:color="auto"/>
        <w:right w:val="none" w:sz="0" w:space="0" w:color="auto"/>
      </w:divBdr>
    </w:div>
    <w:div w:id="380831624">
      <w:bodyDiv w:val="1"/>
      <w:marLeft w:val="0"/>
      <w:marRight w:val="0"/>
      <w:marTop w:val="0"/>
      <w:marBottom w:val="0"/>
      <w:divBdr>
        <w:top w:val="none" w:sz="0" w:space="0" w:color="auto"/>
        <w:left w:val="none" w:sz="0" w:space="0" w:color="auto"/>
        <w:bottom w:val="none" w:sz="0" w:space="0" w:color="auto"/>
        <w:right w:val="none" w:sz="0" w:space="0" w:color="auto"/>
      </w:divBdr>
      <w:divsChild>
        <w:div w:id="431783769">
          <w:marLeft w:val="480"/>
          <w:marRight w:val="0"/>
          <w:marTop w:val="0"/>
          <w:marBottom w:val="0"/>
          <w:divBdr>
            <w:top w:val="none" w:sz="0" w:space="0" w:color="auto"/>
            <w:left w:val="none" w:sz="0" w:space="0" w:color="auto"/>
            <w:bottom w:val="none" w:sz="0" w:space="0" w:color="auto"/>
            <w:right w:val="none" w:sz="0" w:space="0" w:color="auto"/>
          </w:divBdr>
          <w:divsChild>
            <w:div w:id="21172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7624">
      <w:bodyDiv w:val="1"/>
      <w:marLeft w:val="0"/>
      <w:marRight w:val="0"/>
      <w:marTop w:val="0"/>
      <w:marBottom w:val="0"/>
      <w:divBdr>
        <w:top w:val="none" w:sz="0" w:space="0" w:color="auto"/>
        <w:left w:val="none" w:sz="0" w:space="0" w:color="auto"/>
        <w:bottom w:val="none" w:sz="0" w:space="0" w:color="auto"/>
        <w:right w:val="none" w:sz="0" w:space="0" w:color="auto"/>
      </w:divBdr>
    </w:div>
    <w:div w:id="546112007">
      <w:bodyDiv w:val="1"/>
      <w:marLeft w:val="0"/>
      <w:marRight w:val="0"/>
      <w:marTop w:val="0"/>
      <w:marBottom w:val="0"/>
      <w:divBdr>
        <w:top w:val="none" w:sz="0" w:space="0" w:color="auto"/>
        <w:left w:val="none" w:sz="0" w:space="0" w:color="auto"/>
        <w:bottom w:val="none" w:sz="0" w:space="0" w:color="auto"/>
        <w:right w:val="none" w:sz="0" w:space="0" w:color="auto"/>
      </w:divBdr>
    </w:div>
    <w:div w:id="951857320">
      <w:bodyDiv w:val="1"/>
      <w:marLeft w:val="0"/>
      <w:marRight w:val="0"/>
      <w:marTop w:val="0"/>
      <w:marBottom w:val="0"/>
      <w:divBdr>
        <w:top w:val="none" w:sz="0" w:space="0" w:color="auto"/>
        <w:left w:val="none" w:sz="0" w:space="0" w:color="auto"/>
        <w:bottom w:val="none" w:sz="0" w:space="0" w:color="auto"/>
        <w:right w:val="none" w:sz="0" w:space="0" w:color="auto"/>
      </w:divBdr>
    </w:div>
    <w:div w:id="1028145256">
      <w:bodyDiv w:val="1"/>
      <w:marLeft w:val="0"/>
      <w:marRight w:val="0"/>
      <w:marTop w:val="0"/>
      <w:marBottom w:val="0"/>
      <w:divBdr>
        <w:top w:val="none" w:sz="0" w:space="0" w:color="auto"/>
        <w:left w:val="none" w:sz="0" w:space="0" w:color="auto"/>
        <w:bottom w:val="none" w:sz="0" w:space="0" w:color="auto"/>
        <w:right w:val="none" w:sz="0" w:space="0" w:color="auto"/>
      </w:divBdr>
    </w:div>
    <w:div w:id="1788740636">
      <w:bodyDiv w:val="1"/>
      <w:marLeft w:val="0"/>
      <w:marRight w:val="0"/>
      <w:marTop w:val="0"/>
      <w:marBottom w:val="0"/>
      <w:divBdr>
        <w:top w:val="none" w:sz="0" w:space="0" w:color="auto"/>
        <w:left w:val="none" w:sz="0" w:space="0" w:color="auto"/>
        <w:bottom w:val="none" w:sz="0" w:space="0" w:color="auto"/>
        <w:right w:val="none" w:sz="0" w:space="0" w:color="auto"/>
      </w:divBdr>
    </w:div>
    <w:div w:id="1929383663">
      <w:bodyDiv w:val="1"/>
      <w:marLeft w:val="0"/>
      <w:marRight w:val="0"/>
      <w:marTop w:val="0"/>
      <w:marBottom w:val="0"/>
      <w:divBdr>
        <w:top w:val="none" w:sz="0" w:space="0" w:color="auto"/>
        <w:left w:val="none" w:sz="0" w:space="0" w:color="auto"/>
        <w:bottom w:val="none" w:sz="0" w:space="0" w:color="auto"/>
        <w:right w:val="none" w:sz="0" w:space="0" w:color="auto"/>
      </w:divBdr>
    </w:div>
    <w:div w:id="212102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3254</TotalTime>
  <Pages>9</Pages>
  <Words>11908</Words>
  <Characters>64305</Characters>
  <Application>Microsoft Office Word</Application>
  <DocSecurity>0</DocSecurity>
  <Lines>535</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 Figueiredo</dc:creator>
  <cp:keywords/>
  <dc:description/>
  <cp:lastModifiedBy>Winter Figueiredo</cp:lastModifiedBy>
  <cp:revision>41</cp:revision>
  <dcterms:created xsi:type="dcterms:W3CDTF">2023-08-12T01:09:00Z</dcterms:created>
  <dcterms:modified xsi:type="dcterms:W3CDTF">2023-08-28T14:07:00Z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id="Pc8bk35t"/&gt;&lt;style id="http://www.zotero.org/styles/associacao-brasileira-de-normas-tecnicas" hasBibliography="1" bibliographyStyleHasBeenSet="0"/&gt;&lt;prefs&gt;&lt;pref name="fieldType" value="Field"/&gt;&lt;/pr</vt:lpwstr>
  </property>
  <property fmtid="{D5CDD505-2E9C-101B-9397-08002B2CF9AE}" pid="3" name="ZOTERO_PREF_2">
    <vt:lpwstr>efs&gt;&lt;/data&gt;</vt:lpwstr>
  </property>
</Properties>
</file>