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834E77" w14:textId="77777777" w:rsidR="00A9131E" w:rsidRPr="00A9131E" w:rsidRDefault="00A9131E" w:rsidP="00A9131E">
      <w:pPr>
        <w:jc w:val="both"/>
      </w:pPr>
      <w:r w:rsidRPr="00A9131E">
        <w:t xml:space="preserve">El análisis de la desigualdad socioeconómica requiere la integración de múltiples fuentes de información que permitan capturar tanto la estructura territorial como las condiciones específicas de la población. En este contexto, el presente estudio compara los resultados obtenidos a partir de un modelo de </w:t>
      </w:r>
      <w:proofErr w:type="spellStart"/>
      <w:r w:rsidRPr="00A9131E">
        <w:t>clustering</w:t>
      </w:r>
      <w:proofErr w:type="spellEnd"/>
      <w:r w:rsidRPr="00A9131E">
        <w:t xml:space="preserve"> basado en el Censo Nacional de Población y Vivienda 2018, con indicadores del Índice de Pobreza Multidimensional (IPM) y la Gran Encuesta Integrada de Hogares (GEIH).</w:t>
      </w:r>
    </w:p>
    <w:p w14:paraId="3A65D87D" w14:textId="77777777" w:rsidR="00A9131E" w:rsidRDefault="00A9131E" w:rsidP="00A9131E">
      <w:pPr>
        <w:jc w:val="both"/>
      </w:pPr>
      <w:r w:rsidRPr="00A9131E">
        <w:t xml:space="preserve">El objetivo principal es evaluar la consistencia de los patrones identificados en el modelo de </w:t>
      </w:r>
      <w:proofErr w:type="spellStart"/>
      <w:r w:rsidRPr="00A9131E">
        <w:t>clustering</w:t>
      </w:r>
      <w:proofErr w:type="spellEnd"/>
      <w:r w:rsidRPr="00A9131E">
        <w:t>, contrastándolos con fuentes oficiales tanto de carácter censal como muestral, a diferentes niveles de agregación territorial.</w:t>
      </w:r>
    </w:p>
    <w:p w14:paraId="5EB28F04" w14:textId="77777777" w:rsidR="00A9131E" w:rsidRDefault="00A9131E" w:rsidP="00A9131E">
      <w:pPr>
        <w:jc w:val="both"/>
      </w:pPr>
    </w:p>
    <w:p w14:paraId="4F532014" w14:textId="77777777" w:rsidR="00A9131E" w:rsidRPr="00A9131E" w:rsidRDefault="00A9131E" w:rsidP="00A9131E">
      <w:pPr>
        <w:jc w:val="both"/>
      </w:pPr>
    </w:p>
    <w:p w14:paraId="79DCD14C" w14:textId="77777777" w:rsidR="00A9131E" w:rsidRPr="00A9131E" w:rsidRDefault="00A9131E" w:rsidP="00A9131E">
      <w:pPr>
        <w:rPr>
          <w:b/>
          <w:bCs/>
        </w:rPr>
      </w:pPr>
      <w:r w:rsidRPr="00A9131E">
        <w:rPr>
          <w:b/>
          <w:bCs/>
        </w:rPr>
        <w:t>Fuentes de información</w:t>
      </w:r>
    </w:p>
    <w:p w14:paraId="2756392C" w14:textId="1F5A3078" w:rsidR="00A9131E" w:rsidRPr="00A9131E" w:rsidRDefault="00A9131E" w:rsidP="00A9131E">
      <w:pPr>
        <w:rPr>
          <w:b/>
          <w:bCs/>
        </w:rPr>
      </w:pPr>
      <w:r w:rsidRPr="00A9131E">
        <w:rPr>
          <w:b/>
          <w:bCs/>
        </w:rPr>
        <w:t>Censo DANE 2018 (</w:t>
      </w:r>
      <w:proofErr w:type="spellStart"/>
      <w:r w:rsidRPr="00A9131E">
        <w:rPr>
          <w:b/>
          <w:bCs/>
        </w:rPr>
        <w:t>Clusters</w:t>
      </w:r>
      <w:proofErr w:type="spellEnd"/>
      <w:r w:rsidRPr="00A9131E">
        <w:rPr>
          <w:b/>
          <w:bCs/>
        </w:rPr>
        <w:t>)</w:t>
      </w:r>
    </w:p>
    <w:p w14:paraId="31DC2613" w14:textId="77777777" w:rsidR="00A9131E" w:rsidRPr="00A9131E" w:rsidRDefault="00A9131E" w:rsidP="00A9131E">
      <w:pPr>
        <w:numPr>
          <w:ilvl w:val="0"/>
          <w:numId w:val="1"/>
        </w:numPr>
      </w:pPr>
      <w:r w:rsidRPr="00A9131E">
        <w:t xml:space="preserve">Nivel: </w:t>
      </w:r>
      <w:r w:rsidRPr="00A9131E">
        <w:rPr>
          <w:b/>
          <w:bCs/>
        </w:rPr>
        <w:t>Manzana</w:t>
      </w:r>
      <w:r w:rsidRPr="00A9131E">
        <w:t xml:space="preserve"> </w:t>
      </w:r>
    </w:p>
    <w:p w14:paraId="65AD7F9E" w14:textId="77777777" w:rsidR="00A9131E" w:rsidRPr="00A9131E" w:rsidRDefault="00A9131E" w:rsidP="00A9131E">
      <w:pPr>
        <w:numPr>
          <w:ilvl w:val="0"/>
          <w:numId w:val="1"/>
        </w:numPr>
      </w:pPr>
      <w:r w:rsidRPr="00A9131E">
        <w:t xml:space="preserve">Tipo: </w:t>
      </w:r>
      <w:r w:rsidRPr="00A9131E">
        <w:rPr>
          <w:b/>
          <w:bCs/>
        </w:rPr>
        <w:t>Censal (universo)</w:t>
      </w:r>
      <w:r w:rsidRPr="00A9131E">
        <w:t xml:space="preserve"> </w:t>
      </w:r>
    </w:p>
    <w:p w14:paraId="4C05ACA2" w14:textId="77777777" w:rsidR="00A9131E" w:rsidRPr="00A9131E" w:rsidRDefault="00A9131E" w:rsidP="00A9131E">
      <w:pPr>
        <w:numPr>
          <w:ilvl w:val="0"/>
          <w:numId w:val="1"/>
        </w:numPr>
      </w:pPr>
      <w:r w:rsidRPr="00A9131E">
        <w:t xml:space="preserve">Uso: Construcción del modelo de </w:t>
      </w:r>
      <w:proofErr w:type="spellStart"/>
      <w:r w:rsidRPr="00A9131E">
        <w:t>clustering</w:t>
      </w:r>
      <w:proofErr w:type="spellEnd"/>
      <w:r w:rsidRPr="00A9131E">
        <w:t xml:space="preserve"> </w:t>
      </w:r>
    </w:p>
    <w:p w14:paraId="10BCB3B2" w14:textId="77777777" w:rsidR="00A9131E" w:rsidRPr="00A9131E" w:rsidRDefault="00A9131E" w:rsidP="00A9131E">
      <w:pPr>
        <w:numPr>
          <w:ilvl w:val="0"/>
          <w:numId w:val="1"/>
        </w:numPr>
      </w:pPr>
      <w:r w:rsidRPr="00A9131E">
        <w:t xml:space="preserve">Cobertura: Total población </w:t>
      </w:r>
    </w:p>
    <w:p w14:paraId="32467C45" w14:textId="77777777" w:rsidR="00A9131E" w:rsidRPr="00A9131E" w:rsidRDefault="00A9131E" w:rsidP="00A9131E">
      <w:pPr>
        <w:rPr>
          <w:b/>
          <w:bCs/>
        </w:rPr>
      </w:pPr>
      <w:r w:rsidRPr="00A9131E">
        <w:rPr>
          <w:b/>
          <w:bCs/>
        </w:rPr>
        <w:t>2.2 Índice de Pobreza Multidimensional (IPM)</w:t>
      </w:r>
    </w:p>
    <w:p w14:paraId="551A3D47" w14:textId="77777777" w:rsidR="00A9131E" w:rsidRPr="00A9131E" w:rsidRDefault="00A9131E" w:rsidP="00A9131E">
      <w:pPr>
        <w:numPr>
          <w:ilvl w:val="0"/>
          <w:numId w:val="2"/>
        </w:numPr>
      </w:pPr>
      <w:r w:rsidRPr="00A9131E">
        <w:t xml:space="preserve">Nivel: </w:t>
      </w:r>
      <w:r w:rsidRPr="00A9131E">
        <w:rPr>
          <w:b/>
          <w:bCs/>
        </w:rPr>
        <w:t>Departamento</w:t>
      </w:r>
      <w:r w:rsidRPr="00A9131E">
        <w:t xml:space="preserve"> </w:t>
      </w:r>
    </w:p>
    <w:p w14:paraId="6AADC14E" w14:textId="77777777" w:rsidR="00A9131E" w:rsidRPr="00A9131E" w:rsidRDefault="00A9131E" w:rsidP="00A9131E">
      <w:pPr>
        <w:numPr>
          <w:ilvl w:val="0"/>
          <w:numId w:val="2"/>
        </w:numPr>
      </w:pPr>
      <w:r w:rsidRPr="00A9131E">
        <w:t xml:space="preserve">Tipo: </w:t>
      </w:r>
      <w:r w:rsidRPr="00A9131E">
        <w:rPr>
          <w:b/>
          <w:bCs/>
        </w:rPr>
        <w:t>Agregado oficial</w:t>
      </w:r>
      <w:r w:rsidRPr="00A9131E">
        <w:t xml:space="preserve"> </w:t>
      </w:r>
    </w:p>
    <w:p w14:paraId="26DDB87C" w14:textId="77777777" w:rsidR="00A9131E" w:rsidRPr="00A9131E" w:rsidRDefault="00A9131E" w:rsidP="00A9131E">
      <w:pPr>
        <w:numPr>
          <w:ilvl w:val="0"/>
          <w:numId w:val="2"/>
        </w:numPr>
      </w:pPr>
      <w:r w:rsidRPr="00A9131E">
        <w:t xml:space="preserve">Uso: Validación estructural </w:t>
      </w:r>
    </w:p>
    <w:p w14:paraId="22FB3D26" w14:textId="77777777" w:rsidR="00A9131E" w:rsidRPr="00A9131E" w:rsidRDefault="00A9131E" w:rsidP="00A9131E">
      <w:pPr>
        <w:numPr>
          <w:ilvl w:val="0"/>
          <w:numId w:val="2"/>
        </w:numPr>
      </w:pPr>
      <w:r w:rsidRPr="00A9131E">
        <w:t xml:space="preserve">Dimensiones: </w:t>
      </w:r>
    </w:p>
    <w:p w14:paraId="1B6594F4" w14:textId="77777777" w:rsidR="00A9131E" w:rsidRPr="00A9131E" w:rsidRDefault="00A9131E" w:rsidP="00A9131E">
      <w:pPr>
        <w:numPr>
          <w:ilvl w:val="1"/>
          <w:numId w:val="2"/>
        </w:numPr>
      </w:pPr>
      <w:r w:rsidRPr="00A9131E">
        <w:t xml:space="preserve">Educación </w:t>
      </w:r>
    </w:p>
    <w:p w14:paraId="23100652" w14:textId="77777777" w:rsidR="00A9131E" w:rsidRPr="00A9131E" w:rsidRDefault="00A9131E" w:rsidP="00A9131E">
      <w:pPr>
        <w:numPr>
          <w:ilvl w:val="1"/>
          <w:numId w:val="2"/>
        </w:numPr>
      </w:pPr>
      <w:r w:rsidRPr="00A9131E">
        <w:t xml:space="preserve">Salud </w:t>
      </w:r>
    </w:p>
    <w:p w14:paraId="38CF3BAD" w14:textId="77777777" w:rsidR="00A9131E" w:rsidRPr="00A9131E" w:rsidRDefault="00A9131E" w:rsidP="00A9131E">
      <w:pPr>
        <w:numPr>
          <w:ilvl w:val="1"/>
          <w:numId w:val="2"/>
        </w:numPr>
      </w:pPr>
      <w:r w:rsidRPr="00A9131E">
        <w:t xml:space="preserve">Trabajo </w:t>
      </w:r>
    </w:p>
    <w:p w14:paraId="0131250F" w14:textId="77777777" w:rsidR="00A9131E" w:rsidRPr="00A9131E" w:rsidRDefault="00A9131E" w:rsidP="00A9131E">
      <w:pPr>
        <w:numPr>
          <w:ilvl w:val="1"/>
          <w:numId w:val="2"/>
        </w:numPr>
      </w:pPr>
      <w:r w:rsidRPr="00A9131E">
        <w:t xml:space="preserve">Condiciones de vivienda </w:t>
      </w:r>
    </w:p>
    <w:p w14:paraId="55674F52" w14:textId="77777777" w:rsidR="00A9131E" w:rsidRPr="00A9131E" w:rsidRDefault="00A9131E" w:rsidP="00A9131E">
      <w:pPr>
        <w:numPr>
          <w:ilvl w:val="1"/>
          <w:numId w:val="2"/>
        </w:numPr>
      </w:pPr>
      <w:r w:rsidRPr="00A9131E">
        <w:t xml:space="preserve">Servicios públicos </w:t>
      </w:r>
    </w:p>
    <w:p w14:paraId="775AD055" w14:textId="77777777" w:rsidR="00A9131E" w:rsidRPr="00A9131E" w:rsidRDefault="00A9131E" w:rsidP="00A9131E">
      <w:pPr>
        <w:rPr>
          <w:b/>
          <w:bCs/>
        </w:rPr>
      </w:pPr>
      <w:r w:rsidRPr="00A9131E">
        <w:rPr>
          <w:b/>
          <w:bCs/>
        </w:rPr>
        <w:t>2.3 GEIH 2018</w:t>
      </w:r>
    </w:p>
    <w:p w14:paraId="71F7467C" w14:textId="77777777" w:rsidR="00A9131E" w:rsidRPr="00A9131E" w:rsidRDefault="00A9131E" w:rsidP="00A9131E">
      <w:pPr>
        <w:numPr>
          <w:ilvl w:val="0"/>
          <w:numId w:val="3"/>
        </w:numPr>
      </w:pPr>
      <w:r w:rsidRPr="00A9131E">
        <w:t xml:space="preserve">Nivel: </w:t>
      </w:r>
      <w:r w:rsidRPr="00A9131E">
        <w:rPr>
          <w:b/>
          <w:bCs/>
        </w:rPr>
        <w:t>Ciudad (cabecera)</w:t>
      </w:r>
      <w:r w:rsidRPr="00A9131E">
        <w:t xml:space="preserve"> </w:t>
      </w:r>
    </w:p>
    <w:p w14:paraId="3657FBC2" w14:textId="77777777" w:rsidR="00A9131E" w:rsidRPr="00A9131E" w:rsidRDefault="00A9131E" w:rsidP="00A9131E">
      <w:pPr>
        <w:numPr>
          <w:ilvl w:val="0"/>
          <w:numId w:val="3"/>
        </w:numPr>
      </w:pPr>
      <w:r w:rsidRPr="00A9131E">
        <w:t xml:space="preserve">Tipo: </w:t>
      </w:r>
      <w:r w:rsidRPr="00A9131E">
        <w:rPr>
          <w:b/>
          <w:bCs/>
        </w:rPr>
        <w:t>Muestral</w:t>
      </w:r>
      <w:r w:rsidRPr="00A9131E">
        <w:t xml:space="preserve"> </w:t>
      </w:r>
    </w:p>
    <w:p w14:paraId="68620CED" w14:textId="77777777" w:rsidR="00A9131E" w:rsidRPr="00A9131E" w:rsidRDefault="00A9131E" w:rsidP="00A9131E">
      <w:pPr>
        <w:numPr>
          <w:ilvl w:val="0"/>
          <w:numId w:val="3"/>
        </w:numPr>
      </w:pPr>
      <w:r w:rsidRPr="00A9131E">
        <w:t xml:space="preserve">Uso: Validación socioeconómica </w:t>
      </w:r>
    </w:p>
    <w:p w14:paraId="1496DCEE" w14:textId="77777777" w:rsidR="00A9131E" w:rsidRPr="00A9131E" w:rsidRDefault="00A9131E" w:rsidP="00A9131E">
      <w:pPr>
        <w:numPr>
          <w:ilvl w:val="0"/>
          <w:numId w:val="3"/>
        </w:numPr>
      </w:pPr>
      <w:r w:rsidRPr="00A9131E">
        <w:lastRenderedPageBreak/>
        <w:t xml:space="preserve">Fortalezas: </w:t>
      </w:r>
    </w:p>
    <w:p w14:paraId="7AA66176" w14:textId="77777777" w:rsidR="00A9131E" w:rsidRPr="00A9131E" w:rsidRDefault="00A9131E" w:rsidP="00A9131E">
      <w:pPr>
        <w:numPr>
          <w:ilvl w:val="1"/>
          <w:numId w:val="3"/>
        </w:numPr>
      </w:pPr>
      <w:r w:rsidRPr="00A9131E">
        <w:t xml:space="preserve">Mercado laboral </w:t>
      </w:r>
    </w:p>
    <w:p w14:paraId="5BF5E540" w14:textId="77777777" w:rsidR="00A9131E" w:rsidRPr="00A9131E" w:rsidRDefault="00A9131E" w:rsidP="00A9131E">
      <w:pPr>
        <w:numPr>
          <w:ilvl w:val="1"/>
          <w:numId w:val="3"/>
        </w:numPr>
      </w:pPr>
      <w:r w:rsidRPr="00A9131E">
        <w:t>Educación</w:t>
      </w:r>
    </w:p>
    <w:p w14:paraId="0F353E9A" w14:textId="36338332" w:rsidR="00B564FA" w:rsidRDefault="00A9131E" w:rsidP="00A9131E">
      <w:pPr>
        <w:rPr>
          <w:b/>
          <w:bCs/>
        </w:rPr>
      </w:pPr>
      <w:r w:rsidRPr="00A9131E">
        <w:rPr>
          <w:b/>
          <w:bCs/>
        </w:rPr>
        <w:t>Diferencias metodológicas entre fuentes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4"/>
        <w:gridCol w:w="1729"/>
        <w:gridCol w:w="2138"/>
        <w:gridCol w:w="1789"/>
      </w:tblGrid>
      <w:tr w:rsidR="00A9131E" w:rsidRPr="00A9131E" w14:paraId="5DE480A3" w14:textId="77777777">
        <w:trPr>
          <w:tblHeader/>
          <w:tblCellSpacing w:w="15" w:type="dxa"/>
        </w:trPr>
        <w:tc>
          <w:tcPr>
            <w:tcW w:w="0" w:type="auto"/>
            <w:vAlign w:val="center"/>
            <w:hideMark/>
          </w:tcPr>
          <w:p w14:paraId="71A47F93" w14:textId="77777777" w:rsidR="00A9131E" w:rsidRPr="00A9131E" w:rsidRDefault="00A9131E" w:rsidP="00A9131E">
            <w:pPr>
              <w:rPr>
                <w:b/>
                <w:bCs/>
              </w:rPr>
            </w:pPr>
            <w:r w:rsidRPr="00A9131E">
              <w:rPr>
                <w:b/>
                <w:bCs/>
              </w:rPr>
              <w:t>Característica</w:t>
            </w:r>
          </w:p>
        </w:tc>
        <w:tc>
          <w:tcPr>
            <w:tcW w:w="0" w:type="auto"/>
            <w:vAlign w:val="center"/>
            <w:hideMark/>
          </w:tcPr>
          <w:p w14:paraId="4EBF182C" w14:textId="77777777" w:rsidR="00A9131E" w:rsidRPr="00A9131E" w:rsidRDefault="00A9131E" w:rsidP="00A9131E">
            <w:pPr>
              <w:rPr>
                <w:b/>
                <w:bCs/>
              </w:rPr>
            </w:pPr>
            <w:proofErr w:type="spellStart"/>
            <w:r w:rsidRPr="00A9131E">
              <w:rPr>
                <w:b/>
                <w:bCs/>
              </w:rPr>
              <w:t>Clusters</w:t>
            </w:r>
            <w:proofErr w:type="spellEnd"/>
            <w:r w:rsidRPr="00A9131E">
              <w:rPr>
                <w:b/>
                <w:bCs/>
              </w:rPr>
              <w:t xml:space="preserve"> (Censo)</w:t>
            </w:r>
          </w:p>
        </w:tc>
        <w:tc>
          <w:tcPr>
            <w:tcW w:w="0" w:type="auto"/>
            <w:vAlign w:val="center"/>
            <w:hideMark/>
          </w:tcPr>
          <w:p w14:paraId="140F2DDF" w14:textId="77777777" w:rsidR="00A9131E" w:rsidRPr="00A9131E" w:rsidRDefault="00A9131E" w:rsidP="00A9131E">
            <w:pPr>
              <w:rPr>
                <w:b/>
                <w:bCs/>
              </w:rPr>
            </w:pPr>
            <w:r w:rsidRPr="00A9131E">
              <w:rPr>
                <w:b/>
                <w:bCs/>
              </w:rPr>
              <w:t>IPM</w:t>
            </w:r>
          </w:p>
        </w:tc>
        <w:tc>
          <w:tcPr>
            <w:tcW w:w="0" w:type="auto"/>
            <w:vAlign w:val="center"/>
            <w:hideMark/>
          </w:tcPr>
          <w:p w14:paraId="255F8E58" w14:textId="77777777" w:rsidR="00A9131E" w:rsidRPr="00A9131E" w:rsidRDefault="00A9131E" w:rsidP="00A9131E">
            <w:pPr>
              <w:rPr>
                <w:b/>
                <w:bCs/>
              </w:rPr>
            </w:pPr>
            <w:r w:rsidRPr="00A9131E">
              <w:rPr>
                <w:b/>
                <w:bCs/>
              </w:rPr>
              <w:t>GEIH</w:t>
            </w:r>
          </w:p>
        </w:tc>
      </w:tr>
      <w:tr w:rsidR="00A9131E" w:rsidRPr="00A9131E" w14:paraId="36E53290" w14:textId="77777777">
        <w:trPr>
          <w:tblCellSpacing w:w="15" w:type="dxa"/>
        </w:trPr>
        <w:tc>
          <w:tcPr>
            <w:tcW w:w="0" w:type="auto"/>
            <w:vAlign w:val="center"/>
            <w:hideMark/>
          </w:tcPr>
          <w:p w14:paraId="2227CFAC" w14:textId="77777777" w:rsidR="00A9131E" w:rsidRPr="00A9131E" w:rsidRDefault="00A9131E" w:rsidP="00A9131E">
            <w:r w:rsidRPr="00A9131E">
              <w:t>Tipo de dato</w:t>
            </w:r>
          </w:p>
        </w:tc>
        <w:tc>
          <w:tcPr>
            <w:tcW w:w="0" w:type="auto"/>
            <w:vAlign w:val="center"/>
            <w:hideMark/>
          </w:tcPr>
          <w:p w14:paraId="6C56C6E2" w14:textId="77777777" w:rsidR="00A9131E" w:rsidRPr="00A9131E" w:rsidRDefault="00A9131E" w:rsidP="00A9131E">
            <w:r w:rsidRPr="00A9131E">
              <w:t>Censal</w:t>
            </w:r>
          </w:p>
        </w:tc>
        <w:tc>
          <w:tcPr>
            <w:tcW w:w="0" w:type="auto"/>
            <w:vAlign w:val="center"/>
            <w:hideMark/>
          </w:tcPr>
          <w:p w14:paraId="5818BE4B" w14:textId="77777777" w:rsidR="00A9131E" w:rsidRPr="00A9131E" w:rsidRDefault="00A9131E" w:rsidP="00A9131E">
            <w:r w:rsidRPr="00A9131E">
              <w:t>Agregado</w:t>
            </w:r>
          </w:p>
        </w:tc>
        <w:tc>
          <w:tcPr>
            <w:tcW w:w="0" w:type="auto"/>
            <w:vAlign w:val="center"/>
            <w:hideMark/>
          </w:tcPr>
          <w:p w14:paraId="48491631" w14:textId="77777777" w:rsidR="00A9131E" w:rsidRPr="00A9131E" w:rsidRDefault="00A9131E" w:rsidP="00A9131E">
            <w:r w:rsidRPr="00A9131E">
              <w:t>Muestral</w:t>
            </w:r>
          </w:p>
        </w:tc>
      </w:tr>
      <w:tr w:rsidR="00A9131E" w:rsidRPr="00A9131E" w14:paraId="0B91B130" w14:textId="77777777">
        <w:trPr>
          <w:tblCellSpacing w:w="15" w:type="dxa"/>
        </w:trPr>
        <w:tc>
          <w:tcPr>
            <w:tcW w:w="0" w:type="auto"/>
            <w:vAlign w:val="center"/>
            <w:hideMark/>
          </w:tcPr>
          <w:p w14:paraId="11D19336" w14:textId="77777777" w:rsidR="00A9131E" w:rsidRPr="00A9131E" w:rsidRDefault="00A9131E" w:rsidP="00A9131E">
            <w:r w:rsidRPr="00A9131E">
              <w:t>Nivel espacial</w:t>
            </w:r>
          </w:p>
        </w:tc>
        <w:tc>
          <w:tcPr>
            <w:tcW w:w="0" w:type="auto"/>
            <w:vAlign w:val="center"/>
            <w:hideMark/>
          </w:tcPr>
          <w:p w14:paraId="30092A60" w14:textId="77777777" w:rsidR="00A9131E" w:rsidRPr="00A9131E" w:rsidRDefault="00A9131E" w:rsidP="00A9131E">
            <w:r w:rsidRPr="00A9131E">
              <w:t>Manzana</w:t>
            </w:r>
          </w:p>
        </w:tc>
        <w:tc>
          <w:tcPr>
            <w:tcW w:w="0" w:type="auto"/>
            <w:vAlign w:val="center"/>
            <w:hideMark/>
          </w:tcPr>
          <w:p w14:paraId="6AAB81B5" w14:textId="77777777" w:rsidR="00A9131E" w:rsidRPr="00A9131E" w:rsidRDefault="00A9131E" w:rsidP="00A9131E">
            <w:r w:rsidRPr="00A9131E">
              <w:t>Departamento</w:t>
            </w:r>
          </w:p>
        </w:tc>
        <w:tc>
          <w:tcPr>
            <w:tcW w:w="0" w:type="auto"/>
            <w:vAlign w:val="center"/>
            <w:hideMark/>
          </w:tcPr>
          <w:p w14:paraId="509BFEFB" w14:textId="77777777" w:rsidR="00A9131E" w:rsidRPr="00A9131E" w:rsidRDefault="00A9131E" w:rsidP="00A9131E">
            <w:r w:rsidRPr="00A9131E">
              <w:t>Ciudad</w:t>
            </w:r>
          </w:p>
        </w:tc>
      </w:tr>
      <w:tr w:rsidR="00A9131E" w:rsidRPr="00A9131E" w14:paraId="59557A62" w14:textId="77777777">
        <w:trPr>
          <w:tblCellSpacing w:w="15" w:type="dxa"/>
        </w:trPr>
        <w:tc>
          <w:tcPr>
            <w:tcW w:w="0" w:type="auto"/>
            <w:vAlign w:val="center"/>
            <w:hideMark/>
          </w:tcPr>
          <w:p w14:paraId="6F473548" w14:textId="77777777" w:rsidR="00A9131E" w:rsidRPr="00A9131E" w:rsidRDefault="00A9131E" w:rsidP="00A9131E">
            <w:r w:rsidRPr="00A9131E">
              <w:t>Precisión espacial</w:t>
            </w:r>
          </w:p>
        </w:tc>
        <w:tc>
          <w:tcPr>
            <w:tcW w:w="0" w:type="auto"/>
            <w:vAlign w:val="center"/>
            <w:hideMark/>
          </w:tcPr>
          <w:p w14:paraId="19D409DD" w14:textId="77777777" w:rsidR="00A9131E" w:rsidRPr="00A9131E" w:rsidRDefault="00A9131E" w:rsidP="00A9131E">
            <w:r w:rsidRPr="00A9131E">
              <w:t>Alta</w:t>
            </w:r>
          </w:p>
        </w:tc>
        <w:tc>
          <w:tcPr>
            <w:tcW w:w="0" w:type="auto"/>
            <w:vAlign w:val="center"/>
            <w:hideMark/>
          </w:tcPr>
          <w:p w14:paraId="768B1CC1" w14:textId="77777777" w:rsidR="00A9131E" w:rsidRPr="00A9131E" w:rsidRDefault="00A9131E" w:rsidP="00A9131E">
            <w:r w:rsidRPr="00A9131E">
              <w:t>Media</w:t>
            </w:r>
          </w:p>
        </w:tc>
        <w:tc>
          <w:tcPr>
            <w:tcW w:w="0" w:type="auto"/>
            <w:vAlign w:val="center"/>
            <w:hideMark/>
          </w:tcPr>
          <w:p w14:paraId="51DAFE2A" w14:textId="77777777" w:rsidR="00A9131E" w:rsidRPr="00A9131E" w:rsidRDefault="00A9131E" w:rsidP="00A9131E">
            <w:r w:rsidRPr="00A9131E">
              <w:t>Baja</w:t>
            </w:r>
          </w:p>
        </w:tc>
      </w:tr>
      <w:tr w:rsidR="00A9131E" w:rsidRPr="00A9131E" w14:paraId="2191C811" w14:textId="77777777">
        <w:trPr>
          <w:tblCellSpacing w:w="15" w:type="dxa"/>
        </w:trPr>
        <w:tc>
          <w:tcPr>
            <w:tcW w:w="0" w:type="auto"/>
            <w:vAlign w:val="center"/>
            <w:hideMark/>
          </w:tcPr>
          <w:p w14:paraId="3F44D55F" w14:textId="77777777" w:rsidR="00A9131E" w:rsidRPr="00A9131E" w:rsidRDefault="00A9131E" w:rsidP="00A9131E">
            <w:r w:rsidRPr="00A9131E">
              <w:t>Enfoque</w:t>
            </w:r>
          </w:p>
        </w:tc>
        <w:tc>
          <w:tcPr>
            <w:tcW w:w="0" w:type="auto"/>
            <w:vAlign w:val="center"/>
            <w:hideMark/>
          </w:tcPr>
          <w:p w14:paraId="4EBA7A33" w14:textId="77777777" w:rsidR="00A9131E" w:rsidRPr="00A9131E" w:rsidRDefault="00A9131E" w:rsidP="00A9131E">
            <w:r w:rsidRPr="00A9131E">
              <w:t>Multidimensional</w:t>
            </w:r>
          </w:p>
        </w:tc>
        <w:tc>
          <w:tcPr>
            <w:tcW w:w="0" w:type="auto"/>
            <w:vAlign w:val="center"/>
            <w:hideMark/>
          </w:tcPr>
          <w:p w14:paraId="62EEC473" w14:textId="77777777" w:rsidR="00A9131E" w:rsidRPr="00A9131E" w:rsidRDefault="00A9131E" w:rsidP="00A9131E">
            <w:r w:rsidRPr="00A9131E">
              <w:t>Pobreza</w:t>
            </w:r>
          </w:p>
        </w:tc>
        <w:tc>
          <w:tcPr>
            <w:tcW w:w="0" w:type="auto"/>
            <w:vAlign w:val="center"/>
            <w:hideMark/>
          </w:tcPr>
          <w:p w14:paraId="7CF36C61" w14:textId="77777777" w:rsidR="00A9131E" w:rsidRPr="00A9131E" w:rsidRDefault="00A9131E" w:rsidP="00A9131E">
            <w:r w:rsidRPr="00A9131E">
              <w:t>Socioeconómico</w:t>
            </w:r>
          </w:p>
        </w:tc>
      </w:tr>
      <w:tr w:rsidR="00A9131E" w:rsidRPr="00A9131E" w14:paraId="31E662DD" w14:textId="77777777">
        <w:trPr>
          <w:tblCellSpacing w:w="15" w:type="dxa"/>
        </w:trPr>
        <w:tc>
          <w:tcPr>
            <w:tcW w:w="0" w:type="auto"/>
            <w:vAlign w:val="center"/>
            <w:hideMark/>
          </w:tcPr>
          <w:p w14:paraId="70B4ED58" w14:textId="77777777" w:rsidR="00A9131E" w:rsidRPr="00A9131E" w:rsidRDefault="00A9131E" w:rsidP="00A9131E">
            <w:r w:rsidRPr="00A9131E">
              <w:t>Uso principal</w:t>
            </w:r>
          </w:p>
        </w:tc>
        <w:tc>
          <w:tcPr>
            <w:tcW w:w="0" w:type="auto"/>
            <w:vAlign w:val="center"/>
            <w:hideMark/>
          </w:tcPr>
          <w:p w14:paraId="68023982" w14:textId="77777777" w:rsidR="00A9131E" w:rsidRPr="00A9131E" w:rsidRDefault="00A9131E" w:rsidP="00A9131E">
            <w:r w:rsidRPr="00A9131E">
              <w:t>Segmentación</w:t>
            </w:r>
          </w:p>
        </w:tc>
        <w:tc>
          <w:tcPr>
            <w:tcW w:w="0" w:type="auto"/>
            <w:vAlign w:val="center"/>
            <w:hideMark/>
          </w:tcPr>
          <w:p w14:paraId="386529D6" w14:textId="77777777" w:rsidR="00A9131E" w:rsidRPr="00A9131E" w:rsidRDefault="00A9131E" w:rsidP="00A9131E">
            <w:r w:rsidRPr="00A9131E">
              <w:t>Validación estructural</w:t>
            </w:r>
          </w:p>
        </w:tc>
        <w:tc>
          <w:tcPr>
            <w:tcW w:w="0" w:type="auto"/>
            <w:vAlign w:val="center"/>
            <w:hideMark/>
          </w:tcPr>
          <w:p w14:paraId="1C02C904" w14:textId="77777777" w:rsidR="00A9131E" w:rsidRPr="00A9131E" w:rsidRDefault="00A9131E" w:rsidP="00A9131E">
            <w:r w:rsidRPr="00A9131E">
              <w:t>Validación urbana</w:t>
            </w:r>
          </w:p>
        </w:tc>
      </w:tr>
    </w:tbl>
    <w:p w14:paraId="6AFE4CBE" w14:textId="77777777" w:rsidR="00A9131E" w:rsidRDefault="00A9131E" w:rsidP="00A9131E">
      <w:pPr>
        <w:rPr>
          <w:b/>
          <w:bCs/>
        </w:rPr>
      </w:pPr>
    </w:p>
    <w:p w14:paraId="7D7E6154" w14:textId="77777777" w:rsidR="00A9131E" w:rsidRPr="00A9131E" w:rsidRDefault="00A9131E" w:rsidP="00A9131E">
      <w:pPr>
        <w:rPr>
          <w:b/>
          <w:bCs/>
        </w:rPr>
      </w:pPr>
      <w:r w:rsidRPr="00A9131E">
        <w:rPr>
          <w:b/>
          <w:bCs/>
        </w:rPr>
        <w:t>Construcción de indicadores</w:t>
      </w:r>
    </w:p>
    <w:p w14:paraId="7468C6C1" w14:textId="30D39A5B" w:rsidR="00A9131E" w:rsidRPr="00A9131E" w:rsidRDefault="00A9131E" w:rsidP="00A9131E">
      <w:pPr>
        <w:rPr>
          <w:b/>
          <w:bCs/>
        </w:rPr>
      </w:pPr>
      <w:r w:rsidRPr="00A9131E">
        <w:rPr>
          <w:b/>
          <w:bCs/>
        </w:rPr>
        <w:t xml:space="preserve">Indicadores del </w:t>
      </w:r>
      <w:proofErr w:type="spellStart"/>
      <w:r w:rsidRPr="00A9131E">
        <w:rPr>
          <w:b/>
          <w:bCs/>
        </w:rPr>
        <w:t>clustering</w:t>
      </w:r>
      <w:proofErr w:type="spellEnd"/>
    </w:p>
    <w:p w14:paraId="729DC209" w14:textId="77777777" w:rsidR="00A9131E" w:rsidRPr="00A9131E" w:rsidRDefault="00A9131E" w:rsidP="00A9131E">
      <w:r w:rsidRPr="00A9131E">
        <w:t>Se construyeron indicadores agregados a partir de variables censales:</w:t>
      </w:r>
    </w:p>
    <w:p w14:paraId="2929D113" w14:textId="77777777" w:rsidR="00A9131E" w:rsidRPr="00A9131E" w:rsidRDefault="00A9131E" w:rsidP="00A9131E">
      <w:pPr>
        <w:numPr>
          <w:ilvl w:val="0"/>
          <w:numId w:val="4"/>
        </w:numPr>
      </w:pPr>
      <w:r w:rsidRPr="00A9131E">
        <w:t xml:space="preserve">Servicios: acceso a acueducto, alcantarillado </w:t>
      </w:r>
    </w:p>
    <w:p w14:paraId="44469ED8" w14:textId="77777777" w:rsidR="00A9131E" w:rsidRPr="00A9131E" w:rsidRDefault="00A9131E" w:rsidP="00A9131E">
      <w:pPr>
        <w:numPr>
          <w:ilvl w:val="0"/>
          <w:numId w:val="4"/>
        </w:numPr>
      </w:pPr>
      <w:r w:rsidRPr="00A9131E">
        <w:t xml:space="preserve">Educación: asistencia, alfabetismo, años de estudio </w:t>
      </w:r>
    </w:p>
    <w:p w14:paraId="64488F3F" w14:textId="77777777" w:rsidR="00A9131E" w:rsidRPr="00A9131E" w:rsidRDefault="00A9131E" w:rsidP="00A9131E">
      <w:pPr>
        <w:numPr>
          <w:ilvl w:val="0"/>
          <w:numId w:val="4"/>
        </w:numPr>
      </w:pPr>
      <w:r w:rsidRPr="00A9131E">
        <w:t xml:space="preserve">Laboral: proporción de población ocupada </w:t>
      </w:r>
    </w:p>
    <w:p w14:paraId="4EAC485D" w14:textId="77777777" w:rsidR="00A9131E" w:rsidRPr="00A9131E" w:rsidRDefault="00A9131E" w:rsidP="00A9131E">
      <w:pPr>
        <w:numPr>
          <w:ilvl w:val="0"/>
          <w:numId w:val="4"/>
        </w:numPr>
      </w:pPr>
      <w:r w:rsidRPr="00A9131E">
        <w:t xml:space="preserve">Habitacional: hacinamiento, materiales </w:t>
      </w:r>
    </w:p>
    <w:p w14:paraId="426107E1" w14:textId="1BEA505F" w:rsidR="00A9131E" w:rsidRPr="00A9131E" w:rsidRDefault="00A9131E" w:rsidP="00A9131E">
      <w:pPr>
        <w:rPr>
          <w:b/>
          <w:bCs/>
        </w:rPr>
      </w:pPr>
    </w:p>
    <w:p w14:paraId="1F781264" w14:textId="0AC52F25" w:rsidR="00A9131E" w:rsidRPr="00A9131E" w:rsidRDefault="00A9131E" w:rsidP="00A9131E">
      <w:pPr>
        <w:rPr>
          <w:b/>
          <w:bCs/>
        </w:rPr>
      </w:pPr>
      <w:r w:rsidRPr="00A9131E">
        <w:rPr>
          <w:b/>
          <w:bCs/>
        </w:rPr>
        <w:t>Indicadores del IPM</w:t>
      </w:r>
    </w:p>
    <w:p w14:paraId="5C663D06" w14:textId="77777777" w:rsidR="00A9131E" w:rsidRPr="00A9131E" w:rsidRDefault="00A9131E" w:rsidP="00A9131E">
      <w:r w:rsidRPr="00A9131E">
        <w:t>El IPM se compone de indicadores de privación en:</w:t>
      </w:r>
    </w:p>
    <w:p w14:paraId="593FFFF2" w14:textId="77777777" w:rsidR="00A9131E" w:rsidRPr="00A9131E" w:rsidRDefault="00A9131E" w:rsidP="00A9131E">
      <w:pPr>
        <w:numPr>
          <w:ilvl w:val="0"/>
          <w:numId w:val="5"/>
        </w:numPr>
      </w:pPr>
      <w:r w:rsidRPr="00A9131E">
        <w:t xml:space="preserve">Educación (inasistencia, rezago) </w:t>
      </w:r>
    </w:p>
    <w:p w14:paraId="074ACEEB" w14:textId="77777777" w:rsidR="00A9131E" w:rsidRPr="00A9131E" w:rsidRDefault="00A9131E" w:rsidP="00A9131E">
      <w:pPr>
        <w:numPr>
          <w:ilvl w:val="0"/>
          <w:numId w:val="5"/>
        </w:numPr>
      </w:pPr>
      <w:r w:rsidRPr="00A9131E">
        <w:t xml:space="preserve">Trabajo (informalidad) </w:t>
      </w:r>
    </w:p>
    <w:p w14:paraId="5BF0C557" w14:textId="77777777" w:rsidR="00A9131E" w:rsidRPr="00A9131E" w:rsidRDefault="00A9131E" w:rsidP="00A9131E">
      <w:pPr>
        <w:numPr>
          <w:ilvl w:val="0"/>
          <w:numId w:val="5"/>
        </w:numPr>
      </w:pPr>
      <w:r w:rsidRPr="00A9131E">
        <w:t xml:space="preserve">Vivienda (hacinamiento) </w:t>
      </w:r>
    </w:p>
    <w:p w14:paraId="3ECF8EBF" w14:textId="77777777" w:rsidR="00A9131E" w:rsidRPr="00A9131E" w:rsidRDefault="00A9131E" w:rsidP="00A9131E">
      <w:pPr>
        <w:numPr>
          <w:ilvl w:val="0"/>
          <w:numId w:val="5"/>
        </w:numPr>
      </w:pPr>
      <w:r w:rsidRPr="00A9131E">
        <w:t xml:space="preserve">Servicios </w:t>
      </w:r>
    </w:p>
    <w:p w14:paraId="3BA3FDB1" w14:textId="071A1486" w:rsidR="00A9131E" w:rsidRPr="00A9131E" w:rsidRDefault="00A9131E" w:rsidP="00A9131E">
      <w:pPr>
        <w:rPr>
          <w:b/>
          <w:bCs/>
        </w:rPr>
      </w:pPr>
    </w:p>
    <w:p w14:paraId="40E29625" w14:textId="77777777" w:rsidR="00A9131E" w:rsidRDefault="00A9131E" w:rsidP="00A9131E">
      <w:pPr>
        <w:rPr>
          <w:b/>
          <w:bCs/>
        </w:rPr>
      </w:pPr>
    </w:p>
    <w:p w14:paraId="4FFFB79D" w14:textId="77777777" w:rsidR="00A9131E" w:rsidRDefault="00A9131E" w:rsidP="00A9131E">
      <w:pPr>
        <w:rPr>
          <w:b/>
          <w:bCs/>
        </w:rPr>
      </w:pPr>
    </w:p>
    <w:p w14:paraId="1D485402" w14:textId="4FA6E082" w:rsidR="00A9131E" w:rsidRPr="00A9131E" w:rsidRDefault="00A9131E" w:rsidP="00A9131E">
      <w:pPr>
        <w:rPr>
          <w:b/>
          <w:bCs/>
        </w:rPr>
      </w:pPr>
      <w:r w:rsidRPr="00A9131E">
        <w:rPr>
          <w:b/>
          <w:bCs/>
        </w:rPr>
        <w:lastRenderedPageBreak/>
        <w:t>Indicadores GEIH</w:t>
      </w:r>
    </w:p>
    <w:p w14:paraId="7ACB88FF" w14:textId="77777777" w:rsidR="00A9131E" w:rsidRPr="00A9131E" w:rsidRDefault="00A9131E" w:rsidP="00A9131E">
      <w:r w:rsidRPr="00A9131E">
        <w:t>Se construyeron indicadores a partir de microdatos:</w:t>
      </w:r>
    </w:p>
    <w:p w14:paraId="6D538848" w14:textId="77777777" w:rsidR="00A9131E" w:rsidRPr="00A9131E" w:rsidRDefault="00A9131E" w:rsidP="00A9131E">
      <w:pPr>
        <w:numPr>
          <w:ilvl w:val="0"/>
          <w:numId w:val="6"/>
        </w:numPr>
      </w:pPr>
      <w:r w:rsidRPr="00A9131E">
        <w:t xml:space="preserve">Tasa de ocupación </w:t>
      </w:r>
    </w:p>
    <w:p w14:paraId="38A036DB" w14:textId="77777777" w:rsidR="00A9131E" w:rsidRPr="00A9131E" w:rsidRDefault="00A9131E" w:rsidP="00A9131E">
      <w:pPr>
        <w:numPr>
          <w:ilvl w:val="0"/>
          <w:numId w:val="6"/>
        </w:numPr>
      </w:pPr>
      <w:r w:rsidRPr="00A9131E">
        <w:t xml:space="preserve">Tasa de desempleo </w:t>
      </w:r>
    </w:p>
    <w:p w14:paraId="75653D68" w14:textId="77777777" w:rsidR="00A9131E" w:rsidRPr="00A9131E" w:rsidRDefault="00A9131E" w:rsidP="00A9131E">
      <w:pPr>
        <w:numPr>
          <w:ilvl w:val="0"/>
          <w:numId w:val="6"/>
        </w:numPr>
      </w:pPr>
      <w:r w:rsidRPr="00A9131E">
        <w:t xml:space="preserve">Asistencia escolar </w:t>
      </w:r>
    </w:p>
    <w:p w14:paraId="47F1B46B" w14:textId="77777777" w:rsidR="00A9131E" w:rsidRPr="00A9131E" w:rsidRDefault="00A9131E" w:rsidP="00A9131E">
      <w:pPr>
        <w:numPr>
          <w:ilvl w:val="0"/>
          <w:numId w:val="6"/>
        </w:numPr>
      </w:pPr>
      <w:r w:rsidRPr="00A9131E">
        <w:t>Nivel educativo</w:t>
      </w:r>
    </w:p>
    <w:p w14:paraId="73D407F6" w14:textId="77777777" w:rsidR="00A9131E" w:rsidRDefault="00A9131E" w:rsidP="00A9131E">
      <w:pPr>
        <w:rPr>
          <w:b/>
          <w:bCs/>
        </w:rPr>
      </w:pPr>
    </w:p>
    <w:p w14:paraId="31B5AC00" w14:textId="0AF5F0CF" w:rsidR="00B24883" w:rsidRDefault="00B24883" w:rsidP="00A9131E">
      <w:pPr>
        <w:rPr>
          <w:b/>
          <w:bCs/>
        </w:rPr>
      </w:pPr>
      <w:r w:rsidRPr="00B24883">
        <w:rPr>
          <w:b/>
          <w:bCs/>
        </w:rPr>
        <w:t>Comparación de resultados con el Índice de Pobreza Multidimensional (IPM)</w:t>
      </w:r>
    </w:p>
    <w:p w14:paraId="2BF8B6B6" w14:textId="377DE421" w:rsidR="00B24883" w:rsidRPr="00B24883" w:rsidRDefault="00B24883" w:rsidP="00B24883">
      <w:pPr>
        <w:jc w:val="both"/>
      </w:pPr>
      <w:r w:rsidRPr="00B24883">
        <w:t>A partir de los datos analizados para las ciudades, se identifican patrones consistentes en varias dimensiones, así como algunas limitaciones asociadas a la comparabilidad de los indicadores.</w:t>
      </w:r>
    </w:p>
    <w:p w14:paraId="7F861EC8" w14:textId="77777777" w:rsidR="00B24883" w:rsidRPr="00B24883" w:rsidRDefault="00B24883" w:rsidP="00B24883">
      <w:pPr>
        <w:jc w:val="both"/>
      </w:pPr>
      <w:r w:rsidRPr="00B24883">
        <w:t xml:space="preserve">En la dimensión de servicios, los resultados muestran una alta correspondencia entre los valores estimados a partir del </w:t>
      </w:r>
      <w:proofErr w:type="spellStart"/>
      <w:r w:rsidRPr="00B24883">
        <w:t>clustering</w:t>
      </w:r>
      <w:proofErr w:type="spellEnd"/>
      <w:r w:rsidRPr="00B24883">
        <w:t xml:space="preserve"> y los reportados por el IPM. Las ciudades presentan valores superiores a los departamentos en todos los casos, con diferencias relativamente pequeñas (entre 0.015 y 0.031). Por ejemplo, Armenia presenta un valor de 0.9843 frente a 0.9689 en el departamento del Quindío, mientras que Cali y Pereira presentan diferencias similares. Este comportamiento indica que el acceso a servicios básicos es alto tanto a nivel urbano como departamental, con una ligera ventaja en las ciudades, lo cual es coherente con la concentración de infraestructura en zonas urbanas. En este sentido, se evidencia una fuerte consistencia entre ambas fuentes de información en esta dimensión.</w:t>
      </w:r>
    </w:p>
    <w:p w14:paraId="5757E779" w14:textId="77777777" w:rsidR="00B24883" w:rsidRPr="00B24883" w:rsidRDefault="00B24883" w:rsidP="00B24883">
      <w:pPr>
        <w:jc w:val="both"/>
      </w:pPr>
      <w:r w:rsidRPr="00B24883">
        <w:t xml:space="preserve">En la dimensión de pobreza multidimensional, también se observa una coherencia clara en la estructura de los resultados. En todos los casos, los valores de las ciudades son inferiores a los de sus respectivos departamentos, lo que indica mejores condiciones en las cabeceras urbanas. Las diferencias oscilan entre -0.058 y -0.078, siendo Armenia la ciudad con mayor brecha respecto a su departamento. Este resultado sugiere que el modelo de </w:t>
      </w:r>
      <w:proofErr w:type="spellStart"/>
      <w:r w:rsidRPr="00B24883">
        <w:t>clustering</w:t>
      </w:r>
      <w:proofErr w:type="spellEnd"/>
      <w:r w:rsidRPr="00B24883">
        <w:t xml:space="preserve"> logra capturar adecuadamente las condiciones de pobreza relativa, replicando la jerarquía territorial esperada entre departamentos.</w:t>
      </w:r>
    </w:p>
    <w:p w14:paraId="625800DF" w14:textId="77777777" w:rsidR="00B24883" w:rsidRPr="00B24883" w:rsidRDefault="00B24883" w:rsidP="00B24883">
      <w:pPr>
        <w:jc w:val="both"/>
      </w:pPr>
      <w:r w:rsidRPr="00B24883">
        <w:t xml:space="preserve">En contraste, la dimensión educativa presenta discrepancias significativas entre ambas fuentes. Los valores del </w:t>
      </w:r>
      <w:proofErr w:type="spellStart"/>
      <w:r w:rsidRPr="00B24883">
        <w:t>clustering</w:t>
      </w:r>
      <w:proofErr w:type="spellEnd"/>
      <w:r w:rsidRPr="00B24883">
        <w:t xml:space="preserve"> (alrededor de 0.59–0.60) son considerablemente menores que los del IPM (alrededor de 0.93–0.95), generando diferencias cercanas a -0.33 en todos los casos. Este resultado no es consistente con la lógica esperada, ya que no sería razonable que los departamentos presenten mejores condiciones educativas que sus principales ciudades. Por lo tanto, esta diferencia no debe interpretarse como una inconsistencia del modelo, sino como un problema de comparabilidad derivado de la definición de los indicadores del IPM, los cuales pueden estar expresados bajo una lógica distinta (logro vs carencia).</w:t>
      </w:r>
    </w:p>
    <w:p w14:paraId="652644C6" w14:textId="77777777" w:rsidR="00B24883" w:rsidRPr="00B24883" w:rsidRDefault="00B24883" w:rsidP="00B24883">
      <w:pPr>
        <w:jc w:val="both"/>
      </w:pPr>
      <w:r w:rsidRPr="00B24883">
        <w:t xml:space="preserve">De manera similar, en la dimensión laboral se observan diferencias importantes entre los valores del </w:t>
      </w:r>
      <w:proofErr w:type="spellStart"/>
      <w:r w:rsidRPr="00B24883">
        <w:t>clustering</w:t>
      </w:r>
      <w:proofErr w:type="spellEnd"/>
      <w:r w:rsidRPr="00B24883">
        <w:t xml:space="preserve"> (0.39–0.45) y los del IPM (0.71–0.74). Estas diferencias responden a la naturaleza distinta de los indicadores: mientras el </w:t>
      </w:r>
      <w:proofErr w:type="spellStart"/>
      <w:r w:rsidRPr="00B24883">
        <w:t>clustering</w:t>
      </w:r>
      <w:proofErr w:type="spellEnd"/>
      <w:r w:rsidRPr="00B24883">
        <w:t xml:space="preserve"> utiliza una aproximación general </w:t>
      </w:r>
      <w:r w:rsidRPr="00B24883">
        <w:lastRenderedPageBreak/>
        <w:t>de ocupación, el IPM incorpora variables más específicas relacionadas con formalidad o calidad del empleo. En consecuencia, la comparabilidad directa en esta dimensión es limitada.</w:t>
      </w:r>
    </w:p>
    <w:p w14:paraId="08295100" w14:textId="77777777" w:rsidR="00B24883" w:rsidRPr="00B24883" w:rsidRDefault="00B24883" w:rsidP="00B24883">
      <w:pPr>
        <w:jc w:val="both"/>
      </w:pPr>
      <w:r w:rsidRPr="00B24883">
        <w:t xml:space="preserve">En la dimensión habitacional, aunque las unidades de medida no son directamente comparables, los valores del </w:t>
      </w:r>
      <w:proofErr w:type="spellStart"/>
      <w:r w:rsidRPr="00B24883">
        <w:t>clustering</w:t>
      </w:r>
      <w:proofErr w:type="spellEnd"/>
      <w:r w:rsidRPr="00B24883">
        <w:t xml:space="preserve"> se mantienen en rangos coherentes con los niveles de hacinamiento del IPM, lo que sugiere una adecuada representación de las condiciones físicas de la vivienda.</w:t>
      </w:r>
    </w:p>
    <w:p w14:paraId="34152426" w14:textId="77777777" w:rsidR="00B24883" w:rsidRPr="00B24883" w:rsidRDefault="00B24883" w:rsidP="00B24883">
      <w:pPr>
        <w:jc w:val="both"/>
      </w:pPr>
      <w:r w:rsidRPr="00B24883">
        <w:t xml:space="preserve">En conjunto, el análisis evidencia que el modelo de </w:t>
      </w:r>
      <w:proofErr w:type="spellStart"/>
      <w:r w:rsidRPr="00B24883">
        <w:t>clustering</w:t>
      </w:r>
      <w:proofErr w:type="spellEnd"/>
      <w:r w:rsidRPr="00B24883">
        <w:t xml:space="preserve"> presenta una alta consistencia con el IPM en dimensiones estructurales como servicios y pobreza multidimensional, mientras que las discrepancias en educación y laboral responden principalmente a diferencias metodológicas y conceptuales entre las fuentes.</w:t>
      </w:r>
    </w:p>
    <w:p w14:paraId="16DCFB33" w14:textId="77777777" w:rsidR="00B24883" w:rsidRDefault="00B24883" w:rsidP="00A9131E">
      <w:pPr>
        <w:rPr>
          <w:b/>
          <w:bCs/>
        </w:rPr>
      </w:pPr>
    </w:p>
    <w:p w14:paraId="32626FB2" w14:textId="47A32556" w:rsidR="00B24883" w:rsidRDefault="00B24883" w:rsidP="00A9131E">
      <w:pPr>
        <w:rPr>
          <w:b/>
          <w:bCs/>
        </w:rPr>
      </w:pPr>
      <w:r w:rsidRPr="00B24883">
        <w:rPr>
          <w:b/>
          <w:bCs/>
        </w:rPr>
        <w:t>Comparación de resultados con la GEIH 2018</w:t>
      </w:r>
    </w:p>
    <w:p w14:paraId="08F93470" w14:textId="77777777" w:rsidR="00B24883" w:rsidRPr="00B24883" w:rsidRDefault="00B24883" w:rsidP="00B24883">
      <w:pPr>
        <w:jc w:val="both"/>
      </w:pPr>
      <w:r w:rsidRPr="00B24883">
        <w:t xml:space="preserve">La incorporación de la Gran Encuesta Integrada de Hogares (GEIH) permitió realizar una validación a nivel de ciudad en las dimensiones educativa y laboral, las cuales presentaban limitaciones en la comparación con el IPM. Dado que la GEIH ofrece información representativa de la cabecera urbana, esta comparación permite contrastar directamente los resultados del </w:t>
      </w:r>
      <w:proofErr w:type="spellStart"/>
      <w:r w:rsidRPr="00B24883">
        <w:t>clustering</w:t>
      </w:r>
      <w:proofErr w:type="spellEnd"/>
      <w:r w:rsidRPr="00B24883">
        <w:t xml:space="preserve"> con condiciones socioeconómicas observadas en las ciudades.</w:t>
      </w:r>
    </w:p>
    <w:p w14:paraId="5B5D6063" w14:textId="77777777" w:rsidR="00B24883" w:rsidRPr="00B24883" w:rsidRDefault="00B24883" w:rsidP="00B24883">
      <w:pPr>
        <w:jc w:val="both"/>
      </w:pPr>
      <w:r w:rsidRPr="00B24883">
        <w:t xml:space="preserve">En la dimensión laboral, las tasas de ocupación derivadas de la GEIH se sitúan entre 0.6307 y 0.6447, mientras que los valores del </w:t>
      </w:r>
      <w:proofErr w:type="spellStart"/>
      <w:r w:rsidRPr="00B24883">
        <w:t>clustering</w:t>
      </w:r>
      <w:proofErr w:type="spellEnd"/>
      <w:r w:rsidRPr="00B24883">
        <w:t xml:space="preserve"> oscilan entre 0.3985 y 0.4487, generando diferencias entre -0.182 y -0.236. No obstante, más allá de la diferencia en magnitud, se mantiene una estructura consistente en términos relativos entre ciudades. Aunque el orden no es exactamente el mismo, las diferencias entre ciudades son reducidas en ambas fuentes, lo que sugiere que el modelo captura adecuadamente la homogeneidad relativa del mercado laboral urbano. La discrepancia en valores absolutos se explica por la diferencia en la definición de ocupación entre ambas fuentes.</w:t>
      </w:r>
    </w:p>
    <w:p w14:paraId="28479C8B" w14:textId="77777777" w:rsidR="00B24883" w:rsidRPr="00B24883" w:rsidRDefault="00B24883" w:rsidP="00B24883">
      <w:pPr>
        <w:jc w:val="both"/>
      </w:pPr>
      <w:r w:rsidRPr="00B24883">
        <w:t xml:space="preserve">En la dimensión educativa, los resultados muestran una mayor coherencia. En términos de asistencia, los valores del </w:t>
      </w:r>
      <w:proofErr w:type="spellStart"/>
      <w:r w:rsidRPr="00B24883">
        <w:t>clustering</w:t>
      </w:r>
      <w:proofErr w:type="spellEnd"/>
      <w:r w:rsidRPr="00B24883">
        <w:t xml:space="preserve"> (0.2314–0.2533) son cercanos a los de la GEIH (0.2557–0.2659), con diferencias pequeñas (entre -0.0024 y -0.0345). Esto indica una alta consistencia entre ambas fuentes en esta variable, lo que refuerza la validez del modelo en la medición de la asistencia escolar.</w:t>
      </w:r>
    </w:p>
    <w:p w14:paraId="5E4D4D85" w14:textId="77777777" w:rsidR="00B24883" w:rsidRPr="00B24883" w:rsidRDefault="00B24883" w:rsidP="00B24883">
      <w:pPr>
        <w:jc w:val="both"/>
      </w:pPr>
      <w:r w:rsidRPr="00B24883">
        <w:t xml:space="preserve">Por otro lado, en la variable de escolaridad, se observan diferencias importantes en los valores absolutos: el </w:t>
      </w:r>
      <w:proofErr w:type="spellStart"/>
      <w:r w:rsidRPr="00B24883">
        <w:t>clustering</w:t>
      </w:r>
      <w:proofErr w:type="spellEnd"/>
      <w:r w:rsidRPr="00B24883">
        <w:t xml:space="preserve"> presenta valores entre 5.73 y 6.55 años promedio de estudio, mientras que la GEIH muestra valores entre 2.43 y 2.55 en su escala. Estas diferencias no deben interpretarse como inconsistencias, sino como resultado de la distinta forma de medición: el </w:t>
      </w:r>
      <w:proofErr w:type="spellStart"/>
      <w:r w:rsidRPr="00B24883">
        <w:t>clustering</w:t>
      </w:r>
      <w:proofErr w:type="spellEnd"/>
      <w:r w:rsidRPr="00B24883">
        <w:t xml:space="preserve"> utiliza una variable continua (años de estudio), mientras que la GEIH emplea una variable categórica u ordinal. Por tanto, la comparación directa no es metodológicamente adecuada. Sin embargo, en términos relativos, las diferencias entre ciudades son reducidas, lo que sugiere una distribución educativa relativamente homogénea.</w:t>
      </w:r>
    </w:p>
    <w:p w14:paraId="56A3DD07" w14:textId="77777777" w:rsidR="00B24883" w:rsidRPr="00B24883" w:rsidRDefault="00B24883" w:rsidP="00B24883">
      <w:pPr>
        <w:jc w:val="both"/>
      </w:pPr>
      <w:r w:rsidRPr="00B24883">
        <w:lastRenderedPageBreak/>
        <w:t xml:space="preserve">En conjunto, la comparación con la GEIH evidencia que el modelo de </w:t>
      </w:r>
      <w:proofErr w:type="spellStart"/>
      <w:r w:rsidRPr="00B24883">
        <w:t>clustering</w:t>
      </w:r>
      <w:proofErr w:type="spellEnd"/>
      <w:r w:rsidRPr="00B24883">
        <w:t xml:space="preserve"> presenta una buena capacidad para capturar patrones urbanos en las dimensiones laboral y educativa. Las diferencias observadas se explican por la naturaleza de las variables y no por fallas del modelo. En particular, la alta coherencia en asistencia escolar y la estabilidad relativa en los indicadores laborales refuerzan la validez del enfoque utilizado.</w:t>
      </w:r>
    </w:p>
    <w:p w14:paraId="7CF7DBF3" w14:textId="77777777" w:rsidR="00B24883" w:rsidRDefault="00B24883" w:rsidP="00A9131E">
      <w:pPr>
        <w:rPr>
          <w:b/>
          <w:bCs/>
        </w:rPr>
      </w:pPr>
    </w:p>
    <w:p w14:paraId="775E3AB7" w14:textId="2DF6BEFC" w:rsidR="000D0630" w:rsidRPr="000D0630" w:rsidRDefault="000D0630" w:rsidP="000D0630">
      <w:pPr>
        <w:rPr>
          <w:b/>
          <w:bCs/>
        </w:rPr>
      </w:pPr>
      <w:r>
        <w:rPr>
          <w:b/>
          <w:bCs/>
        </w:rPr>
        <w:t>I</w:t>
      </w:r>
      <w:r w:rsidRPr="000D0630">
        <w:rPr>
          <w:b/>
          <w:bCs/>
        </w:rPr>
        <w:t>ntegración de resultados (IPM y GEIH)</w:t>
      </w:r>
    </w:p>
    <w:p w14:paraId="74FF63B5" w14:textId="77777777" w:rsidR="000D0630" w:rsidRPr="000D0630" w:rsidRDefault="000D0630" w:rsidP="000D0630">
      <w:pPr>
        <w:jc w:val="both"/>
      </w:pPr>
      <w:r w:rsidRPr="000D0630">
        <w:t xml:space="preserve">La integración de los resultados obtenidos a partir del modelo de </w:t>
      </w:r>
      <w:proofErr w:type="spellStart"/>
      <w:r w:rsidRPr="000D0630">
        <w:t>clustering</w:t>
      </w:r>
      <w:proofErr w:type="spellEnd"/>
      <w:r w:rsidRPr="000D0630">
        <w:t xml:space="preserve">, el Índice de Pobreza Multidimensional (IPM) y la Gran Encuesta Integrada de Hogares (GEIH) permite realizar una validación </w:t>
      </w:r>
      <w:proofErr w:type="spellStart"/>
      <w:r w:rsidRPr="000D0630">
        <w:t>multifuente</w:t>
      </w:r>
      <w:proofErr w:type="spellEnd"/>
      <w:r w:rsidRPr="000D0630">
        <w:t xml:space="preserve"> del análisis, combinando diferentes niveles de agregación y enfoques metodológicos.</w:t>
      </w:r>
    </w:p>
    <w:p w14:paraId="04A0FFE2" w14:textId="77777777" w:rsidR="000D0630" w:rsidRPr="000D0630" w:rsidRDefault="000D0630" w:rsidP="000D0630">
      <w:pPr>
        <w:jc w:val="both"/>
      </w:pPr>
      <w:r w:rsidRPr="000D0630">
        <w:t xml:space="preserve">En primer lugar, el IPM permitió validar las dimensiones estructurales del modelo, particularmente servicios y pobreza multidimensional, donde se evidenció una alta coherencia entre los resultados del </w:t>
      </w:r>
      <w:proofErr w:type="spellStart"/>
      <w:r w:rsidRPr="000D0630">
        <w:t>clustering</w:t>
      </w:r>
      <w:proofErr w:type="spellEnd"/>
      <w:r w:rsidRPr="000D0630">
        <w:t xml:space="preserve"> y los valores departamentales. En estas dimensiones, las ciudades presentan mejores condiciones que sus respectivos departamentos, con diferencias moderadas y consistentes con la estructura territorial esperada.</w:t>
      </w:r>
    </w:p>
    <w:p w14:paraId="2F852E96" w14:textId="77777777" w:rsidR="000D0630" w:rsidRPr="000D0630" w:rsidRDefault="000D0630" w:rsidP="000D0630">
      <w:pPr>
        <w:jc w:val="both"/>
      </w:pPr>
      <w:r w:rsidRPr="000D0630">
        <w:t xml:space="preserve">Por otro lado, en las dimensiones educativa y laboral, la comparación con el IPM presentó limitaciones importantes. Estas no corresponden a fallas del modelo, sino a diferencias en la definición de los indicadores y en el nivel de agregación territorial. En este contexto, la GEIH permitió complementar el análisis, aportando información a nivel urbano que facilita una comparación más directa con los resultados del </w:t>
      </w:r>
      <w:proofErr w:type="spellStart"/>
      <w:r w:rsidRPr="000D0630">
        <w:t>clustering</w:t>
      </w:r>
      <w:proofErr w:type="spellEnd"/>
      <w:r w:rsidRPr="000D0630">
        <w:t>.</w:t>
      </w:r>
    </w:p>
    <w:p w14:paraId="2358EDC9" w14:textId="77777777" w:rsidR="000D0630" w:rsidRPr="000D0630" w:rsidRDefault="000D0630" w:rsidP="000D0630">
      <w:pPr>
        <w:jc w:val="both"/>
      </w:pPr>
      <w:r w:rsidRPr="000D0630">
        <w:t>La integración de ambas fuentes permite establecer una validación más completa: el IPM valida la estructura general del territorio, mientras que la GEIH valida las dinámicas específicas a nivel de ciudad.</w:t>
      </w:r>
    </w:p>
    <w:p w14:paraId="25A701D3" w14:textId="6E099DEA" w:rsidR="000D0630" w:rsidRPr="000D0630" w:rsidRDefault="000D0630" w:rsidP="000D0630">
      <w:pPr>
        <w:rPr>
          <w:b/>
          <w:bCs/>
        </w:rPr>
      </w:pPr>
    </w:p>
    <w:p w14:paraId="12FDD246" w14:textId="01FC0815" w:rsidR="000D0630" w:rsidRPr="000D0630" w:rsidRDefault="000D0630" w:rsidP="000D0630">
      <w:pPr>
        <w:rPr>
          <w:b/>
          <w:bCs/>
        </w:rPr>
      </w:pPr>
      <w:r w:rsidRPr="000D0630">
        <w:rPr>
          <w:b/>
          <w:bCs/>
        </w:rPr>
        <w:t>Síntesis de validación por dimensión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9"/>
        <w:gridCol w:w="1690"/>
        <w:gridCol w:w="2131"/>
        <w:gridCol w:w="2362"/>
      </w:tblGrid>
      <w:tr w:rsidR="000D0630" w:rsidRPr="000D0630" w14:paraId="4B99E5AD" w14:textId="77777777">
        <w:trPr>
          <w:tblHeader/>
          <w:tblCellSpacing w:w="15" w:type="dxa"/>
        </w:trPr>
        <w:tc>
          <w:tcPr>
            <w:tcW w:w="0" w:type="auto"/>
            <w:vAlign w:val="center"/>
            <w:hideMark/>
          </w:tcPr>
          <w:p w14:paraId="2E787A02" w14:textId="77777777" w:rsidR="000D0630" w:rsidRPr="000D0630" w:rsidRDefault="000D0630" w:rsidP="000D0630">
            <w:pPr>
              <w:rPr>
                <w:b/>
                <w:bCs/>
              </w:rPr>
            </w:pPr>
            <w:r w:rsidRPr="000D0630">
              <w:rPr>
                <w:b/>
                <w:bCs/>
              </w:rPr>
              <w:t>Dimensión</w:t>
            </w:r>
          </w:p>
        </w:tc>
        <w:tc>
          <w:tcPr>
            <w:tcW w:w="0" w:type="auto"/>
            <w:vAlign w:val="center"/>
            <w:hideMark/>
          </w:tcPr>
          <w:p w14:paraId="5EED6981" w14:textId="77777777" w:rsidR="000D0630" w:rsidRPr="000D0630" w:rsidRDefault="000D0630" w:rsidP="000D0630">
            <w:pPr>
              <w:rPr>
                <w:b/>
                <w:bCs/>
              </w:rPr>
            </w:pPr>
            <w:r w:rsidRPr="000D0630">
              <w:rPr>
                <w:b/>
                <w:bCs/>
              </w:rPr>
              <w:t>Fuente principal</w:t>
            </w:r>
          </w:p>
        </w:tc>
        <w:tc>
          <w:tcPr>
            <w:tcW w:w="0" w:type="auto"/>
            <w:vAlign w:val="center"/>
            <w:hideMark/>
          </w:tcPr>
          <w:p w14:paraId="54F55E57" w14:textId="77777777" w:rsidR="000D0630" w:rsidRPr="000D0630" w:rsidRDefault="000D0630" w:rsidP="000D0630">
            <w:pPr>
              <w:rPr>
                <w:b/>
                <w:bCs/>
              </w:rPr>
            </w:pPr>
            <w:r w:rsidRPr="000D0630">
              <w:rPr>
                <w:b/>
                <w:bCs/>
              </w:rPr>
              <w:t>Fuente de validación</w:t>
            </w:r>
          </w:p>
        </w:tc>
        <w:tc>
          <w:tcPr>
            <w:tcW w:w="0" w:type="auto"/>
            <w:vAlign w:val="center"/>
            <w:hideMark/>
          </w:tcPr>
          <w:p w14:paraId="64311FB2" w14:textId="77777777" w:rsidR="000D0630" w:rsidRPr="000D0630" w:rsidRDefault="000D0630" w:rsidP="000D0630">
            <w:pPr>
              <w:rPr>
                <w:b/>
                <w:bCs/>
              </w:rPr>
            </w:pPr>
            <w:r w:rsidRPr="000D0630">
              <w:rPr>
                <w:b/>
                <w:bCs/>
              </w:rPr>
              <w:t>Resultado</w:t>
            </w:r>
          </w:p>
        </w:tc>
      </w:tr>
      <w:tr w:rsidR="000D0630" w:rsidRPr="000D0630" w14:paraId="57968253" w14:textId="77777777">
        <w:trPr>
          <w:tblCellSpacing w:w="15" w:type="dxa"/>
        </w:trPr>
        <w:tc>
          <w:tcPr>
            <w:tcW w:w="0" w:type="auto"/>
            <w:vAlign w:val="center"/>
            <w:hideMark/>
          </w:tcPr>
          <w:p w14:paraId="6A0CFAE8" w14:textId="77777777" w:rsidR="000D0630" w:rsidRPr="000D0630" w:rsidRDefault="000D0630" w:rsidP="000D0630">
            <w:r w:rsidRPr="000D0630">
              <w:t>Servicios</w:t>
            </w:r>
          </w:p>
        </w:tc>
        <w:tc>
          <w:tcPr>
            <w:tcW w:w="0" w:type="auto"/>
            <w:vAlign w:val="center"/>
            <w:hideMark/>
          </w:tcPr>
          <w:p w14:paraId="0F02870D" w14:textId="77777777" w:rsidR="000D0630" w:rsidRPr="000D0630" w:rsidRDefault="000D0630" w:rsidP="000D0630">
            <w:proofErr w:type="spellStart"/>
            <w:r w:rsidRPr="000D0630">
              <w:t>Clusters</w:t>
            </w:r>
            <w:proofErr w:type="spellEnd"/>
          </w:p>
        </w:tc>
        <w:tc>
          <w:tcPr>
            <w:tcW w:w="0" w:type="auto"/>
            <w:vAlign w:val="center"/>
            <w:hideMark/>
          </w:tcPr>
          <w:p w14:paraId="6F03BF5B" w14:textId="77777777" w:rsidR="000D0630" w:rsidRPr="000D0630" w:rsidRDefault="000D0630" w:rsidP="000D0630">
            <w:r w:rsidRPr="000D0630">
              <w:t>IPM</w:t>
            </w:r>
          </w:p>
        </w:tc>
        <w:tc>
          <w:tcPr>
            <w:tcW w:w="0" w:type="auto"/>
            <w:vAlign w:val="center"/>
            <w:hideMark/>
          </w:tcPr>
          <w:p w14:paraId="7DD10AC1" w14:textId="77777777" w:rsidR="000D0630" w:rsidRPr="000D0630" w:rsidRDefault="000D0630" w:rsidP="000D0630">
            <w:r w:rsidRPr="000D0630">
              <w:t>Alta consistencia</w:t>
            </w:r>
          </w:p>
        </w:tc>
      </w:tr>
      <w:tr w:rsidR="000D0630" w:rsidRPr="000D0630" w14:paraId="17063856" w14:textId="77777777">
        <w:trPr>
          <w:tblCellSpacing w:w="15" w:type="dxa"/>
        </w:trPr>
        <w:tc>
          <w:tcPr>
            <w:tcW w:w="0" w:type="auto"/>
            <w:vAlign w:val="center"/>
            <w:hideMark/>
          </w:tcPr>
          <w:p w14:paraId="44129FDD" w14:textId="77777777" w:rsidR="000D0630" w:rsidRPr="000D0630" w:rsidRDefault="000D0630" w:rsidP="000D0630">
            <w:r w:rsidRPr="000D0630">
              <w:t>Multidimensional</w:t>
            </w:r>
          </w:p>
        </w:tc>
        <w:tc>
          <w:tcPr>
            <w:tcW w:w="0" w:type="auto"/>
            <w:vAlign w:val="center"/>
            <w:hideMark/>
          </w:tcPr>
          <w:p w14:paraId="198BC8D7" w14:textId="77777777" w:rsidR="000D0630" w:rsidRPr="000D0630" w:rsidRDefault="000D0630" w:rsidP="000D0630">
            <w:proofErr w:type="spellStart"/>
            <w:r w:rsidRPr="000D0630">
              <w:t>Clusters</w:t>
            </w:r>
            <w:proofErr w:type="spellEnd"/>
          </w:p>
        </w:tc>
        <w:tc>
          <w:tcPr>
            <w:tcW w:w="0" w:type="auto"/>
            <w:vAlign w:val="center"/>
            <w:hideMark/>
          </w:tcPr>
          <w:p w14:paraId="22A494A2" w14:textId="77777777" w:rsidR="000D0630" w:rsidRPr="000D0630" w:rsidRDefault="000D0630" w:rsidP="000D0630">
            <w:r w:rsidRPr="000D0630">
              <w:t>IPM</w:t>
            </w:r>
          </w:p>
        </w:tc>
        <w:tc>
          <w:tcPr>
            <w:tcW w:w="0" w:type="auto"/>
            <w:vAlign w:val="center"/>
            <w:hideMark/>
          </w:tcPr>
          <w:p w14:paraId="1EE6CAFE" w14:textId="77777777" w:rsidR="000D0630" w:rsidRPr="000D0630" w:rsidRDefault="000D0630" w:rsidP="000D0630">
            <w:r w:rsidRPr="000D0630">
              <w:t>Alta consistencia</w:t>
            </w:r>
          </w:p>
        </w:tc>
      </w:tr>
      <w:tr w:rsidR="000D0630" w:rsidRPr="000D0630" w14:paraId="3D56B88D" w14:textId="77777777">
        <w:trPr>
          <w:tblCellSpacing w:w="15" w:type="dxa"/>
        </w:trPr>
        <w:tc>
          <w:tcPr>
            <w:tcW w:w="0" w:type="auto"/>
            <w:vAlign w:val="center"/>
            <w:hideMark/>
          </w:tcPr>
          <w:p w14:paraId="64ABE859" w14:textId="77777777" w:rsidR="000D0630" w:rsidRPr="000D0630" w:rsidRDefault="000D0630" w:rsidP="000D0630">
            <w:r w:rsidRPr="000D0630">
              <w:t>Educación</w:t>
            </w:r>
          </w:p>
        </w:tc>
        <w:tc>
          <w:tcPr>
            <w:tcW w:w="0" w:type="auto"/>
            <w:vAlign w:val="center"/>
            <w:hideMark/>
          </w:tcPr>
          <w:p w14:paraId="31FD8582" w14:textId="77777777" w:rsidR="000D0630" w:rsidRPr="000D0630" w:rsidRDefault="000D0630" w:rsidP="000D0630">
            <w:proofErr w:type="spellStart"/>
            <w:r w:rsidRPr="000D0630">
              <w:t>Clusters</w:t>
            </w:r>
            <w:proofErr w:type="spellEnd"/>
          </w:p>
        </w:tc>
        <w:tc>
          <w:tcPr>
            <w:tcW w:w="0" w:type="auto"/>
            <w:vAlign w:val="center"/>
            <w:hideMark/>
          </w:tcPr>
          <w:p w14:paraId="65F7AAA2" w14:textId="77777777" w:rsidR="000D0630" w:rsidRPr="000D0630" w:rsidRDefault="000D0630" w:rsidP="000D0630">
            <w:r w:rsidRPr="000D0630">
              <w:t>GEIH</w:t>
            </w:r>
          </w:p>
        </w:tc>
        <w:tc>
          <w:tcPr>
            <w:tcW w:w="0" w:type="auto"/>
            <w:vAlign w:val="center"/>
            <w:hideMark/>
          </w:tcPr>
          <w:p w14:paraId="695A03F5" w14:textId="77777777" w:rsidR="000D0630" w:rsidRPr="000D0630" w:rsidRDefault="000D0630" w:rsidP="000D0630">
            <w:r w:rsidRPr="000D0630">
              <w:t>Consistencia tras ajuste</w:t>
            </w:r>
          </w:p>
        </w:tc>
      </w:tr>
      <w:tr w:rsidR="000D0630" w:rsidRPr="000D0630" w14:paraId="47BF1FFB" w14:textId="77777777">
        <w:trPr>
          <w:tblCellSpacing w:w="15" w:type="dxa"/>
        </w:trPr>
        <w:tc>
          <w:tcPr>
            <w:tcW w:w="0" w:type="auto"/>
            <w:vAlign w:val="center"/>
            <w:hideMark/>
          </w:tcPr>
          <w:p w14:paraId="42F2DE4D" w14:textId="77777777" w:rsidR="000D0630" w:rsidRPr="000D0630" w:rsidRDefault="000D0630" w:rsidP="000D0630">
            <w:r w:rsidRPr="000D0630">
              <w:t>Laboral</w:t>
            </w:r>
          </w:p>
        </w:tc>
        <w:tc>
          <w:tcPr>
            <w:tcW w:w="0" w:type="auto"/>
            <w:vAlign w:val="center"/>
            <w:hideMark/>
          </w:tcPr>
          <w:p w14:paraId="7A470B15" w14:textId="77777777" w:rsidR="000D0630" w:rsidRPr="000D0630" w:rsidRDefault="000D0630" w:rsidP="000D0630">
            <w:proofErr w:type="spellStart"/>
            <w:r w:rsidRPr="000D0630">
              <w:t>Clusters</w:t>
            </w:r>
            <w:proofErr w:type="spellEnd"/>
          </w:p>
        </w:tc>
        <w:tc>
          <w:tcPr>
            <w:tcW w:w="0" w:type="auto"/>
            <w:vAlign w:val="center"/>
            <w:hideMark/>
          </w:tcPr>
          <w:p w14:paraId="1281200A" w14:textId="77777777" w:rsidR="000D0630" w:rsidRPr="000D0630" w:rsidRDefault="000D0630" w:rsidP="000D0630">
            <w:r w:rsidRPr="000D0630">
              <w:t>GEIH</w:t>
            </w:r>
          </w:p>
        </w:tc>
        <w:tc>
          <w:tcPr>
            <w:tcW w:w="0" w:type="auto"/>
            <w:vAlign w:val="center"/>
            <w:hideMark/>
          </w:tcPr>
          <w:p w14:paraId="7EB6D966" w14:textId="77777777" w:rsidR="000D0630" w:rsidRPr="000D0630" w:rsidRDefault="000D0630" w:rsidP="000D0630">
            <w:r w:rsidRPr="000D0630">
              <w:t>Consistencia relativa</w:t>
            </w:r>
          </w:p>
        </w:tc>
      </w:tr>
      <w:tr w:rsidR="000D0630" w:rsidRPr="000D0630" w14:paraId="04D121B2" w14:textId="77777777">
        <w:trPr>
          <w:tblCellSpacing w:w="15" w:type="dxa"/>
        </w:trPr>
        <w:tc>
          <w:tcPr>
            <w:tcW w:w="0" w:type="auto"/>
            <w:vAlign w:val="center"/>
            <w:hideMark/>
          </w:tcPr>
          <w:p w14:paraId="0A3AB8D4" w14:textId="77777777" w:rsidR="000D0630" w:rsidRPr="000D0630" w:rsidRDefault="000D0630" w:rsidP="000D0630">
            <w:r w:rsidRPr="000D0630">
              <w:t>Habitacional</w:t>
            </w:r>
          </w:p>
        </w:tc>
        <w:tc>
          <w:tcPr>
            <w:tcW w:w="0" w:type="auto"/>
            <w:vAlign w:val="center"/>
            <w:hideMark/>
          </w:tcPr>
          <w:p w14:paraId="09D14BED" w14:textId="77777777" w:rsidR="000D0630" w:rsidRPr="000D0630" w:rsidRDefault="000D0630" w:rsidP="000D0630">
            <w:proofErr w:type="spellStart"/>
            <w:r w:rsidRPr="000D0630">
              <w:t>Clusters</w:t>
            </w:r>
            <w:proofErr w:type="spellEnd"/>
          </w:p>
        </w:tc>
        <w:tc>
          <w:tcPr>
            <w:tcW w:w="0" w:type="auto"/>
            <w:vAlign w:val="center"/>
            <w:hideMark/>
          </w:tcPr>
          <w:p w14:paraId="3D5A6B56" w14:textId="77777777" w:rsidR="000D0630" w:rsidRPr="000D0630" w:rsidRDefault="000D0630" w:rsidP="000D0630">
            <w:r w:rsidRPr="000D0630">
              <w:t>IPM</w:t>
            </w:r>
          </w:p>
        </w:tc>
        <w:tc>
          <w:tcPr>
            <w:tcW w:w="0" w:type="auto"/>
            <w:vAlign w:val="center"/>
            <w:hideMark/>
          </w:tcPr>
          <w:p w14:paraId="50D48A79" w14:textId="77777777" w:rsidR="000D0630" w:rsidRPr="000D0630" w:rsidRDefault="000D0630" w:rsidP="000D0630">
            <w:r w:rsidRPr="000D0630">
              <w:t>Coherencia estructural</w:t>
            </w:r>
          </w:p>
        </w:tc>
      </w:tr>
    </w:tbl>
    <w:p w14:paraId="6606660E" w14:textId="0075DCB1" w:rsidR="000D0630" w:rsidRPr="000D0630" w:rsidRDefault="000D0630" w:rsidP="000D0630">
      <w:pPr>
        <w:rPr>
          <w:b/>
          <w:bCs/>
        </w:rPr>
      </w:pPr>
    </w:p>
    <w:p w14:paraId="1E86105D" w14:textId="3CCEBAA9" w:rsidR="000D0630" w:rsidRPr="000D0630" w:rsidRDefault="000D0630" w:rsidP="000D0630">
      <w:pPr>
        <w:rPr>
          <w:b/>
          <w:bCs/>
        </w:rPr>
      </w:pPr>
      <w:r w:rsidRPr="000D0630">
        <w:rPr>
          <w:b/>
          <w:bCs/>
        </w:rPr>
        <w:lastRenderedPageBreak/>
        <w:t>Comparación clave de resultados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73"/>
        <w:gridCol w:w="1471"/>
        <w:gridCol w:w="1273"/>
        <w:gridCol w:w="889"/>
        <w:gridCol w:w="1653"/>
        <w:gridCol w:w="1287"/>
        <w:gridCol w:w="1086"/>
      </w:tblGrid>
      <w:tr w:rsidR="000D0630" w:rsidRPr="000D0630" w14:paraId="513F3BD4" w14:textId="77777777">
        <w:trPr>
          <w:tblHeader/>
          <w:tblCellSpacing w:w="15" w:type="dxa"/>
        </w:trPr>
        <w:tc>
          <w:tcPr>
            <w:tcW w:w="0" w:type="auto"/>
            <w:vAlign w:val="center"/>
            <w:hideMark/>
          </w:tcPr>
          <w:p w14:paraId="182E7B22" w14:textId="77777777" w:rsidR="000D0630" w:rsidRPr="000D0630" w:rsidRDefault="000D0630" w:rsidP="000D0630">
            <w:pPr>
              <w:rPr>
                <w:b/>
                <w:bCs/>
              </w:rPr>
            </w:pPr>
            <w:r w:rsidRPr="000D0630">
              <w:rPr>
                <w:b/>
                <w:bCs/>
              </w:rPr>
              <w:t>Ciudad</w:t>
            </w:r>
          </w:p>
        </w:tc>
        <w:tc>
          <w:tcPr>
            <w:tcW w:w="0" w:type="auto"/>
            <w:vAlign w:val="center"/>
            <w:hideMark/>
          </w:tcPr>
          <w:p w14:paraId="4A36756F" w14:textId="77777777" w:rsidR="000D0630" w:rsidRPr="000D0630" w:rsidRDefault="000D0630" w:rsidP="000D0630">
            <w:pPr>
              <w:rPr>
                <w:b/>
                <w:bCs/>
              </w:rPr>
            </w:pPr>
            <w:r w:rsidRPr="000D0630">
              <w:rPr>
                <w:b/>
                <w:bCs/>
              </w:rPr>
              <w:t>LAB_CLUSTER</w:t>
            </w:r>
          </w:p>
        </w:tc>
        <w:tc>
          <w:tcPr>
            <w:tcW w:w="0" w:type="auto"/>
            <w:vAlign w:val="center"/>
            <w:hideMark/>
          </w:tcPr>
          <w:p w14:paraId="2643F200" w14:textId="77777777" w:rsidR="000D0630" w:rsidRPr="000D0630" w:rsidRDefault="000D0630" w:rsidP="000D0630">
            <w:pPr>
              <w:rPr>
                <w:b/>
                <w:bCs/>
              </w:rPr>
            </w:pPr>
            <w:r w:rsidRPr="000D0630">
              <w:rPr>
                <w:b/>
                <w:bCs/>
              </w:rPr>
              <w:t>GEIH_OCUP</w:t>
            </w:r>
          </w:p>
        </w:tc>
        <w:tc>
          <w:tcPr>
            <w:tcW w:w="0" w:type="auto"/>
            <w:vAlign w:val="center"/>
            <w:hideMark/>
          </w:tcPr>
          <w:p w14:paraId="17A7B934" w14:textId="77777777" w:rsidR="000D0630" w:rsidRPr="000D0630" w:rsidRDefault="000D0630" w:rsidP="000D0630">
            <w:pPr>
              <w:rPr>
                <w:b/>
                <w:bCs/>
              </w:rPr>
            </w:pPr>
            <w:r w:rsidRPr="000D0630">
              <w:rPr>
                <w:b/>
                <w:bCs/>
              </w:rPr>
              <w:t>DIF_LAB</w:t>
            </w:r>
          </w:p>
        </w:tc>
        <w:tc>
          <w:tcPr>
            <w:tcW w:w="0" w:type="auto"/>
            <w:vAlign w:val="center"/>
            <w:hideMark/>
          </w:tcPr>
          <w:p w14:paraId="1878B325" w14:textId="77777777" w:rsidR="000D0630" w:rsidRPr="000D0630" w:rsidRDefault="000D0630" w:rsidP="000D0630">
            <w:pPr>
              <w:rPr>
                <w:b/>
                <w:bCs/>
              </w:rPr>
            </w:pPr>
            <w:r w:rsidRPr="000D0630">
              <w:rPr>
                <w:b/>
                <w:bCs/>
              </w:rPr>
              <w:t>ASIST_CLUSTER</w:t>
            </w:r>
          </w:p>
        </w:tc>
        <w:tc>
          <w:tcPr>
            <w:tcW w:w="0" w:type="auto"/>
            <w:vAlign w:val="center"/>
            <w:hideMark/>
          </w:tcPr>
          <w:p w14:paraId="697D4F35" w14:textId="77777777" w:rsidR="000D0630" w:rsidRPr="000D0630" w:rsidRDefault="000D0630" w:rsidP="000D0630">
            <w:pPr>
              <w:rPr>
                <w:b/>
                <w:bCs/>
              </w:rPr>
            </w:pPr>
            <w:r w:rsidRPr="000D0630">
              <w:rPr>
                <w:b/>
                <w:bCs/>
              </w:rPr>
              <w:t>ASIST_GEI H</w:t>
            </w:r>
          </w:p>
        </w:tc>
        <w:tc>
          <w:tcPr>
            <w:tcW w:w="0" w:type="auto"/>
            <w:vAlign w:val="center"/>
            <w:hideMark/>
          </w:tcPr>
          <w:p w14:paraId="07548A03" w14:textId="77777777" w:rsidR="000D0630" w:rsidRPr="000D0630" w:rsidRDefault="000D0630" w:rsidP="000D0630">
            <w:pPr>
              <w:rPr>
                <w:b/>
                <w:bCs/>
              </w:rPr>
            </w:pPr>
            <w:r w:rsidRPr="000D0630">
              <w:rPr>
                <w:b/>
                <w:bCs/>
              </w:rPr>
              <w:t>DIF_ASIST</w:t>
            </w:r>
          </w:p>
        </w:tc>
      </w:tr>
      <w:tr w:rsidR="000D0630" w:rsidRPr="000D0630" w14:paraId="68F2D628" w14:textId="77777777">
        <w:trPr>
          <w:tblCellSpacing w:w="15" w:type="dxa"/>
        </w:trPr>
        <w:tc>
          <w:tcPr>
            <w:tcW w:w="0" w:type="auto"/>
            <w:vAlign w:val="center"/>
            <w:hideMark/>
          </w:tcPr>
          <w:p w14:paraId="01E70A56" w14:textId="77777777" w:rsidR="000D0630" w:rsidRPr="000D0630" w:rsidRDefault="000D0630" w:rsidP="000D0630">
            <w:pPr>
              <w:jc w:val="both"/>
            </w:pPr>
            <w:r w:rsidRPr="000D0630">
              <w:t>Armenia</w:t>
            </w:r>
          </w:p>
        </w:tc>
        <w:tc>
          <w:tcPr>
            <w:tcW w:w="0" w:type="auto"/>
            <w:vAlign w:val="center"/>
            <w:hideMark/>
          </w:tcPr>
          <w:p w14:paraId="17844250" w14:textId="77777777" w:rsidR="000D0630" w:rsidRPr="000D0630" w:rsidRDefault="000D0630" w:rsidP="000D0630">
            <w:pPr>
              <w:jc w:val="both"/>
            </w:pPr>
            <w:r w:rsidRPr="000D0630">
              <w:t>0.3985</w:t>
            </w:r>
          </w:p>
        </w:tc>
        <w:tc>
          <w:tcPr>
            <w:tcW w:w="0" w:type="auto"/>
            <w:vAlign w:val="center"/>
            <w:hideMark/>
          </w:tcPr>
          <w:p w14:paraId="47F0ABF7" w14:textId="77777777" w:rsidR="000D0630" w:rsidRPr="000D0630" w:rsidRDefault="000D0630" w:rsidP="000D0630">
            <w:pPr>
              <w:jc w:val="both"/>
            </w:pPr>
            <w:r w:rsidRPr="000D0630">
              <w:t>0.6345</w:t>
            </w:r>
          </w:p>
        </w:tc>
        <w:tc>
          <w:tcPr>
            <w:tcW w:w="0" w:type="auto"/>
            <w:vAlign w:val="center"/>
            <w:hideMark/>
          </w:tcPr>
          <w:p w14:paraId="7701F659" w14:textId="77777777" w:rsidR="000D0630" w:rsidRPr="000D0630" w:rsidRDefault="000D0630" w:rsidP="000D0630">
            <w:pPr>
              <w:jc w:val="both"/>
            </w:pPr>
            <w:r w:rsidRPr="000D0630">
              <w:t>-0.2360</w:t>
            </w:r>
          </w:p>
        </w:tc>
        <w:tc>
          <w:tcPr>
            <w:tcW w:w="0" w:type="auto"/>
            <w:vAlign w:val="center"/>
            <w:hideMark/>
          </w:tcPr>
          <w:p w14:paraId="2154A972" w14:textId="77777777" w:rsidR="000D0630" w:rsidRPr="000D0630" w:rsidRDefault="000D0630" w:rsidP="000D0630">
            <w:pPr>
              <w:jc w:val="both"/>
            </w:pPr>
            <w:r w:rsidRPr="000D0630">
              <w:t>0.2314</w:t>
            </w:r>
          </w:p>
        </w:tc>
        <w:tc>
          <w:tcPr>
            <w:tcW w:w="0" w:type="auto"/>
            <w:vAlign w:val="center"/>
            <w:hideMark/>
          </w:tcPr>
          <w:p w14:paraId="47F550A8" w14:textId="77777777" w:rsidR="000D0630" w:rsidRPr="000D0630" w:rsidRDefault="000D0630" w:rsidP="000D0630">
            <w:pPr>
              <w:jc w:val="both"/>
            </w:pPr>
            <w:r w:rsidRPr="000D0630">
              <w:t>0.2659</w:t>
            </w:r>
          </w:p>
        </w:tc>
        <w:tc>
          <w:tcPr>
            <w:tcW w:w="0" w:type="auto"/>
            <w:vAlign w:val="center"/>
            <w:hideMark/>
          </w:tcPr>
          <w:p w14:paraId="2924197F" w14:textId="77777777" w:rsidR="000D0630" w:rsidRPr="000D0630" w:rsidRDefault="000D0630" w:rsidP="000D0630">
            <w:pPr>
              <w:jc w:val="both"/>
            </w:pPr>
            <w:r w:rsidRPr="000D0630">
              <w:t>-0.0345</w:t>
            </w:r>
          </w:p>
        </w:tc>
      </w:tr>
      <w:tr w:rsidR="000D0630" w:rsidRPr="000D0630" w14:paraId="6336BC12" w14:textId="77777777">
        <w:trPr>
          <w:tblCellSpacing w:w="15" w:type="dxa"/>
        </w:trPr>
        <w:tc>
          <w:tcPr>
            <w:tcW w:w="0" w:type="auto"/>
            <w:vAlign w:val="center"/>
            <w:hideMark/>
          </w:tcPr>
          <w:p w14:paraId="470E9F23" w14:textId="77777777" w:rsidR="000D0630" w:rsidRPr="000D0630" w:rsidRDefault="000D0630" w:rsidP="000D0630">
            <w:pPr>
              <w:jc w:val="both"/>
            </w:pPr>
            <w:r w:rsidRPr="000D0630">
              <w:t>Cali</w:t>
            </w:r>
          </w:p>
        </w:tc>
        <w:tc>
          <w:tcPr>
            <w:tcW w:w="0" w:type="auto"/>
            <w:vAlign w:val="center"/>
            <w:hideMark/>
          </w:tcPr>
          <w:p w14:paraId="16FBDD0E" w14:textId="77777777" w:rsidR="000D0630" w:rsidRPr="000D0630" w:rsidRDefault="000D0630" w:rsidP="000D0630">
            <w:pPr>
              <w:jc w:val="both"/>
            </w:pPr>
            <w:r w:rsidRPr="000D0630">
              <w:t>0.4487</w:t>
            </w:r>
          </w:p>
        </w:tc>
        <w:tc>
          <w:tcPr>
            <w:tcW w:w="0" w:type="auto"/>
            <w:vAlign w:val="center"/>
            <w:hideMark/>
          </w:tcPr>
          <w:p w14:paraId="575C25AC" w14:textId="77777777" w:rsidR="000D0630" w:rsidRPr="000D0630" w:rsidRDefault="000D0630" w:rsidP="000D0630">
            <w:pPr>
              <w:jc w:val="both"/>
            </w:pPr>
            <w:r w:rsidRPr="000D0630">
              <w:t>0.6307</w:t>
            </w:r>
          </w:p>
        </w:tc>
        <w:tc>
          <w:tcPr>
            <w:tcW w:w="0" w:type="auto"/>
            <w:vAlign w:val="center"/>
            <w:hideMark/>
          </w:tcPr>
          <w:p w14:paraId="051E0B2F" w14:textId="77777777" w:rsidR="000D0630" w:rsidRPr="000D0630" w:rsidRDefault="000D0630" w:rsidP="000D0630">
            <w:pPr>
              <w:jc w:val="both"/>
            </w:pPr>
            <w:r w:rsidRPr="000D0630">
              <w:t>-0.1820</w:t>
            </w:r>
          </w:p>
        </w:tc>
        <w:tc>
          <w:tcPr>
            <w:tcW w:w="0" w:type="auto"/>
            <w:vAlign w:val="center"/>
            <w:hideMark/>
          </w:tcPr>
          <w:p w14:paraId="6C9FB96D" w14:textId="77777777" w:rsidR="000D0630" w:rsidRPr="000D0630" w:rsidRDefault="000D0630" w:rsidP="000D0630">
            <w:pPr>
              <w:jc w:val="both"/>
            </w:pPr>
            <w:r w:rsidRPr="000D0630">
              <w:t>0.2356</w:t>
            </w:r>
          </w:p>
        </w:tc>
        <w:tc>
          <w:tcPr>
            <w:tcW w:w="0" w:type="auto"/>
            <w:vAlign w:val="center"/>
            <w:hideMark/>
          </w:tcPr>
          <w:p w14:paraId="46998302" w14:textId="77777777" w:rsidR="000D0630" w:rsidRPr="000D0630" w:rsidRDefault="000D0630" w:rsidP="000D0630">
            <w:pPr>
              <w:jc w:val="both"/>
            </w:pPr>
            <w:r w:rsidRPr="000D0630">
              <w:t>0.2605</w:t>
            </w:r>
          </w:p>
        </w:tc>
        <w:tc>
          <w:tcPr>
            <w:tcW w:w="0" w:type="auto"/>
            <w:vAlign w:val="center"/>
            <w:hideMark/>
          </w:tcPr>
          <w:p w14:paraId="0A43B9AC" w14:textId="77777777" w:rsidR="000D0630" w:rsidRPr="000D0630" w:rsidRDefault="000D0630" w:rsidP="000D0630">
            <w:pPr>
              <w:jc w:val="both"/>
            </w:pPr>
            <w:r w:rsidRPr="000D0630">
              <w:t>-0.0249</w:t>
            </w:r>
          </w:p>
        </w:tc>
      </w:tr>
      <w:tr w:rsidR="000D0630" w:rsidRPr="000D0630" w14:paraId="42AE1429" w14:textId="77777777">
        <w:trPr>
          <w:tblCellSpacing w:w="15" w:type="dxa"/>
        </w:trPr>
        <w:tc>
          <w:tcPr>
            <w:tcW w:w="0" w:type="auto"/>
            <w:vAlign w:val="center"/>
            <w:hideMark/>
          </w:tcPr>
          <w:p w14:paraId="45D9EE68" w14:textId="77777777" w:rsidR="000D0630" w:rsidRPr="000D0630" w:rsidRDefault="000D0630" w:rsidP="000D0630">
            <w:pPr>
              <w:jc w:val="both"/>
            </w:pPr>
            <w:r w:rsidRPr="000D0630">
              <w:t>Pereira</w:t>
            </w:r>
          </w:p>
        </w:tc>
        <w:tc>
          <w:tcPr>
            <w:tcW w:w="0" w:type="auto"/>
            <w:vAlign w:val="center"/>
            <w:hideMark/>
          </w:tcPr>
          <w:p w14:paraId="549BECE3" w14:textId="77777777" w:rsidR="000D0630" w:rsidRPr="000D0630" w:rsidRDefault="000D0630" w:rsidP="000D0630">
            <w:pPr>
              <w:jc w:val="both"/>
            </w:pPr>
            <w:r w:rsidRPr="000D0630">
              <w:t>0.4316</w:t>
            </w:r>
          </w:p>
        </w:tc>
        <w:tc>
          <w:tcPr>
            <w:tcW w:w="0" w:type="auto"/>
            <w:vAlign w:val="center"/>
            <w:hideMark/>
          </w:tcPr>
          <w:p w14:paraId="7CDBA9E3" w14:textId="77777777" w:rsidR="000D0630" w:rsidRPr="000D0630" w:rsidRDefault="000D0630" w:rsidP="000D0630">
            <w:pPr>
              <w:jc w:val="both"/>
            </w:pPr>
            <w:r w:rsidRPr="000D0630">
              <w:t>0.6447</w:t>
            </w:r>
          </w:p>
        </w:tc>
        <w:tc>
          <w:tcPr>
            <w:tcW w:w="0" w:type="auto"/>
            <w:vAlign w:val="center"/>
            <w:hideMark/>
          </w:tcPr>
          <w:p w14:paraId="1211591C" w14:textId="77777777" w:rsidR="000D0630" w:rsidRPr="000D0630" w:rsidRDefault="000D0630" w:rsidP="000D0630">
            <w:pPr>
              <w:jc w:val="both"/>
            </w:pPr>
            <w:r w:rsidRPr="000D0630">
              <w:t>-0.2131</w:t>
            </w:r>
          </w:p>
        </w:tc>
        <w:tc>
          <w:tcPr>
            <w:tcW w:w="0" w:type="auto"/>
            <w:vAlign w:val="center"/>
            <w:hideMark/>
          </w:tcPr>
          <w:p w14:paraId="3E945386" w14:textId="77777777" w:rsidR="000D0630" w:rsidRPr="000D0630" w:rsidRDefault="000D0630" w:rsidP="000D0630">
            <w:pPr>
              <w:jc w:val="both"/>
            </w:pPr>
            <w:r w:rsidRPr="000D0630">
              <w:t>0.2533</w:t>
            </w:r>
          </w:p>
        </w:tc>
        <w:tc>
          <w:tcPr>
            <w:tcW w:w="0" w:type="auto"/>
            <w:vAlign w:val="center"/>
            <w:hideMark/>
          </w:tcPr>
          <w:p w14:paraId="5B55190A" w14:textId="77777777" w:rsidR="000D0630" w:rsidRPr="000D0630" w:rsidRDefault="000D0630" w:rsidP="000D0630">
            <w:pPr>
              <w:jc w:val="both"/>
            </w:pPr>
            <w:r w:rsidRPr="000D0630">
              <w:t>0.2557</w:t>
            </w:r>
          </w:p>
        </w:tc>
        <w:tc>
          <w:tcPr>
            <w:tcW w:w="0" w:type="auto"/>
            <w:vAlign w:val="center"/>
            <w:hideMark/>
          </w:tcPr>
          <w:p w14:paraId="6AAE7AE8" w14:textId="77777777" w:rsidR="000D0630" w:rsidRPr="000D0630" w:rsidRDefault="000D0630" w:rsidP="000D0630">
            <w:pPr>
              <w:jc w:val="both"/>
            </w:pPr>
            <w:r w:rsidRPr="000D0630">
              <w:t>-0.0024</w:t>
            </w:r>
          </w:p>
        </w:tc>
      </w:tr>
    </w:tbl>
    <w:p w14:paraId="2B4848BB" w14:textId="5F52A44C" w:rsidR="000D0630" w:rsidRPr="000D0630" w:rsidRDefault="000D0630" w:rsidP="000D0630">
      <w:pPr>
        <w:rPr>
          <w:b/>
          <w:bCs/>
        </w:rPr>
      </w:pPr>
    </w:p>
    <w:p w14:paraId="0F1AEDA0" w14:textId="77777777" w:rsidR="000D0630" w:rsidRPr="000D0630" w:rsidRDefault="000D0630" w:rsidP="000D0630">
      <w:pPr>
        <w:jc w:val="both"/>
      </w:pPr>
      <w:r w:rsidRPr="000D0630">
        <w:t>Esta integración permite concluir que el modelo es consistente en múltiples dimensiones, siempre que se consideren las diferencias en la naturaleza de los datos.</w:t>
      </w:r>
    </w:p>
    <w:p w14:paraId="69CB20EB" w14:textId="77777777" w:rsidR="000D0630" w:rsidRDefault="000D0630" w:rsidP="00A9131E">
      <w:pPr>
        <w:rPr>
          <w:b/>
          <w:bCs/>
        </w:rPr>
      </w:pPr>
    </w:p>
    <w:p w14:paraId="182DA00B" w14:textId="77777777" w:rsidR="00533F57" w:rsidRPr="00533F57" w:rsidRDefault="00533F57" w:rsidP="00533F57">
      <w:pPr>
        <w:rPr>
          <w:b/>
          <w:bCs/>
        </w:rPr>
      </w:pPr>
      <w:r w:rsidRPr="00533F57">
        <w:rPr>
          <w:b/>
          <w:bCs/>
        </w:rPr>
        <w:t>Discusión</w:t>
      </w:r>
    </w:p>
    <w:p w14:paraId="296190A0" w14:textId="77777777" w:rsidR="00533F57" w:rsidRPr="00533F57" w:rsidRDefault="00533F57" w:rsidP="00533F57">
      <w:pPr>
        <w:jc w:val="both"/>
      </w:pPr>
      <w:r w:rsidRPr="00533F57">
        <w:t>Los resultados obtenidos evidencian que la comparación entre distintas fuentes de información requiere un análisis crítico de sus diferencias metodológicas, particularmente en términos de escala, definición de variables y naturaleza de los datos.</w:t>
      </w:r>
    </w:p>
    <w:p w14:paraId="1EF620AB" w14:textId="77777777" w:rsidR="00533F57" w:rsidRPr="00533F57" w:rsidRDefault="00533F57" w:rsidP="00533F57">
      <w:pPr>
        <w:jc w:val="both"/>
      </w:pPr>
      <w:r w:rsidRPr="00533F57">
        <w:t xml:space="preserve">En primer lugar, el nivel de agregación espacial influye directamente en la interpretación de los resultados. El </w:t>
      </w:r>
      <w:proofErr w:type="spellStart"/>
      <w:r w:rsidRPr="00533F57">
        <w:t>clustering</w:t>
      </w:r>
      <w:proofErr w:type="spellEnd"/>
      <w:r w:rsidRPr="00533F57">
        <w:t>, al trabajar a nivel de manzana, permite capturar una mayor heterogeneidad espacial, mientras que el IPM, al estar agregado a nivel departamental, presenta una visión más general del territorio. La GEIH, por su parte, permite una validación intermedia a nivel urbano.</w:t>
      </w:r>
    </w:p>
    <w:p w14:paraId="63501217" w14:textId="77777777" w:rsidR="00533F57" w:rsidRPr="00533F57" w:rsidRDefault="00533F57" w:rsidP="00533F57">
      <w:pPr>
        <w:jc w:val="both"/>
      </w:pPr>
      <w:r w:rsidRPr="00533F57">
        <w:t>En segundo lugar, la naturaleza de los datos introduce diferencias importantes. El censo proporciona información completa de la población, mientras que la GEIH es una encuesta muestral, lo que implica la existencia de error muestral. Sin embargo, la consistencia observada entre ambas fuentes sugiere que los patrones identificados son robustos.</w:t>
      </w:r>
    </w:p>
    <w:p w14:paraId="11D2F19F" w14:textId="77777777" w:rsidR="00533F57" w:rsidRPr="00533F57" w:rsidRDefault="00533F57" w:rsidP="00533F57">
      <w:pPr>
        <w:jc w:val="both"/>
      </w:pPr>
      <w:r w:rsidRPr="00533F57">
        <w:t>En tercer lugar, la definición de los indicadores constituye el principal desafío en la comparación. Esto es evidente en las dimensiones educativa y laboral al compararlas con el IPM, donde las diferencias en la construcción de los indicadores generan discrepancias en los valores absolutos.</w:t>
      </w:r>
    </w:p>
    <w:p w14:paraId="648C1E80" w14:textId="7B9BED29" w:rsidR="00533F57" w:rsidRPr="00533F57" w:rsidRDefault="00533F57" w:rsidP="00533F57">
      <w:pPr>
        <w:rPr>
          <w:b/>
          <w:bCs/>
        </w:rPr>
      </w:pPr>
    </w:p>
    <w:p w14:paraId="6E7B081D" w14:textId="3F069C03" w:rsidR="00533F57" w:rsidRPr="00533F57" w:rsidRDefault="00533F57" w:rsidP="00533F57">
      <w:pPr>
        <w:rPr>
          <w:b/>
          <w:bCs/>
        </w:rPr>
      </w:pPr>
      <w:r w:rsidRPr="00533F57">
        <w:rPr>
          <w:b/>
          <w:bCs/>
        </w:rPr>
        <w:t>Principales fuentes de discrepancia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5"/>
        <w:gridCol w:w="2277"/>
        <w:gridCol w:w="2808"/>
      </w:tblGrid>
      <w:tr w:rsidR="00533F57" w:rsidRPr="00533F57" w14:paraId="2BA42AF2" w14:textId="77777777">
        <w:trPr>
          <w:tblHeader/>
          <w:tblCellSpacing w:w="15" w:type="dxa"/>
        </w:trPr>
        <w:tc>
          <w:tcPr>
            <w:tcW w:w="0" w:type="auto"/>
            <w:vAlign w:val="center"/>
            <w:hideMark/>
          </w:tcPr>
          <w:p w14:paraId="00F324CB" w14:textId="77777777" w:rsidR="00533F57" w:rsidRPr="00533F57" w:rsidRDefault="00533F57" w:rsidP="00533F57">
            <w:pPr>
              <w:rPr>
                <w:b/>
                <w:bCs/>
              </w:rPr>
            </w:pPr>
            <w:r w:rsidRPr="00533F57">
              <w:rPr>
                <w:b/>
                <w:bCs/>
              </w:rPr>
              <w:t>Dimensión</w:t>
            </w:r>
          </w:p>
        </w:tc>
        <w:tc>
          <w:tcPr>
            <w:tcW w:w="0" w:type="auto"/>
            <w:vAlign w:val="center"/>
            <w:hideMark/>
          </w:tcPr>
          <w:p w14:paraId="0AD734B9" w14:textId="77777777" w:rsidR="00533F57" w:rsidRPr="00533F57" w:rsidRDefault="00533F57" w:rsidP="00533F57">
            <w:pPr>
              <w:rPr>
                <w:b/>
                <w:bCs/>
              </w:rPr>
            </w:pPr>
            <w:r w:rsidRPr="00533F57">
              <w:rPr>
                <w:b/>
                <w:bCs/>
              </w:rPr>
              <w:t>Problema identificado</w:t>
            </w:r>
          </w:p>
        </w:tc>
        <w:tc>
          <w:tcPr>
            <w:tcW w:w="0" w:type="auto"/>
            <w:vAlign w:val="center"/>
            <w:hideMark/>
          </w:tcPr>
          <w:p w14:paraId="7D0E60CA" w14:textId="77777777" w:rsidR="00533F57" w:rsidRPr="00533F57" w:rsidRDefault="00533F57" w:rsidP="00533F57">
            <w:pPr>
              <w:rPr>
                <w:b/>
                <w:bCs/>
              </w:rPr>
            </w:pPr>
            <w:r w:rsidRPr="00533F57">
              <w:rPr>
                <w:b/>
                <w:bCs/>
              </w:rPr>
              <w:t>Explicación</w:t>
            </w:r>
          </w:p>
        </w:tc>
      </w:tr>
      <w:tr w:rsidR="00533F57" w:rsidRPr="00533F57" w14:paraId="7914F758" w14:textId="77777777">
        <w:trPr>
          <w:tblCellSpacing w:w="15" w:type="dxa"/>
        </w:trPr>
        <w:tc>
          <w:tcPr>
            <w:tcW w:w="0" w:type="auto"/>
            <w:vAlign w:val="center"/>
            <w:hideMark/>
          </w:tcPr>
          <w:p w14:paraId="54104407" w14:textId="77777777" w:rsidR="00533F57" w:rsidRPr="00154B6E" w:rsidRDefault="00533F57" w:rsidP="00533F57">
            <w:r w:rsidRPr="00154B6E">
              <w:t>Educación</w:t>
            </w:r>
          </w:p>
        </w:tc>
        <w:tc>
          <w:tcPr>
            <w:tcW w:w="0" w:type="auto"/>
            <w:vAlign w:val="center"/>
            <w:hideMark/>
          </w:tcPr>
          <w:p w14:paraId="0F0EB0A4" w14:textId="77777777" w:rsidR="00533F57" w:rsidRPr="00154B6E" w:rsidRDefault="00533F57" w:rsidP="00533F57">
            <w:r w:rsidRPr="00154B6E">
              <w:t>Diferencia de escala</w:t>
            </w:r>
          </w:p>
        </w:tc>
        <w:tc>
          <w:tcPr>
            <w:tcW w:w="0" w:type="auto"/>
            <w:vAlign w:val="center"/>
            <w:hideMark/>
          </w:tcPr>
          <w:p w14:paraId="419B2CDD" w14:textId="77777777" w:rsidR="00533F57" w:rsidRPr="00154B6E" w:rsidRDefault="00533F57" w:rsidP="00533F57">
            <w:r w:rsidRPr="00154B6E">
              <w:t>IPM vs proporciones directas</w:t>
            </w:r>
          </w:p>
        </w:tc>
      </w:tr>
      <w:tr w:rsidR="00533F57" w:rsidRPr="00533F57" w14:paraId="07F31396" w14:textId="77777777">
        <w:trPr>
          <w:tblCellSpacing w:w="15" w:type="dxa"/>
        </w:trPr>
        <w:tc>
          <w:tcPr>
            <w:tcW w:w="0" w:type="auto"/>
            <w:vAlign w:val="center"/>
            <w:hideMark/>
          </w:tcPr>
          <w:p w14:paraId="3461DBBD" w14:textId="77777777" w:rsidR="00533F57" w:rsidRPr="00154B6E" w:rsidRDefault="00533F57" w:rsidP="00533F57">
            <w:r w:rsidRPr="00154B6E">
              <w:t>Laboral</w:t>
            </w:r>
          </w:p>
        </w:tc>
        <w:tc>
          <w:tcPr>
            <w:tcW w:w="0" w:type="auto"/>
            <w:vAlign w:val="center"/>
            <w:hideMark/>
          </w:tcPr>
          <w:p w14:paraId="2937A360" w14:textId="77777777" w:rsidR="00533F57" w:rsidRPr="00154B6E" w:rsidRDefault="00533F57" w:rsidP="00533F57">
            <w:r w:rsidRPr="00154B6E">
              <w:t>Diferencia conceptual</w:t>
            </w:r>
          </w:p>
        </w:tc>
        <w:tc>
          <w:tcPr>
            <w:tcW w:w="0" w:type="auto"/>
            <w:vAlign w:val="center"/>
            <w:hideMark/>
          </w:tcPr>
          <w:p w14:paraId="568358D0" w14:textId="77777777" w:rsidR="00533F57" w:rsidRPr="00154B6E" w:rsidRDefault="00533F57" w:rsidP="00533F57">
            <w:r w:rsidRPr="00154B6E">
              <w:t>Ocupación vs empleo formal</w:t>
            </w:r>
          </w:p>
        </w:tc>
      </w:tr>
      <w:tr w:rsidR="00533F57" w:rsidRPr="00533F57" w14:paraId="1402A603" w14:textId="77777777">
        <w:trPr>
          <w:tblCellSpacing w:w="15" w:type="dxa"/>
        </w:trPr>
        <w:tc>
          <w:tcPr>
            <w:tcW w:w="0" w:type="auto"/>
            <w:vAlign w:val="center"/>
            <w:hideMark/>
          </w:tcPr>
          <w:p w14:paraId="134303D0" w14:textId="77777777" w:rsidR="00533F57" w:rsidRPr="00154B6E" w:rsidRDefault="00533F57" w:rsidP="00533F57">
            <w:r w:rsidRPr="00154B6E">
              <w:t>Escolaridad</w:t>
            </w:r>
          </w:p>
        </w:tc>
        <w:tc>
          <w:tcPr>
            <w:tcW w:w="0" w:type="auto"/>
            <w:vAlign w:val="center"/>
            <w:hideMark/>
          </w:tcPr>
          <w:p w14:paraId="0CF5FD62" w14:textId="77777777" w:rsidR="00533F57" w:rsidRPr="00154B6E" w:rsidRDefault="00533F57" w:rsidP="00533F57">
            <w:r w:rsidRPr="00154B6E">
              <w:t>Diferencia de medición</w:t>
            </w:r>
          </w:p>
        </w:tc>
        <w:tc>
          <w:tcPr>
            <w:tcW w:w="0" w:type="auto"/>
            <w:vAlign w:val="center"/>
            <w:hideMark/>
          </w:tcPr>
          <w:p w14:paraId="540662A1" w14:textId="77777777" w:rsidR="00533F57" w:rsidRPr="00154B6E" w:rsidRDefault="00533F57" w:rsidP="00533F57">
            <w:r w:rsidRPr="00154B6E">
              <w:t>Años vs categorías</w:t>
            </w:r>
          </w:p>
        </w:tc>
      </w:tr>
      <w:tr w:rsidR="00533F57" w:rsidRPr="00533F57" w14:paraId="30E3BE5C" w14:textId="77777777">
        <w:trPr>
          <w:tblCellSpacing w:w="15" w:type="dxa"/>
        </w:trPr>
        <w:tc>
          <w:tcPr>
            <w:tcW w:w="0" w:type="auto"/>
            <w:vAlign w:val="center"/>
            <w:hideMark/>
          </w:tcPr>
          <w:p w14:paraId="44A78DAB" w14:textId="77777777" w:rsidR="00533F57" w:rsidRPr="00154B6E" w:rsidRDefault="00533F57" w:rsidP="00533F57">
            <w:r w:rsidRPr="00154B6E">
              <w:lastRenderedPageBreak/>
              <w:t>Territorial</w:t>
            </w:r>
          </w:p>
        </w:tc>
        <w:tc>
          <w:tcPr>
            <w:tcW w:w="0" w:type="auto"/>
            <w:vAlign w:val="center"/>
            <w:hideMark/>
          </w:tcPr>
          <w:p w14:paraId="6AF2A505" w14:textId="77777777" w:rsidR="00533F57" w:rsidRPr="00154B6E" w:rsidRDefault="00533F57" w:rsidP="00533F57">
            <w:r w:rsidRPr="00154B6E">
              <w:t>Nivel de agregación</w:t>
            </w:r>
          </w:p>
        </w:tc>
        <w:tc>
          <w:tcPr>
            <w:tcW w:w="0" w:type="auto"/>
            <w:vAlign w:val="center"/>
            <w:hideMark/>
          </w:tcPr>
          <w:p w14:paraId="79B1B117" w14:textId="77777777" w:rsidR="00533F57" w:rsidRPr="00154B6E" w:rsidRDefault="00533F57" w:rsidP="00533F57">
            <w:r w:rsidRPr="00154B6E">
              <w:t>Ciudad vs departamento</w:t>
            </w:r>
          </w:p>
        </w:tc>
      </w:tr>
    </w:tbl>
    <w:p w14:paraId="2C0AA4C4" w14:textId="5F75A34D" w:rsidR="00533F57" w:rsidRPr="00533F57" w:rsidRDefault="00533F57" w:rsidP="00533F57">
      <w:pPr>
        <w:rPr>
          <w:b/>
          <w:bCs/>
        </w:rPr>
      </w:pPr>
    </w:p>
    <w:p w14:paraId="2F5FC8C6" w14:textId="77777777" w:rsidR="00533F57" w:rsidRPr="00533F57" w:rsidRDefault="00533F57" w:rsidP="00533F57">
      <w:r w:rsidRPr="00533F57">
        <w:t>A pesar de estas diferencias, el análisis demuestra que los patrones relativos entre ciudades se mantienen, lo que refuerza la validez del modelo.</w:t>
      </w:r>
    </w:p>
    <w:p w14:paraId="32C57528" w14:textId="6C33D043" w:rsidR="00533F57" w:rsidRPr="00533F57" w:rsidRDefault="00533F57" w:rsidP="00533F57">
      <w:pPr>
        <w:rPr>
          <w:b/>
          <w:bCs/>
        </w:rPr>
      </w:pPr>
      <w:r w:rsidRPr="00533F57">
        <w:rPr>
          <w:b/>
          <w:bCs/>
        </w:rPr>
        <w:t xml:space="preserve">Conclusiones </w:t>
      </w:r>
    </w:p>
    <w:p w14:paraId="5C2C4DE8" w14:textId="77777777" w:rsidR="00533F57" w:rsidRPr="00533F57" w:rsidRDefault="00533F57" w:rsidP="00533F57">
      <w:pPr>
        <w:jc w:val="both"/>
      </w:pPr>
      <w:r w:rsidRPr="00533F57">
        <w:t xml:space="preserve">El análisis comparativo desarrollado permite concluir que el modelo de </w:t>
      </w:r>
      <w:proofErr w:type="spellStart"/>
      <w:r w:rsidRPr="00533F57">
        <w:t>clustering</w:t>
      </w:r>
      <w:proofErr w:type="spellEnd"/>
      <w:r w:rsidRPr="00533F57">
        <w:t xml:space="preserve"> basado en el Censo DANE 2018 presenta una alta capacidad para capturar patrones de desigualdad socioeconómica a nivel territorial.</w:t>
      </w:r>
    </w:p>
    <w:p w14:paraId="2AB596F9" w14:textId="77777777" w:rsidR="00533F57" w:rsidRPr="00533F57" w:rsidRDefault="00533F57" w:rsidP="00533F57">
      <w:pPr>
        <w:jc w:val="both"/>
      </w:pPr>
      <w:r w:rsidRPr="00533F57">
        <w:t>La validación con el IPM evidenció que el modelo reproduce adecuadamente la estructura general del territorio, particularmente en las dimensiones de servicios y pobreza multidimensional. Estas dimensiones presentan una alta coherencia entre ciudades y departamentos, lo que confirma la robustez del modelo en la representación de condiciones estructurales.</w:t>
      </w:r>
    </w:p>
    <w:p w14:paraId="136D9232" w14:textId="77777777" w:rsidR="00533F57" w:rsidRPr="00533F57" w:rsidRDefault="00533F57" w:rsidP="00533F57">
      <w:pPr>
        <w:jc w:val="both"/>
      </w:pPr>
      <w:r w:rsidRPr="00533F57">
        <w:t>Por otro lado, la incorporación de la GEIH permitió validar dimensiones específicas a nivel urbano, especialmente educación y empleo. En estos casos, se evidenció que las discrepancias observadas con el IPM no corresponden a fallas del modelo, sino a diferencias en la definición de los indicadores.</w:t>
      </w:r>
    </w:p>
    <w:p w14:paraId="6D8E436E" w14:textId="5ADD401C" w:rsidR="00533F57" w:rsidRPr="00533F57" w:rsidRDefault="00533F57" w:rsidP="00533F57">
      <w:pPr>
        <w:rPr>
          <w:b/>
          <w:bCs/>
        </w:rPr>
      </w:pPr>
    </w:p>
    <w:p w14:paraId="05BDC6CE" w14:textId="74F1681B" w:rsidR="00533F57" w:rsidRPr="00533F57" w:rsidRDefault="00533F57" w:rsidP="00533F57">
      <w:pPr>
        <w:rPr>
          <w:b/>
          <w:bCs/>
        </w:rPr>
      </w:pPr>
      <w:r w:rsidRPr="00533F57">
        <w:rPr>
          <w:b/>
          <w:bCs/>
        </w:rPr>
        <w:t>Síntesis final de validación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1"/>
        <w:gridCol w:w="1444"/>
        <w:gridCol w:w="2467"/>
        <w:gridCol w:w="2466"/>
      </w:tblGrid>
      <w:tr w:rsidR="00533F57" w:rsidRPr="00533F57" w14:paraId="290FDA10" w14:textId="77777777">
        <w:trPr>
          <w:tblHeader/>
          <w:tblCellSpacing w:w="15" w:type="dxa"/>
        </w:trPr>
        <w:tc>
          <w:tcPr>
            <w:tcW w:w="0" w:type="auto"/>
            <w:vAlign w:val="center"/>
            <w:hideMark/>
          </w:tcPr>
          <w:p w14:paraId="5C80796B" w14:textId="77777777" w:rsidR="00533F57" w:rsidRPr="00533F57" w:rsidRDefault="00533F57" w:rsidP="00533F57">
            <w:pPr>
              <w:rPr>
                <w:b/>
                <w:bCs/>
              </w:rPr>
            </w:pPr>
            <w:r w:rsidRPr="00533F57">
              <w:rPr>
                <w:b/>
                <w:bCs/>
              </w:rPr>
              <w:t>Fuente</w:t>
            </w:r>
          </w:p>
        </w:tc>
        <w:tc>
          <w:tcPr>
            <w:tcW w:w="0" w:type="auto"/>
            <w:vAlign w:val="center"/>
            <w:hideMark/>
          </w:tcPr>
          <w:p w14:paraId="47BEDAA2" w14:textId="77777777" w:rsidR="00533F57" w:rsidRPr="00533F57" w:rsidRDefault="00533F57" w:rsidP="00533F57">
            <w:pPr>
              <w:rPr>
                <w:b/>
                <w:bCs/>
              </w:rPr>
            </w:pPr>
            <w:r w:rsidRPr="00533F57">
              <w:rPr>
                <w:b/>
                <w:bCs/>
              </w:rPr>
              <w:t>Nivel</w:t>
            </w:r>
          </w:p>
        </w:tc>
        <w:tc>
          <w:tcPr>
            <w:tcW w:w="0" w:type="auto"/>
            <w:vAlign w:val="center"/>
            <w:hideMark/>
          </w:tcPr>
          <w:p w14:paraId="7FD64DBE" w14:textId="77777777" w:rsidR="00533F57" w:rsidRPr="00533F57" w:rsidRDefault="00533F57" w:rsidP="00533F57">
            <w:pPr>
              <w:rPr>
                <w:b/>
                <w:bCs/>
              </w:rPr>
            </w:pPr>
            <w:r w:rsidRPr="00533F57">
              <w:rPr>
                <w:b/>
                <w:bCs/>
              </w:rPr>
              <w:t>Rol en el análisis</w:t>
            </w:r>
          </w:p>
        </w:tc>
        <w:tc>
          <w:tcPr>
            <w:tcW w:w="0" w:type="auto"/>
            <w:vAlign w:val="center"/>
            <w:hideMark/>
          </w:tcPr>
          <w:p w14:paraId="5B716A82" w14:textId="77777777" w:rsidR="00533F57" w:rsidRPr="00533F57" w:rsidRDefault="00533F57" w:rsidP="00533F57">
            <w:pPr>
              <w:rPr>
                <w:b/>
                <w:bCs/>
              </w:rPr>
            </w:pPr>
            <w:r w:rsidRPr="00533F57">
              <w:rPr>
                <w:b/>
                <w:bCs/>
              </w:rPr>
              <w:t>Resultado</w:t>
            </w:r>
          </w:p>
        </w:tc>
      </w:tr>
      <w:tr w:rsidR="00533F57" w:rsidRPr="00533F57" w14:paraId="517F0000" w14:textId="77777777">
        <w:trPr>
          <w:tblCellSpacing w:w="15" w:type="dxa"/>
        </w:trPr>
        <w:tc>
          <w:tcPr>
            <w:tcW w:w="0" w:type="auto"/>
            <w:vAlign w:val="center"/>
            <w:hideMark/>
          </w:tcPr>
          <w:p w14:paraId="602D73AC" w14:textId="77777777" w:rsidR="00533F57" w:rsidRPr="00533F57" w:rsidRDefault="00533F57" w:rsidP="00533F57">
            <w:r w:rsidRPr="00533F57">
              <w:t>Censo DANE</w:t>
            </w:r>
          </w:p>
        </w:tc>
        <w:tc>
          <w:tcPr>
            <w:tcW w:w="0" w:type="auto"/>
            <w:vAlign w:val="center"/>
            <w:hideMark/>
          </w:tcPr>
          <w:p w14:paraId="4ABB81D9" w14:textId="77777777" w:rsidR="00533F57" w:rsidRPr="00533F57" w:rsidRDefault="00533F57" w:rsidP="00533F57">
            <w:r w:rsidRPr="00533F57">
              <w:t>Manzana</w:t>
            </w:r>
          </w:p>
        </w:tc>
        <w:tc>
          <w:tcPr>
            <w:tcW w:w="0" w:type="auto"/>
            <w:vAlign w:val="center"/>
            <w:hideMark/>
          </w:tcPr>
          <w:p w14:paraId="16713F0C" w14:textId="77777777" w:rsidR="00533F57" w:rsidRPr="00533F57" w:rsidRDefault="00533F57" w:rsidP="00533F57">
            <w:r w:rsidRPr="00533F57">
              <w:t>Construcción del modelo</w:t>
            </w:r>
          </w:p>
        </w:tc>
        <w:tc>
          <w:tcPr>
            <w:tcW w:w="0" w:type="auto"/>
            <w:vAlign w:val="center"/>
            <w:hideMark/>
          </w:tcPr>
          <w:p w14:paraId="118C6157" w14:textId="77777777" w:rsidR="00533F57" w:rsidRPr="00533F57" w:rsidRDefault="00533F57" w:rsidP="00533F57">
            <w:r w:rsidRPr="00533F57">
              <w:t>Base analítica</w:t>
            </w:r>
          </w:p>
        </w:tc>
      </w:tr>
      <w:tr w:rsidR="00533F57" w:rsidRPr="00533F57" w14:paraId="36658C0E" w14:textId="77777777">
        <w:trPr>
          <w:tblCellSpacing w:w="15" w:type="dxa"/>
        </w:trPr>
        <w:tc>
          <w:tcPr>
            <w:tcW w:w="0" w:type="auto"/>
            <w:vAlign w:val="center"/>
            <w:hideMark/>
          </w:tcPr>
          <w:p w14:paraId="102FDF16" w14:textId="77777777" w:rsidR="00533F57" w:rsidRPr="00533F57" w:rsidRDefault="00533F57" w:rsidP="00533F57">
            <w:r w:rsidRPr="00533F57">
              <w:t>IPM</w:t>
            </w:r>
          </w:p>
        </w:tc>
        <w:tc>
          <w:tcPr>
            <w:tcW w:w="0" w:type="auto"/>
            <w:vAlign w:val="center"/>
            <w:hideMark/>
          </w:tcPr>
          <w:p w14:paraId="178E15BA" w14:textId="77777777" w:rsidR="00533F57" w:rsidRPr="00533F57" w:rsidRDefault="00533F57" w:rsidP="00533F57">
            <w:r w:rsidRPr="00533F57">
              <w:t>Departamento</w:t>
            </w:r>
          </w:p>
        </w:tc>
        <w:tc>
          <w:tcPr>
            <w:tcW w:w="0" w:type="auto"/>
            <w:vAlign w:val="center"/>
            <w:hideMark/>
          </w:tcPr>
          <w:p w14:paraId="40E44607" w14:textId="77777777" w:rsidR="00533F57" w:rsidRPr="00533F57" w:rsidRDefault="00533F57" w:rsidP="00533F57">
            <w:r w:rsidRPr="00533F57">
              <w:t>Validación estructural</w:t>
            </w:r>
          </w:p>
        </w:tc>
        <w:tc>
          <w:tcPr>
            <w:tcW w:w="0" w:type="auto"/>
            <w:vAlign w:val="center"/>
            <w:hideMark/>
          </w:tcPr>
          <w:p w14:paraId="105F62FF" w14:textId="77777777" w:rsidR="00533F57" w:rsidRPr="00533F57" w:rsidRDefault="00533F57" w:rsidP="00533F57">
            <w:r w:rsidRPr="00533F57">
              <w:t>Alta coherencia</w:t>
            </w:r>
          </w:p>
        </w:tc>
      </w:tr>
      <w:tr w:rsidR="00533F57" w:rsidRPr="00533F57" w14:paraId="57B0ADD3" w14:textId="77777777">
        <w:trPr>
          <w:tblCellSpacing w:w="15" w:type="dxa"/>
        </w:trPr>
        <w:tc>
          <w:tcPr>
            <w:tcW w:w="0" w:type="auto"/>
            <w:vAlign w:val="center"/>
            <w:hideMark/>
          </w:tcPr>
          <w:p w14:paraId="70BAD07F" w14:textId="77777777" w:rsidR="00533F57" w:rsidRPr="00533F57" w:rsidRDefault="00533F57" w:rsidP="00533F57">
            <w:r w:rsidRPr="00533F57">
              <w:t>GEIH</w:t>
            </w:r>
          </w:p>
        </w:tc>
        <w:tc>
          <w:tcPr>
            <w:tcW w:w="0" w:type="auto"/>
            <w:vAlign w:val="center"/>
            <w:hideMark/>
          </w:tcPr>
          <w:p w14:paraId="49DD890E" w14:textId="77777777" w:rsidR="00533F57" w:rsidRPr="00533F57" w:rsidRDefault="00533F57" w:rsidP="00533F57">
            <w:r w:rsidRPr="00533F57">
              <w:t>Ciudad</w:t>
            </w:r>
          </w:p>
        </w:tc>
        <w:tc>
          <w:tcPr>
            <w:tcW w:w="0" w:type="auto"/>
            <w:vAlign w:val="center"/>
            <w:hideMark/>
          </w:tcPr>
          <w:p w14:paraId="52DFADBC" w14:textId="77777777" w:rsidR="00533F57" w:rsidRPr="00533F57" w:rsidRDefault="00533F57" w:rsidP="00533F57">
            <w:r w:rsidRPr="00533F57">
              <w:t>Validación urbana</w:t>
            </w:r>
          </w:p>
        </w:tc>
        <w:tc>
          <w:tcPr>
            <w:tcW w:w="0" w:type="auto"/>
            <w:vAlign w:val="center"/>
            <w:hideMark/>
          </w:tcPr>
          <w:p w14:paraId="6A18E25B" w14:textId="77777777" w:rsidR="00533F57" w:rsidRPr="00533F57" w:rsidRDefault="00533F57" w:rsidP="00533F57">
            <w:r w:rsidRPr="00533F57">
              <w:t>Consistencia confirmada</w:t>
            </w:r>
          </w:p>
        </w:tc>
      </w:tr>
    </w:tbl>
    <w:p w14:paraId="30095FA7" w14:textId="37ABF4DB" w:rsidR="00533F57" w:rsidRPr="00533F57" w:rsidRDefault="00533F57" w:rsidP="00533F57">
      <w:pPr>
        <w:rPr>
          <w:b/>
          <w:bCs/>
        </w:rPr>
      </w:pPr>
    </w:p>
    <w:p w14:paraId="72A76800" w14:textId="77777777" w:rsidR="00533F57" w:rsidRPr="00533F57" w:rsidRDefault="00533F57" w:rsidP="00533F57">
      <w:pPr>
        <w:jc w:val="both"/>
      </w:pPr>
      <w:r w:rsidRPr="00533F57">
        <w:t>En conjunto, los resultados demuestran que el modelo presenta una validez robusta en múltiples dimensiones y escalas, al mantenerse consistente tanto con datos agregados oficiales como con información muestral independiente.</w:t>
      </w:r>
    </w:p>
    <w:p w14:paraId="1B4DBC24" w14:textId="77777777" w:rsidR="00533F57" w:rsidRPr="00533F57" w:rsidRDefault="00533F57" w:rsidP="00533F57">
      <w:pPr>
        <w:jc w:val="both"/>
      </w:pPr>
      <w:r w:rsidRPr="00533F57">
        <w:t>La triangulación de fuentes constituye uno de los principales aportes del análisis, ya que permite validar los resultados desde diferentes perspectivas y reducir la incertidumbre en la interpretación. En este sentido, el modelo no solo reproduce patrones observados, sino que también ofrece una herramienta sólida para el análisis territorial de la desigualdad.</w:t>
      </w:r>
    </w:p>
    <w:p w14:paraId="10377989" w14:textId="77777777" w:rsidR="00533F57" w:rsidRPr="00533F57" w:rsidRDefault="00533F57" w:rsidP="00533F57">
      <w:pPr>
        <w:jc w:val="both"/>
      </w:pPr>
      <w:r w:rsidRPr="00533F57">
        <w:t xml:space="preserve">Finalmente, este estudio resalta la importancia de integrar múltiples fuentes de información en el análisis socioeconómico. El IPM permite comprender la estructura general del territorio, </w:t>
      </w:r>
      <w:r w:rsidRPr="00533F57">
        <w:lastRenderedPageBreak/>
        <w:t xml:space="preserve">mientras que la GEIH aporta una visión más detallada de las dinámicas urbanas. La combinación de ambas fuentes, junto con el modelo de </w:t>
      </w:r>
      <w:proofErr w:type="spellStart"/>
      <w:r w:rsidRPr="00533F57">
        <w:t>clustering</w:t>
      </w:r>
      <w:proofErr w:type="spellEnd"/>
      <w:r w:rsidRPr="00533F57">
        <w:t>, permite construir una visión integral del fenómeno de la desigualdad.</w:t>
      </w:r>
    </w:p>
    <w:p w14:paraId="2FF76BE9" w14:textId="77777777" w:rsidR="008F5EC8" w:rsidRPr="00A9131E" w:rsidRDefault="008F5EC8" w:rsidP="00A9131E">
      <w:pPr>
        <w:rPr>
          <w:b/>
          <w:bCs/>
        </w:rPr>
      </w:pPr>
    </w:p>
    <w:sectPr w:rsidR="008F5EC8" w:rsidRPr="00A9131E">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52F13"/>
    <w:multiLevelType w:val="multilevel"/>
    <w:tmpl w:val="59B86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4520C63"/>
    <w:multiLevelType w:val="multilevel"/>
    <w:tmpl w:val="E26E5A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F51823"/>
    <w:multiLevelType w:val="multilevel"/>
    <w:tmpl w:val="34BC9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A8439BE"/>
    <w:multiLevelType w:val="multilevel"/>
    <w:tmpl w:val="F146B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3D166CF"/>
    <w:multiLevelType w:val="multilevel"/>
    <w:tmpl w:val="D968E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7F12F86"/>
    <w:multiLevelType w:val="multilevel"/>
    <w:tmpl w:val="A3FEB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2914375">
    <w:abstractNumId w:val="3"/>
  </w:num>
  <w:num w:numId="2" w16cid:durableId="719403108">
    <w:abstractNumId w:val="4"/>
  </w:num>
  <w:num w:numId="3" w16cid:durableId="201867150">
    <w:abstractNumId w:val="1"/>
  </w:num>
  <w:num w:numId="4" w16cid:durableId="1106079834">
    <w:abstractNumId w:val="5"/>
  </w:num>
  <w:num w:numId="5" w16cid:durableId="1245917811">
    <w:abstractNumId w:val="0"/>
  </w:num>
  <w:num w:numId="6" w16cid:durableId="95409726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131E"/>
    <w:rsid w:val="000D0630"/>
    <w:rsid w:val="00154B6E"/>
    <w:rsid w:val="004F4DAF"/>
    <w:rsid w:val="00533F57"/>
    <w:rsid w:val="008F5EC8"/>
    <w:rsid w:val="00A9131E"/>
    <w:rsid w:val="00B24883"/>
    <w:rsid w:val="00B564FA"/>
    <w:rsid w:val="00B96463"/>
    <w:rsid w:val="00C838BA"/>
    <w:rsid w:val="00F068E7"/>
    <w:rsid w:val="00F9713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C41291"/>
  <w15:chartTrackingRefBased/>
  <w15:docId w15:val="{9A45CA3C-8E2E-47FD-B672-B40C06187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9131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9131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9131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9131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9131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9131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9131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9131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9131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9131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9131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9131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9131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9131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9131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9131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9131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9131E"/>
    <w:rPr>
      <w:rFonts w:eastAsiaTheme="majorEastAsia" w:cstheme="majorBidi"/>
      <w:color w:val="272727" w:themeColor="text1" w:themeTint="D8"/>
    </w:rPr>
  </w:style>
  <w:style w:type="paragraph" w:styleId="Ttulo">
    <w:name w:val="Title"/>
    <w:basedOn w:val="Normal"/>
    <w:next w:val="Normal"/>
    <w:link w:val="TtuloCar"/>
    <w:uiPriority w:val="10"/>
    <w:qFormat/>
    <w:rsid w:val="00A9131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9131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9131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9131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9131E"/>
    <w:pPr>
      <w:spacing w:before="160"/>
      <w:jc w:val="center"/>
    </w:pPr>
    <w:rPr>
      <w:i/>
      <w:iCs/>
      <w:color w:val="404040" w:themeColor="text1" w:themeTint="BF"/>
    </w:rPr>
  </w:style>
  <w:style w:type="character" w:customStyle="1" w:styleId="CitaCar">
    <w:name w:val="Cita Car"/>
    <w:basedOn w:val="Fuentedeprrafopredeter"/>
    <w:link w:val="Cita"/>
    <w:uiPriority w:val="29"/>
    <w:rsid w:val="00A9131E"/>
    <w:rPr>
      <w:i/>
      <w:iCs/>
      <w:color w:val="404040" w:themeColor="text1" w:themeTint="BF"/>
    </w:rPr>
  </w:style>
  <w:style w:type="paragraph" w:styleId="Prrafodelista">
    <w:name w:val="List Paragraph"/>
    <w:basedOn w:val="Normal"/>
    <w:uiPriority w:val="34"/>
    <w:qFormat/>
    <w:rsid w:val="00A9131E"/>
    <w:pPr>
      <w:ind w:left="720"/>
      <w:contextualSpacing/>
    </w:pPr>
  </w:style>
  <w:style w:type="character" w:styleId="nfasisintenso">
    <w:name w:val="Intense Emphasis"/>
    <w:basedOn w:val="Fuentedeprrafopredeter"/>
    <w:uiPriority w:val="21"/>
    <w:qFormat/>
    <w:rsid w:val="00A9131E"/>
    <w:rPr>
      <w:i/>
      <w:iCs/>
      <w:color w:val="0F4761" w:themeColor="accent1" w:themeShade="BF"/>
    </w:rPr>
  </w:style>
  <w:style w:type="paragraph" w:styleId="Citadestacada">
    <w:name w:val="Intense Quote"/>
    <w:basedOn w:val="Normal"/>
    <w:next w:val="Normal"/>
    <w:link w:val="CitadestacadaCar"/>
    <w:uiPriority w:val="30"/>
    <w:qFormat/>
    <w:rsid w:val="00A9131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9131E"/>
    <w:rPr>
      <w:i/>
      <w:iCs/>
      <w:color w:val="0F4761" w:themeColor="accent1" w:themeShade="BF"/>
    </w:rPr>
  </w:style>
  <w:style w:type="character" w:styleId="Referenciaintensa">
    <w:name w:val="Intense Reference"/>
    <w:basedOn w:val="Fuentedeprrafopredeter"/>
    <w:uiPriority w:val="32"/>
    <w:qFormat/>
    <w:rsid w:val="00A9131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102</TotalTime>
  <Pages>8</Pages>
  <Words>2019</Words>
  <Characters>12279</Characters>
  <Application>Microsoft Office Word</Application>
  <DocSecurity>0</DocSecurity>
  <Lines>323</Lines>
  <Paragraphs>219</Paragraphs>
  <ScaleCrop>false</ScaleCrop>
  <Company/>
  <LinksUpToDate>false</LinksUpToDate>
  <CharactersWithSpaces>14079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J PRADO CAICEDO</dc:creator>
  <cp:keywords/>
  <dc:description/>
  <cp:lastModifiedBy>DAVID J PRADO CAICEDO</cp:lastModifiedBy>
  <cp:revision>8</cp:revision>
  <dcterms:created xsi:type="dcterms:W3CDTF">2026-04-12T19:46:00Z</dcterms:created>
  <dcterms:modified xsi:type="dcterms:W3CDTF">2026-04-14T14:44:00Z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0cb32a6-42be-419f-8d6c-e004b006daae_Enabled">
    <vt:lpwstr>true</vt:lpwstr>
  </property>
  <property fmtid="{D5CDD505-2E9C-101B-9397-08002B2CF9AE}" pid="3" name="MSIP_Label_70cb32a6-42be-419f-8d6c-e004b006daae_SetDate">
    <vt:lpwstr>2026-04-12T19:50:12Z</vt:lpwstr>
  </property>
  <property fmtid="{D5CDD505-2E9C-101B-9397-08002B2CF9AE}" pid="4" name="MSIP_Label_70cb32a6-42be-419f-8d6c-e004b006daae_Method">
    <vt:lpwstr>Standard</vt:lpwstr>
  </property>
  <property fmtid="{D5CDD505-2E9C-101B-9397-08002B2CF9AE}" pid="5" name="MSIP_Label_70cb32a6-42be-419f-8d6c-e004b006daae_Name">
    <vt:lpwstr>70cb32a6-42be-419f-8d6c-e004b006daae</vt:lpwstr>
  </property>
  <property fmtid="{D5CDD505-2E9C-101B-9397-08002B2CF9AE}" pid="6" name="MSIP_Label_70cb32a6-42be-419f-8d6c-e004b006daae_SiteId">
    <vt:lpwstr>0cb501d9-65f6-43a5-85cf-0058bde67d53</vt:lpwstr>
  </property>
  <property fmtid="{D5CDD505-2E9C-101B-9397-08002B2CF9AE}" pid="7" name="MSIP_Label_70cb32a6-42be-419f-8d6c-e004b006daae_ActionId">
    <vt:lpwstr>3eae456d-54fd-4f27-b654-7f659447b074</vt:lpwstr>
  </property>
  <property fmtid="{D5CDD505-2E9C-101B-9397-08002B2CF9AE}" pid="8" name="MSIP_Label_70cb32a6-42be-419f-8d6c-e004b006daae_ContentBits">
    <vt:lpwstr>0</vt:lpwstr>
  </property>
  <property fmtid="{D5CDD505-2E9C-101B-9397-08002B2CF9AE}" pid="9" name="MSIP_Label_70cb32a6-42be-419f-8d6c-e004b006daae_Tag">
    <vt:lpwstr>10, 3, 0, 1</vt:lpwstr>
  </property>
</Properties>
</file>