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00BDE" w14:textId="53B6919C" w:rsidR="00A2715C" w:rsidRDefault="00A2715C">
      <w:pPr>
        <w:pStyle w:val="Tabladeilustraciones"/>
        <w:tabs>
          <w:tab w:val="right" w:leader="dot" w:pos="8828"/>
        </w:tabs>
        <w:rPr>
          <w:rFonts w:eastAsiaTheme="minorEastAsia"/>
          <w:noProof/>
          <w:sz w:val="24"/>
          <w:szCs w:val="24"/>
          <w:lang w:eastAsia="es-CO"/>
        </w:rPr>
      </w:pPr>
      <w:r>
        <w:rPr>
          <w:rFonts w:ascii="Arial" w:hAnsi="Arial" w:cs="Arial"/>
          <w:sz w:val="24"/>
          <w:szCs w:val="24"/>
        </w:rPr>
        <w:fldChar w:fldCharType="begin"/>
      </w:r>
      <w:r>
        <w:rPr>
          <w:rFonts w:ascii="Arial" w:hAnsi="Arial" w:cs="Arial"/>
          <w:sz w:val="24"/>
          <w:szCs w:val="24"/>
        </w:rPr>
        <w:instrText xml:space="preserve"> TOC \h \z \c "Tabla" </w:instrText>
      </w:r>
      <w:r>
        <w:rPr>
          <w:rFonts w:ascii="Arial" w:hAnsi="Arial" w:cs="Arial"/>
          <w:sz w:val="24"/>
          <w:szCs w:val="24"/>
        </w:rPr>
        <w:fldChar w:fldCharType="separate"/>
      </w:r>
      <w:hyperlink w:anchor="_Toc227517143" w:history="1">
        <w:r w:rsidRPr="005546A8">
          <w:rPr>
            <w:rStyle w:val="Hipervnculo"/>
            <w:noProof/>
          </w:rPr>
          <w:t>Tabla 1 Diferencias metodológicas entre fuentes</w:t>
        </w:r>
        <w:r>
          <w:rPr>
            <w:noProof/>
            <w:webHidden/>
          </w:rPr>
          <w:tab/>
        </w:r>
        <w:r>
          <w:rPr>
            <w:noProof/>
            <w:webHidden/>
          </w:rPr>
          <w:fldChar w:fldCharType="begin"/>
        </w:r>
        <w:r>
          <w:rPr>
            <w:noProof/>
            <w:webHidden/>
          </w:rPr>
          <w:instrText xml:space="preserve"> PAGEREF _Toc227517143 \h </w:instrText>
        </w:r>
        <w:r>
          <w:rPr>
            <w:noProof/>
            <w:webHidden/>
          </w:rPr>
        </w:r>
        <w:r>
          <w:rPr>
            <w:noProof/>
            <w:webHidden/>
          </w:rPr>
          <w:fldChar w:fldCharType="separate"/>
        </w:r>
        <w:r>
          <w:rPr>
            <w:noProof/>
            <w:webHidden/>
          </w:rPr>
          <w:t>2</w:t>
        </w:r>
        <w:r>
          <w:rPr>
            <w:noProof/>
            <w:webHidden/>
          </w:rPr>
          <w:fldChar w:fldCharType="end"/>
        </w:r>
      </w:hyperlink>
    </w:p>
    <w:p w14:paraId="00A3FCAC" w14:textId="08DD4EB1" w:rsidR="00A2715C" w:rsidRDefault="00A2715C">
      <w:pPr>
        <w:pStyle w:val="Tabladeilustraciones"/>
        <w:tabs>
          <w:tab w:val="right" w:leader="dot" w:pos="8828"/>
        </w:tabs>
        <w:rPr>
          <w:rFonts w:eastAsiaTheme="minorEastAsia"/>
          <w:noProof/>
          <w:sz w:val="24"/>
          <w:szCs w:val="24"/>
          <w:lang w:eastAsia="es-CO"/>
        </w:rPr>
      </w:pPr>
      <w:hyperlink w:anchor="_Toc227517144" w:history="1">
        <w:r w:rsidRPr="005546A8">
          <w:rPr>
            <w:rStyle w:val="Hipervnculo"/>
            <w:noProof/>
          </w:rPr>
          <w:t>Tabla 2: Síntesis de validación por dimensión</w:t>
        </w:r>
        <w:r>
          <w:rPr>
            <w:noProof/>
            <w:webHidden/>
          </w:rPr>
          <w:tab/>
        </w:r>
        <w:r>
          <w:rPr>
            <w:noProof/>
            <w:webHidden/>
          </w:rPr>
          <w:fldChar w:fldCharType="begin"/>
        </w:r>
        <w:r>
          <w:rPr>
            <w:noProof/>
            <w:webHidden/>
          </w:rPr>
          <w:instrText xml:space="preserve"> PAGEREF _Toc227517144 \h </w:instrText>
        </w:r>
        <w:r>
          <w:rPr>
            <w:noProof/>
            <w:webHidden/>
          </w:rPr>
        </w:r>
        <w:r>
          <w:rPr>
            <w:noProof/>
            <w:webHidden/>
          </w:rPr>
          <w:fldChar w:fldCharType="separate"/>
        </w:r>
        <w:r>
          <w:rPr>
            <w:noProof/>
            <w:webHidden/>
          </w:rPr>
          <w:t>8</w:t>
        </w:r>
        <w:r>
          <w:rPr>
            <w:noProof/>
            <w:webHidden/>
          </w:rPr>
          <w:fldChar w:fldCharType="end"/>
        </w:r>
      </w:hyperlink>
    </w:p>
    <w:p w14:paraId="2E210EBA" w14:textId="53194F68" w:rsidR="00A2715C" w:rsidRDefault="00A2715C">
      <w:pPr>
        <w:pStyle w:val="Tabladeilustraciones"/>
        <w:tabs>
          <w:tab w:val="right" w:leader="dot" w:pos="8828"/>
        </w:tabs>
        <w:rPr>
          <w:rFonts w:eastAsiaTheme="minorEastAsia"/>
          <w:noProof/>
          <w:sz w:val="24"/>
          <w:szCs w:val="24"/>
          <w:lang w:eastAsia="es-CO"/>
        </w:rPr>
      </w:pPr>
      <w:hyperlink w:anchor="_Toc227517145" w:history="1">
        <w:r w:rsidRPr="005546A8">
          <w:rPr>
            <w:rStyle w:val="Hipervnculo"/>
            <w:noProof/>
          </w:rPr>
          <w:t>Tabla 3: Comparación clave de resultados</w:t>
        </w:r>
        <w:r>
          <w:rPr>
            <w:noProof/>
            <w:webHidden/>
          </w:rPr>
          <w:tab/>
        </w:r>
        <w:r>
          <w:rPr>
            <w:noProof/>
            <w:webHidden/>
          </w:rPr>
          <w:fldChar w:fldCharType="begin"/>
        </w:r>
        <w:r>
          <w:rPr>
            <w:noProof/>
            <w:webHidden/>
          </w:rPr>
          <w:instrText xml:space="preserve"> PAGEREF _Toc227517145 \h </w:instrText>
        </w:r>
        <w:r>
          <w:rPr>
            <w:noProof/>
            <w:webHidden/>
          </w:rPr>
        </w:r>
        <w:r>
          <w:rPr>
            <w:noProof/>
            <w:webHidden/>
          </w:rPr>
          <w:fldChar w:fldCharType="separate"/>
        </w:r>
        <w:r>
          <w:rPr>
            <w:noProof/>
            <w:webHidden/>
          </w:rPr>
          <w:t>8</w:t>
        </w:r>
        <w:r>
          <w:rPr>
            <w:noProof/>
            <w:webHidden/>
          </w:rPr>
          <w:fldChar w:fldCharType="end"/>
        </w:r>
      </w:hyperlink>
    </w:p>
    <w:p w14:paraId="453ED0E9" w14:textId="0DD14C2B" w:rsidR="00A2715C" w:rsidRDefault="00A2715C">
      <w:pPr>
        <w:pStyle w:val="Tabladeilustraciones"/>
        <w:tabs>
          <w:tab w:val="right" w:leader="dot" w:pos="8828"/>
        </w:tabs>
        <w:rPr>
          <w:rFonts w:eastAsiaTheme="minorEastAsia"/>
          <w:noProof/>
          <w:sz w:val="24"/>
          <w:szCs w:val="24"/>
          <w:lang w:eastAsia="es-CO"/>
        </w:rPr>
      </w:pPr>
      <w:hyperlink w:anchor="_Toc227517146" w:history="1">
        <w:r w:rsidRPr="005546A8">
          <w:rPr>
            <w:rStyle w:val="Hipervnculo"/>
            <w:noProof/>
          </w:rPr>
          <w:t>Tabla 4: Principales fuentes de discrepancia</w:t>
        </w:r>
        <w:r>
          <w:rPr>
            <w:noProof/>
            <w:webHidden/>
          </w:rPr>
          <w:tab/>
        </w:r>
        <w:r>
          <w:rPr>
            <w:noProof/>
            <w:webHidden/>
          </w:rPr>
          <w:fldChar w:fldCharType="begin"/>
        </w:r>
        <w:r>
          <w:rPr>
            <w:noProof/>
            <w:webHidden/>
          </w:rPr>
          <w:instrText xml:space="preserve"> PAGEREF _Toc227517146 \h </w:instrText>
        </w:r>
        <w:r>
          <w:rPr>
            <w:noProof/>
            <w:webHidden/>
          </w:rPr>
        </w:r>
        <w:r>
          <w:rPr>
            <w:noProof/>
            <w:webHidden/>
          </w:rPr>
          <w:fldChar w:fldCharType="separate"/>
        </w:r>
        <w:r>
          <w:rPr>
            <w:noProof/>
            <w:webHidden/>
          </w:rPr>
          <w:t>9</w:t>
        </w:r>
        <w:r>
          <w:rPr>
            <w:noProof/>
            <w:webHidden/>
          </w:rPr>
          <w:fldChar w:fldCharType="end"/>
        </w:r>
      </w:hyperlink>
    </w:p>
    <w:p w14:paraId="15E149BC" w14:textId="5AD9CEEB" w:rsidR="00A2715C" w:rsidRDefault="00A2715C">
      <w:pPr>
        <w:pStyle w:val="Tabladeilustraciones"/>
        <w:tabs>
          <w:tab w:val="right" w:leader="dot" w:pos="8828"/>
        </w:tabs>
        <w:rPr>
          <w:rFonts w:eastAsiaTheme="minorEastAsia"/>
          <w:noProof/>
          <w:sz w:val="24"/>
          <w:szCs w:val="24"/>
          <w:lang w:eastAsia="es-CO"/>
        </w:rPr>
      </w:pPr>
      <w:hyperlink w:anchor="_Toc227517147" w:history="1">
        <w:r w:rsidRPr="005546A8">
          <w:rPr>
            <w:rStyle w:val="Hipervnculo"/>
            <w:noProof/>
          </w:rPr>
          <w:t>Tabla 5: Síntesis final de validación</w:t>
        </w:r>
        <w:r>
          <w:rPr>
            <w:noProof/>
            <w:webHidden/>
          </w:rPr>
          <w:tab/>
        </w:r>
        <w:r>
          <w:rPr>
            <w:noProof/>
            <w:webHidden/>
          </w:rPr>
          <w:fldChar w:fldCharType="begin"/>
        </w:r>
        <w:r>
          <w:rPr>
            <w:noProof/>
            <w:webHidden/>
          </w:rPr>
          <w:instrText xml:space="preserve"> PAGEREF _Toc227517147 \h </w:instrText>
        </w:r>
        <w:r>
          <w:rPr>
            <w:noProof/>
            <w:webHidden/>
          </w:rPr>
        </w:r>
        <w:r>
          <w:rPr>
            <w:noProof/>
            <w:webHidden/>
          </w:rPr>
          <w:fldChar w:fldCharType="separate"/>
        </w:r>
        <w:r>
          <w:rPr>
            <w:noProof/>
            <w:webHidden/>
          </w:rPr>
          <w:t>10</w:t>
        </w:r>
        <w:r>
          <w:rPr>
            <w:noProof/>
            <w:webHidden/>
          </w:rPr>
          <w:fldChar w:fldCharType="end"/>
        </w:r>
      </w:hyperlink>
    </w:p>
    <w:p w14:paraId="7ED66D3C" w14:textId="71E7B743" w:rsidR="00A2715C" w:rsidRDefault="00A2715C">
      <w:pPr>
        <w:pStyle w:val="Tabladeilustraciones"/>
        <w:tabs>
          <w:tab w:val="right" w:leader="dot" w:pos="8828"/>
        </w:tabs>
        <w:rPr>
          <w:rFonts w:eastAsiaTheme="minorEastAsia"/>
          <w:noProof/>
          <w:sz w:val="24"/>
          <w:szCs w:val="24"/>
          <w:lang w:eastAsia="es-CO"/>
        </w:rPr>
      </w:pPr>
      <w:hyperlink w:anchor="_Toc227517148" w:history="1">
        <w:r w:rsidRPr="005546A8">
          <w:rPr>
            <w:rStyle w:val="Hipervnculo"/>
            <w:noProof/>
          </w:rPr>
          <w:t>Tabla 6: Indicadores de ajuste y dependencia espacial</w:t>
        </w:r>
        <w:r>
          <w:rPr>
            <w:noProof/>
            <w:webHidden/>
          </w:rPr>
          <w:tab/>
        </w:r>
        <w:r>
          <w:rPr>
            <w:noProof/>
            <w:webHidden/>
          </w:rPr>
          <w:fldChar w:fldCharType="begin"/>
        </w:r>
        <w:r>
          <w:rPr>
            <w:noProof/>
            <w:webHidden/>
          </w:rPr>
          <w:instrText xml:space="preserve"> PAGEREF _Toc227517148 \h </w:instrText>
        </w:r>
        <w:r>
          <w:rPr>
            <w:noProof/>
            <w:webHidden/>
          </w:rPr>
        </w:r>
        <w:r>
          <w:rPr>
            <w:noProof/>
            <w:webHidden/>
          </w:rPr>
          <w:fldChar w:fldCharType="separate"/>
        </w:r>
        <w:r>
          <w:rPr>
            <w:noProof/>
            <w:webHidden/>
          </w:rPr>
          <w:t>12</w:t>
        </w:r>
        <w:r>
          <w:rPr>
            <w:noProof/>
            <w:webHidden/>
          </w:rPr>
          <w:fldChar w:fldCharType="end"/>
        </w:r>
      </w:hyperlink>
    </w:p>
    <w:p w14:paraId="0329A2FE" w14:textId="64EC9AEF" w:rsidR="00A2715C" w:rsidRDefault="00A2715C">
      <w:pPr>
        <w:pStyle w:val="Tabladeilustraciones"/>
        <w:tabs>
          <w:tab w:val="right" w:leader="dot" w:pos="8828"/>
        </w:tabs>
        <w:rPr>
          <w:rFonts w:eastAsiaTheme="minorEastAsia"/>
          <w:noProof/>
          <w:sz w:val="24"/>
          <w:szCs w:val="24"/>
          <w:lang w:eastAsia="es-CO"/>
        </w:rPr>
      </w:pPr>
      <w:hyperlink w:anchor="_Toc227517149" w:history="1">
        <w:r w:rsidRPr="005546A8">
          <w:rPr>
            <w:rStyle w:val="Hipervnculo"/>
            <w:noProof/>
          </w:rPr>
          <w:t>Tabla 7: Coeficientes SAR de las ciudades</w:t>
        </w:r>
        <w:r>
          <w:rPr>
            <w:noProof/>
            <w:webHidden/>
          </w:rPr>
          <w:tab/>
        </w:r>
        <w:r>
          <w:rPr>
            <w:noProof/>
            <w:webHidden/>
          </w:rPr>
          <w:fldChar w:fldCharType="begin"/>
        </w:r>
        <w:r>
          <w:rPr>
            <w:noProof/>
            <w:webHidden/>
          </w:rPr>
          <w:instrText xml:space="preserve"> PAGEREF _Toc227517149 \h </w:instrText>
        </w:r>
        <w:r>
          <w:rPr>
            <w:noProof/>
            <w:webHidden/>
          </w:rPr>
        </w:r>
        <w:r>
          <w:rPr>
            <w:noProof/>
            <w:webHidden/>
          </w:rPr>
          <w:fldChar w:fldCharType="separate"/>
        </w:r>
        <w:r>
          <w:rPr>
            <w:noProof/>
            <w:webHidden/>
          </w:rPr>
          <w:t>15</w:t>
        </w:r>
        <w:r>
          <w:rPr>
            <w:noProof/>
            <w:webHidden/>
          </w:rPr>
          <w:fldChar w:fldCharType="end"/>
        </w:r>
      </w:hyperlink>
    </w:p>
    <w:p w14:paraId="6F5E980D" w14:textId="0B3B613F" w:rsidR="00A2715C" w:rsidRDefault="00A2715C">
      <w:pPr>
        <w:pStyle w:val="Tabladeilustraciones"/>
        <w:tabs>
          <w:tab w:val="right" w:leader="dot" w:pos="8828"/>
        </w:tabs>
        <w:rPr>
          <w:rFonts w:eastAsiaTheme="minorEastAsia"/>
          <w:noProof/>
          <w:sz w:val="24"/>
          <w:szCs w:val="24"/>
          <w:lang w:eastAsia="es-CO"/>
        </w:rPr>
      </w:pPr>
      <w:hyperlink w:anchor="_Toc227517150" w:history="1">
        <w:r w:rsidRPr="005546A8">
          <w:rPr>
            <w:rStyle w:val="Hipervnculo"/>
            <w:noProof/>
          </w:rPr>
          <w:t>Tabla 8: Resultados de comparación multifuente</w:t>
        </w:r>
        <w:r>
          <w:rPr>
            <w:noProof/>
            <w:webHidden/>
          </w:rPr>
          <w:tab/>
        </w:r>
        <w:r>
          <w:rPr>
            <w:noProof/>
            <w:webHidden/>
          </w:rPr>
          <w:fldChar w:fldCharType="begin"/>
        </w:r>
        <w:r>
          <w:rPr>
            <w:noProof/>
            <w:webHidden/>
          </w:rPr>
          <w:instrText xml:space="preserve"> PAGEREF _Toc227517150 \h </w:instrText>
        </w:r>
        <w:r>
          <w:rPr>
            <w:noProof/>
            <w:webHidden/>
          </w:rPr>
        </w:r>
        <w:r>
          <w:rPr>
            <w:noProof/>
            <w:webHidden/>
          </w:rPr>
          <w:fldChar w:fldCharType="separate"/>
        </w:r>
        <w:r>
          <w:rPr>
            <w:noProof/>
            <w:webHidden/>
          </w:rPr>
          <w:t>17</w:t>
        </w:r>
        <w:r>
          <w:rPr>
            <w:noProof/>
            <w:webHidden/>
          </w:rPr>
          <w:fldChar w:fldCharType="end"/>
        </w:r>
      </w:hyperlink>
    </w:p>
    <w:p w14:paraId="45EFD035" w14:textId="1AFC2A41" w:rsidR="00A2715C" w:rsidRDefault="00A2715C">
      <w:pPr>
        <w:pStyle w:val="Tabladeilustraciones"/>
        <w:tabs>
          <w:tab w:val="right" w:leader="dot" w:pos="8828"/>
        </w:tabs>
        <w:rPr>
          <w:rFonts w:ascii="Arial" w:hAnsi="Arial" w:cs="Arial"/>
          <w:sz w:val="24"/>
          <w:szCs w:val="24"/>
        </w:rPr>
      </w:pPr>
      <w:r>
        <w:rPr>
          <w:rFonts w:ascii="Arial" w:hAnsi="Arial" w:cs="Arial"/>
          <w:sz w:val="24"/>
          <w:szCs w:val="24"/>
        </w:rPr>
        <w:fldChar w:fldCharType="end"/>
      </w:r>
    </w:p>
    <w:p w14:paraId="2C64075C" w14:textId="77777777" w:rsidR="00A2715C" w:rsidRPr="00A2715C" w:rsidRDefault="00A2715C" w:rsidP="00A2715C"/>
    <w:p w14:paraId="1AA22703" w14:textId="5E20ABA0" w:rsidR="00A2715C" w:rsidRDefault="00A2715C">
      <w:pPr>
        <w:pStyle w:val="Tabladeilustraciones"/>
        <w:tabs>
          <w:tab w:val="right" w:leader="dot" w:pos="8828"/>
        </w:tabs>
        <w:rPr>
          <w:noProof/>
        </w:rPr>
      </w:pPr>
      <w:r>
        <w:rPr>
          <w:rFonts w:ascii="Arial" w:hAnsi="Arial" w:cs="Arial"/>
          <w:sz w:val="24"/>
          <w:szCs w:val="24"/>
        </w:rPr>
        <w:fldChar w:fldCharType="begin"/>
      </w:r>
      <w:r>
        <w:rPr>
          <w:rFonts w:ascii="Arial" w:hAnsi="Arial" w:cs="Arial"/>
          <w:sz w:val="24"/>
          <w:szCs w:val="24"/>
        </w:rPr>
        <w:instrText xml:space="preserve"> TOC \h \z \c "Ilustración" </w:instrText>
      </w:r>
      <w:r>
        <w:rPr>
          <w:rFonts w:ascii="Arial" w:hAnsi="Arial" w:cs="Arial"/>
          <w:sz w:val="24"/>
          <w:szCs w:val="24"/>
        </w:rPr>
        <w:fldChar w:fldCharType="separate"/>
      </w:r>
      <w:hyperlink w:anchor="_Toc227517113" w:history="1">
        <w:r w:rsidRPr="00210E3E">
          <w:rPr>
            <w:rStyle w:val="Hipervnculo"/>
            <w:noProof/>
          </w:rPr>
          <w:t>Ilustración 1: Comparación pobreza multidimensional Censo vs I</w:t>
        </w:r>
        <w:r w:rsidR="002659E3">
          <w:rPr>
            <w:rStyle w:val="Hipervnculo"/>
            <w:noProof/>
          </w:rPr>
          <w:t>PM</w:t>
        </w:r>
        <w:r w:rsidRPr="00210E3E">
          <w:rPr>
            <w:rStyle w:val="Hipervnculo"/>
            <w:noProof/>
          </w:rPr>
          <w:t xml:space="preserve"> 2018</w:t>
        </w:r>
        <w:r>
          <w:rPr>
            <w:noProof/>
            <w:webHidden/>
          </w:rPr>
          <w:tab/>
        </w:r>
        <w:r>
          <w:rPr>
            <w:noProof/>
            <w:webHidden/>
          </w:rPr>
          <w:fldChar w:fldCharType="begin"/>
        </w:r>
        <w:r>
          <w:rPr>
            <w:noProof/>
            <w:webHidden/>
          </w:rPr>
          <w:instrText xml:space="preserve"> PAGEREF _Toc227517113 \h </w:instrText>
        </w:r>
        <w:r>
          <w:rPr>
            <w:noProof/>
            <w:webHidden/>
          </w:rPr>
        </w:r>
        <w:r>
          <w:rPr>
            <w:noProof/>
            <w:webHidden/>
          </w:rPr>
          <w:fldChar w:fldCharType="separate"/>
        </w:r>
        <w:r>
          <w:rPr>
            <w:noProof/>
            <w:webHidden/>
          </w:rPr>
          <w:t>5</w:t>
        </w:r>
        <w:r>
          <w:rPr>
            <w:noProof/>
            <w:webHidden/>
          </w:rPr>
          <w:fldChar w:fldCharType="end"/>
        </w:r>
      </w:hyperlink>
    </w:p>
    <w:p w14:paraId="59BF6379" w14:textId="4CB8D23B" w:rsidR="00A2715C" w:rsidRDefault="00A2715C">
      <w:pPr>
        <w:pStyle w:val="Tabladeilustraciones"/>
        <w:tabs>
          <w:tab w:val="right" w:leader="dot" w:pos="8828"/>
        </w:tabs>
        <w:rPr>
          <w:noProof/>
        </w:rPr>
      </w:pPr>
      <w:hyperlink w:anchor="_Toc227517114" w:history="1">
        <w:r w:rsidRPr="00210E3E">
          <w:rPr>
            <w:rStyle w:val="Hipervnculo"/>
            <w:noProof/>
          </w:rPr>
          <w:t>Ilustración 2: Escolaridad, comparación de Clusters vs GEIH 2018</w:t>
        </w:r>
        <w:r>
          <w:rPr>
            <w:noProof/>
            <w:webHidden/>
          </w:rPr>
          <w:tab/>
        </w:r>
        <w:r>
          <w:rPr>
            <w:noProof/>
            <w:webHidden/>
          </w:rPr>
          <w:fldChar w:fldCharType="begin"/>
        </w:r>
        <w:r>
          <w:rPr>
            <w:noProof/>
            <w:webHidden/>
          </w:rPr>
          <w:instrText xml:space="preserve"> PAGEREF _Toc227517114 \h </w:instrText>
        </w:r>
        <w:r>
          <w:rPr>
            <w:noProof/>
            <w:webHidden/>
          </w:rPr>
        </w:r>
        <w:r>
          <w:rPr>
            <w:noProof/>
            <w:webHidden/>
          </w:rPr>
          <w:fldChar w:fldCharType="separate"/>
        </w:r>
        <w:r>
          <w:rPr>
            <w:noProof/>
            <w:webHidden/>
          </w:rPr>
          <w:t>6</w:t>
        </w:r>
        <w:r>
          <w:rPr>
            <w:noProof/>
            <w:webHidden/>
          </w:rPr>
          <w:fldChar w:fldCharType="end"/>
        </w:r>
      </w:hyperlink>
    </w:p>
    <w:p w14:paraId="1E57FA71" w14:textId="0B597C18" w:rsidR="00A2715C" w:rsidRDefault="00A2715C">
      <w:pPr>
        <w:pStyle w:val="Tabladeilustraciones"/>
        <w:tabs>
          <w:tab w:val="right" w:leader="dot" w:pos="8828"/>
        </w:tabs>
        <w:rPr>
          <w:noProof/>
        </w:rPr>
      </w:pPr>
      <w:hyperlink w:anchor="_Toc227517115" w:history="1">
        <w:r w:rsidRPr="00210E3E">
          <w:rPr>
            <w:rStyle w:val="Hipervnculo"/>
            <w:noProof/>
          </w:rPr>
          <w:t>Ilustración 3: Coeficientes SAR de Armenia</w:t>
        </w:r>
        <w:r>
          <w:rPr>
            <w:noProof/>
            <w:webHidden/>
          </w:rPr>
          <w:tab/>
        </w:r>
        <w:r>
          <w:rPr>
            <w:noProof/>
            <w:webHidden/>
          </w:rPr>
          <w:fldChar w:fldCharType="begin"/>
        </w:r>
        <w:r>
          <w:rPr>
            <w:noProof/>
            <w:webHidden/>
          </w:rPr>
          <w:instrText xml:space="preserve"> PAGEREF _Toc227517115 \h </w:instrText>
        </w:r>
        <w:r>
          <w:rPr>
            <w:noProof/>
            <w:webHidden/>
          </w:rPr>
        </w:r>
        <w:r>
          <w:rPr>
            <w:noProof/>
            <w:webHidden/>
          </w:rPr>
          <w:fldChar w:fldCharType="separate"/>
        </w:r>
        <w:r>
          <w:rPr>
            <w:noProof/>
            <w:webHidden/>
          </w:rPr>
          <w:t>14</w:t>
        </w:r>
        <w:r>
          <w:rPr>
            <w:noProof/>
            <w:webHidden/>
          </w:rPr>
          <w:fldChar w:fldCharType="end"/>
        </w:r>
      </w:hyperlink>
    </w:p>
    <w:p w14:paraId="302F8097" w14:textId="5792394B" w:rsidR="00A2715C" w:rsidRDefault="00A2715C">
      <w:pPr>
        <w:pStyle w:val="Tabladeilustraciones"/>
        <w:tabs>
          <w:tab w:val="right" w:leader="dot" w:pos="8828"/>
        </w:tabs>
        <w:rPr>
          <w:noProof/>
        </w:rPr>
      </w:pPr>
      <w:hyperlink w:anchor="_Toc227517116" w:history="1">
        <w:r w:rsidRPr="00210E3E">
          <w:rPr>
            <w:rStyle w:val="Hipervnculo"/>
            <w:noProof/>
          </w:rPr>
          <w:t>Ilustración 4: Tabla de correlación espacial de Cali</w:t>
        </w:r>
        <w:r>
          <w:rPr>
            <w:noProof/>
            <w:webHidden/>
          </w:rPr>
          <w:tab/>
        </w:r>
        <w:r>
          <w:rPr>
            <w:noProof/>
            <w:webHidden/>
          </w:rPr>
          <w:fldChar w:fldCharType="begin"/>
        </w:r>
        <w:r>
          <w:rPr>
            <w:noProof/>
            <w:webHidden/>
          </w:rPr>
          <w:instrText xml:space="preserve"> PAGEREF _Toc227517116 \h </w:instrText>
        </w:r>
        <w:r>
          <w:rPr>
            <w:noProof/>
            <w:webHidden/>
          </w:rPr>
        </w:r>
        <w:r>
          <w:rPr>
            <w:noProof/>
            <w:webHidden/>
          </w:rPr>
          <w:fldChar w:fldCharType="separate"/>
        </w:r>
        <w:r>
          <w:rPr>
            <w:noProof/>
            <w:webHidden/>
          </w:rPr>
          <w:t>18</w:t>
        </w:r>
        <w:r>
          <w:rPr>
            <w:noProof/>
            <w:webHidden/>
          </w:rPr>
          <w:fldChar w:fldCharType="end"/>
        </w:r>
      </w:hyperlink>
    </w:p>
    <w:p w14:paraId="07EFCE82" w14:textId="2964FBE5" w:rsidR="00043490" w:rsidRDefault="00A2715C" w:rsidP="00A9131E">
      <w:pPr>
        <w:jc w:val="both"/>
        <w:rPr>
          <w:rFonts w:ascii="Arial" w:hAnsi="Arial" w:cs="Arial"/>
          <w:sz w:val="24"/>
          <w:szCs w:val="24"/>
        </w:rPr>
      </w:pPr>
      <w:r>
        <w:rPr>
          <w:rFonts w:ascii="Arial" w:hAnsi="Arial" w:cs="Arial"/>
          <w:sz w:val="24"/>
          <w:szCs w:val="24"/>
        </w:rPr>
        <w:fldChar w:fldCharType="end"/>
      </w:r>
    </w:p>
    <w:p w14:paraId="357E39E4" w14:textId="77777777" w:rsidR="00043490" w:rsidRDefault="00043490" w:rsidP="00A9131E">
      <w:pPr>
        <w:jc w:val="both"/>
        <w:rPr>
          <w:rFonts w:ascii="Arial" w:hAnsi="Arial" w:cs="Arial"/>
          <w:sz w:val="24"/>
          <w:szCs w:val="24"/>
        </w:rPr>
      </w:pPr>
    </w:p>
    <w:p w14:paraId="73A6517B" w14:textId="0A46366F" w:rsidR="0021735B" w:rsidRDefault="00FA0BD2" w:rsidP="00A9131E">
      <w:pPr>
        <w:jc w:val="both"/>
        <w:rPr>
          <w:rFonts w:ascii="Arial" w:hAnsi="Arial" w:cs="Arial"/>
          <w:sz w:val="24"/>
          <w:szCs w:val="24"/>
        </w:rPr>
      </w:pPr>
      <w:r w:rsidRPr="00FA0BD2">
        <w:rPr>
          <w:rFonts w:ascii="Arial" w:hAnsi="Arial" w:cs="Arial"/>
          <w:sz w:val="24"/>
          <w:szCs w:val="24"/>
        </w:rPr>
        <w:t>Para analizar la desigualdad socioeconómica no basta con observar una sola fuente de información. Por eso, este trabajo combina resultados del Censo DANE 2018, el IPM y la GEIH, con el fin de contrastar los patrones obtenidos en el modelo de clustering desde diferentes escalas territoriales</w:t>
      </w:r>
      <w:r w:rsidR="00A9131E" w:rsidRPr="00444E7E">
        <w:rPr>
          <w:rFonts w:ascii="Arial" w:hAnsi="Arial" w:cs="Arial"/>
          <w:sz w:val="24"/>
          <w:szCs w:val="24"/>
        </w:rPr>
        <w:t>.</w:t>
      </w:r>
      <w:r w:rsidR="002659E3">
        <w:rPr>
          <w:rFonts w:ascii="Arial" w:hAnsi="Arial" w:cs="Arial"/>
          <w:sz w:val="24"/>
          <w:szCs w:val="24"/>
        </w:rPr>
        <w:t xml:space="preserve"> </w:t>
      </w:r>
      <w:r w:rsidR="0021735B">
        <w:rPr>
          <w:rFonts w:ascii="Arial" w:hAnsi="Arial" w:cs="Arial"/>
          <w:sz w:val="24"/>
          <w:szCs w:val="24"/>
        </w:rPr>
        <w:fldChar w:fldCharType="begin"/>
      </w:r>
      <w:r w:rsidR="0021735B">
        <w:rPr>
          <w:rFonts w:ascii="Arial" w:hAnsi="Arial" w:cs="Arial"/>
          <w:sz w:val="24"/>
          <w:szCs w:val="24"/>
        </w:rPr>
        <w:instrText xml:space="preserve"> ADDIN ZOTERO_ITEM CSL_CITATION {"citationID":"3KLVB3XL","properties":{"unsorted":false,"formattedCitation":"[1], [2], [3]","plainCitation":"[1], [2], [3]","noteIndex":0},"citationItems":[{"id":1,"uris":["http://zotero.org/users/20296599/items/LAMKNRHQ"],"itemData":{"id":1,"type":"webpage","title":"DANE - Censo Nacional de Población y Vivienda 2018","URL":"https://www.dane.gov.co/index.php/estadisticas-por-tema/demografia-y-poblacion/censo-nacional-de-poblacion-y-vivenda-2018","accessed":{"date-parts":[["2026",4,18]]}}},{"id":3,"uris":["http://zotero.org/users/20296599/items/VXUJ33NW"],"itemData":{"id":3,"type":"webpage","title":"DANE - Gran Encuesta Integrada de Hogares -GEIH- Históricos","URL":"https://www.dane.gov.co/index.php/estadisticas-por-tema/mercado-laboral/empleo-y-desempleo/geih-historicos","accessed":{"date-parts":[["2026",4,18]]}}},{"id":5,"uris":["http://zotero.org/users/20296599/items/7IKZDKQA"],"itemData":{"id":5,"type":"webpage","title":"DANE - Pobreza multidimensional","URL":"https://www.dane.gov.co/index.php/estadisticas-por-tema/pobreza-y-condiciones-de-vida/pobreza-multidimensional","accessed":{"date-parts":[["2026",4,18]]}}}],"schema":"https://github.com/citation-style-language/schema/raw/master/csl-citation.json"} </w:instrText>
      </w:r>
      <w:r w:rsidR="0021735B">
        <w:rPr>
          <w:rFonts w:ascii="Arial" w:hAnsi="Arial" w:cs="Arial"/>
          <w:sz w:val="24"/>
          <w:szCs w:val="24"/>
        </w:rPr>
        <w:fldChar w:fldCharType="separate"/>
      </w:r>
      <w:r w:rsidR="0021735B" w:rsidRPr="0021735B">
        <w:rPr>
          <w:rFonts w:ascii="Aptos" w:hAnsi="Aptos"/>
          <w:sz w:val="24"/>
        </w:rPr>
        <w:t>[1], [2], [3]</w:t>
      </w:r>
      <w:r w:rsidR="0021735B">
        <w:rPr>
          <w:rFonts w:ascii="Arial" w:hAnsi="Arial" w:cs="Arial"/>
          <w:sz w:val="24"/>
          <w:szCs w:val="24"/>
        </w:rPr>
        <w:fldChar w:fldCharType="end"/>
      </w:r>
    </w:p>
    <w:p w14:paraId="3A65D87D" w14:textId="169435E1" w:rsidR="00A9131E" w:rsidRPr="00444E7E" w:rsidRDefault="00A9131E" w:rsidP="00A9131E">
      <w:pPr>
        <w:jc w:val="both"/>
        <w:rPr>
          <w:rFonts w:ascii="Arial" w:hAnsi="Arial" w:cs="Arial"/>
          <w:sz w:val="24"/>
          <w:szCs w:val="24"/>
        </w:rPr>
      </w:pPr>
      <w:r w:rsidRPr="00444E7E">
        <w:rPr>
          <w:rFonts w:ascii="Arial" w:hAnsi="Arial" w:cs="Arial"/>
          <w:sz w:val="24"/>
          <w:szCs w:val="24"/>
        </w:rPr>
        <w:t>El objetivo principal es evaluar la consistencia de los patrones identificados en el modelo de clustering, contrastándolos con fuentes oficiales tanto de carácter censal como muestral, a diferentes niveles de agregación territorial.</w:t>
      </w:r>
      <w:r w:rsidR="0021735B">
        <w:rPr>
          <w:rFonts w:ascii="Arial" w:hAnsi="Arial" w:cs="Arial"/>
          <w:sz w:val="24"/>
          <w:szCs w:val="24"/>
        </w:rPr>
        <w:t xml:space="preserve"> </w:t>
      </w:r>
      <w:r w:rsidR="0021735B" w:rsidRPr="0021735B">
        <w:rPr>
          <w:rFonts w:ascii="Arial" w:hAnsi="Arial" w:cs="Arial"/>
          <w:sz w:val="24"/>
          <w:szCs w:val="24"/>
        </w:rPr>
        <w:t>Este enfoque se apoya en una lógica de triangulación metodológica, en la cual distintas fuentes de información son utilizadas para contrastar y fortalecer la interpretación de un mismo fenómeno social.</w:t>
      </w:r>
      <w:r w:rsidR="00225FCC">
        <w:rPr>
          <w:rFonts w:ascii="Arial" w:hAnsi="Arial" w:cs="Arial"/>
          <w:sz w:val="24"/>
          <w:szCs w:val="24"/>
        </w:rPr>
        <w:fldChar w:fldCharType="begin"/>
      </w:r>
      <w:r w:rsidR="00225FCC">
        <w:rPr>
          <w:rFonts w:ascii="Arial" w:hAnsi="Arial" w:cs="Arial"/>
          <w:sz w:val="24"/>
          <w:szCs w:val="24"/>
        </w:rPr>
        <w:instrText xml:space="preserve"> ADDIN ZOTERO_ITEM CSL_CITATION {"citationID":"3UCuNqAX","properties":{"unsorted":false,"formattedCitation":"[4]","plainCitation":"[4]","noteIndex":0},"citationItems":[{"id":7,"uris":["http://zotero.org/users/20296599/items/5MWJUGIN"],"itemData":{"id":7,"type":"book","abstract":"At once a unique textbook for methods courses and a major contribution to sociological theory, this book teaches students the principles of research and how to construct and test theories. It brings coherence to the study of methods by presenting four major approaches to experimentation: survey research, participant observation, life histories, and unobtrusive measures from a single theoretical point of view, symbolic interaction. It demonstrates the need for a synthesis between theory and methods, and shows how different methods limit and aff ect research results.Denzin's argues that no single method, theory, or observer can capture all that is relevant or important in reality. He argues for the use of triangulation and for a view of theory and methods as \"concept sensitizers.\" His approach enables sociologists to acquire specifi c facts about a particular situation while simultaneously elevating these to the level of shared meaning.The author shows students how to proceed with research, bringing sharply into focus the possibilities and their limitations. Since his view is integrated rather than eclectic, this is much more than a \"how to do it\" manual. Denzin points out aspects of research that fall outside the scope of a given method yet aff ect results, and emphasizes the need to employ several methods to cross-check each other. The Research Act covers all the content of conventional methods courses. The presentation is exciting and imaginative, and provides a thorough review of major sociological methods, a cogent statement about approaches to sociological inquiry, and a source from which a understanding of the problems of research can be derived.","DOI":"10.4324/9781315134543","ISBN":"978-1-315-13454-3","number-of-pages":"379","publisher":"Routledge","publisher-place":"New York","title":"The Research Act: A Theoretical Introduction to Sociological Methods","title-short":"The Research Act","author":[{"family":"Denzin","given":"Norman K."}],"issued":{"date-parts":[["2017",7,11]]}}}],"schema":"https://github.com/citation-style-language/schema/raw/master/csl-citation.json"} </w:instrText>
      </w:r>
      <w:r w:rsidR="00225FCC">
        <w:rPr>
          <w:rFonts w:ascii="Arial" w:hAnsi="Arial" w:cs="Arial"/>
          <w:sz w:val="24"/>
          <w:szCs w:val="24"/>
        </w:rPr>
        <w:fldChar w:fldCharType="separate"/>
      </w:r>
      <w:r w:rsidR="00225FCC" w:rsidRPr="00225FCC">
        <w:rPr>
          <w:rFonts w:ascii="Aptos" w:hAnsi="Aptos"/>
          <w:sz w:val="24"/>
        </w:rPr>
        <w:t>[4]</w:t>
      </w:r>
      <w:r w:rsidR="00225FCC">
        <w:rPr>
          <w:rFonts w:ascii="Arial" w:hAnsi="Arial" w:cs="Arial"/>
          <w:sz w:val="24"/>
          <w:szCs w:val="24"/>
        </w:rPr>
        <w:fldChar w:fldCharType="end"/>
      </w:r>
    </w:p>
    <w:p w14:paraId="4F532014" w14:textId="77777777" w:rsidR="00A9131E" w:rsidRPr="00444E7E" w:rsidRDefault="00A9131E" w:rsidP="00A9131E">
      <w:pPr>
        <w:jc w:val="both"/>
        <w:rPr>
          <w:rFonts w:ascii="Arial" w:hAnsi="Arial" w:cs="Arial"/>
          <w:sz w:val="24"/>
          <w:szCs w:val="24"/>
        </w:rPr>
      </w:pPr>
    </w:p>
    <w:p w14:paraId="79DCD14C"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Fuentes de información</w:t>
      </w:r>
    </w:p>
    <w:p w14:paraId="2756392C" w14:textId="1F5A3078" w:rsidR="00A9131E" w:rsidRPr="00444E7E" w:rsidRDefault="00A9131E" w:rsidP="00A9131E">
      <w:pPr>
        <w:rPr>
          <w:rFonts w:ascii="Arial" w:hAnsi="Arial" w:cs="Arial"/>
          <w:b/>
          <w:bCs/>
          <w:sz w:val="24"/>
          <w:szCs w:val="24"/>
        </w:rPr>
      </w:pPr>
      <w:r w:rsidRPr="00444E7E">
        <w:rPr>
          <w:rFonts w:ascii="Arial" w:hAnsi="Arial" w:cs="Arial"/>
          <w:b/>
          <w:bCs/>
          <w:sz w:val="24"/>
          <w:szCs w:val="24"/>
        </w:rPr>
        <w:t>Censo DANE 2018 (Clusters)</w:t>
      </w:r>
    </w:p>
    <w:p w14:paraId="31DC2613" w14:textId="77777777" w:rsidR="00A9131E" w:rsidRPr="00444E7E" w:rsidRDefault="00A9131E" w:rsidP="00A9131E">
      <w:pPr>
        <w:numPr>
          <w:ilvl w:val="0"/>
          <w:numId w:val="1"/>
        </w:numPr>
        <w:rPr>
          <w:rFonts w:ascii="Arial" w:hAnsi="Arial" w:cs="Arial"/>
          <w:sz w:val="24"/>
          <w:szCs w:val="24"/>
        </w:rPr>
      </w:pPr>
      <w:r w:rsidRPr="00444E7E">
        <w:rPr>
          <w:rFonts w:ascii="Arial" w:hAnsi="Arial" w:cs="Arial"/>
          <w:sz w:val="24"/>
          <w:szCs w:val="24"/>
        </w:rPr>
        <w:t xml:space="preserve">Nivel: </w:t>
      </w:r>
      <w:r w:rsidRPr="00444E7E">
        <w:rPr>
          <w:rFonts w:ascii="Arial" w:hAnsi="Arial" w:cs="Arial"/>
          <w:b/>
          <w:bCs/>
          <w:sz w:val="24"/>
          <w:szCs w:val="24"/>
        </w:rPr>
        <w:t>Manzana</w:t>
      </w:r>
      <w:r w:rsidRPr="00444E7E">
        <w:rPr>
          <w:rFonts w:ascii="Arial" w:hAnsi="Arial" w:cs="Arial"/>
          <w:sz w:val="24"/>
          <w:szCs w:val="24"/>
        </w:rPr>
        <w:t xml:space="preserve"> </w:t>
      </w:r>
    </w:p>
    <w:p w14:paraId="65AD7F9E" w14:textId="77777777" w:rsidR="00A9131E" w:rsidRPr="00444E7E" w:rsidRDefault="00A9131E" w:rsidP="00A9131E">
      <w:pPr>
        <w:numPr>
          <w:ilvl w:val="0"/>
          <w:numId w:val="1"/>
        </w:numPr>
        <w:rPr>
          <w:rFonts w:ascii="Arial" w:hAnsi="Arial" w:cs="Arial"/>
          <w:sz w:val="24"/>
          <w:szCs w:val="24"/>
        </w:rPr>
      </w:pPr>
      <w:r w:rsidRPr="00444E7E">
        <w:rPr>
          <w:rFonts w:ascii="Arial" w:hAnsi="Arial" w:cs="Arial"/>
          <w:sz w:val="24"/>
          <w:szCs w:val="24"/>
        </w:rPr>
        <w:t xml:space="preserve">Tipo: </w:t>
      </w:r>
      <w:r w:rsidRPr="00444E7E">
        <w:rPr>
          <w:rFonts w:ascii="Arial" w:hAnsi="Arial" w:cs="Arial"/>
          <w:b/>
          <w:bCs/>
          <w:sz w:val="24"/>
          <w:szCs w:val="24"/>
        </w:rPr>
        <w:t>Censal (universo)</w:t>
      </w:r>
      <w:r w:rsidRPr="00444E7E">
        <w:rPr>
          <w:rFonts w:ascii="Arial" w:hAnsi="Arial" w:cs="Arial"/>
          <w:sz w:val="24"/>
          <w:szCs w:val="24"/>
        </w:rPr>
        <w:t xml:space="preserve"> </w:t>
      </w:r>
    </w:p>
    <w:p w14:paraId="4C05ACA2" w14:textId="77777777" w:rsidR="00A9131E" w:rsidRPr="00444E7E" w:rsidRDefault="00A9131E" w:rsidP="00A9131E">
      <w:pPr>
        <w:numPr>
          <w:ilvl w:val="0"/>
          <w:numId w:val="1"/>
        </w:numPr>
        <w:rPr>
          <w:rFonts w:ascii="Arial" w:hAnsi="Arial" w:cs="Arial"/>
          <w:sz w:val="24"/>
          <w:szCs w:val="24"/>
        </w:rPr>
      </w:pPr>
      <w:r w:rsidRPr="00444E7E">
        <w:rPr>
          <w:rFonts w:ascii="Arial" w:hAnsi="Arial" w:cs="Arial"/>
          <w:sz w:val="24"/>
          <w:szCs w:val="24"/>
        </w:rPr>
        <w:t xml:space="preserve">Uso: Construcción del modelo de clustering </w:t>
      </w:r>
    </w:p>
    <w:p w14:paraId="10BCB3B2" w14:textId="77777777" w:rsidR="00A9131E" w:rsidRPr="00444E7E" w:rsidRDefault="00A9131E" w:rsidP="00A9131E">
      <w:pPr>
        <w:numPr>
          <w:ilvl w:val="0"/>
          <w:numId w:val="1"/>
        </w:numPr>
        <w:rPr>
          <w:rFonts w:ascii="Arial" w:hAnsi="Arial" w:cs="Arial"/>
          <w:sz w:val="24"/>
          <w:szCs w:val="24"/>
        </w:rPr>
      </w:pPr>
      <w:r w:rsidRPr="00444E7E">
        <w:rPr>
          <w:rFonts w:ascii="Arial" w:hAnsi="Arial" w:cs="Arial"/>
          <w:sz w:val="24"/>
          <w:szCs w:val="24"/>
        </w:rPr>
        <w:t xml:space="preserve">Cobertura: Total población </w:t>
      </w:r>
    </w:p>
    <w:p w14:paraId="32467C45" w14:textId="526A3456" w:rsidR="00A9131E" w:rsidRPr="00444E7E" w:rsidRDefault="00A9131E" w:rsidP="00A9131E">
      <w:pPr>
        <w:rPr>
          <w:rFonts w:ascii="Arial" w:hAnsi="Arial" w:cs="Arial"/>
          <w:b/>
          <w:bCs/>
          <w:sz w:val="24"/>
          <w:szCs w:val="24"/>
        </w:rPr>
      </w:pPr>
      <w:r w:rsidRPr="00444E7E">
        <w:rPr>
          <w:rFonts w:ascii="Arial" w:hAnsi="Arial" w:cs="Arial"/>
          <w:b/>
          <w:bCs/>
          <w:sz w:val="24"/>
          <w:szCs w:val="24"/>
        </w:rPr>
        <w:t>Índice de Pobreza Multidimensional (IPM)</w:t>
      </w:r>
    </w:p>
    <w:p w14:paraId="551A3D47" w14:textId="77777777" w:rsidR="00A9131E" w:rsidRPr="00444E7E" w:rsidRDefault="00A9131E" w:rsidP="00A9131E">
      <w:pPr>
        <w:numPr>
          <w:ilvl w:val="0"/>
          <w:numId w:val="2"/>
        </w:numPr>
        <w:rPr>
          <w:rFonts w:ascii="Arial" w:hAnsi="Arial" w:cs="Arial"/>
          <w:sz w:val="24"/>
          <w:szCs w:val="24"/>
        </w:rPr>
      </w:pPr>
      <w:r w:rsidRPr="00444E7E">
        <w:rPr>
          <w:rFonts w:ascii="Arial" w:hAnsi="Arial" w:cs="Arial"/>
          <w:sz w:val="24"/>
          <w:szCs w:val="24"/>
        </w:rPr>
        <w:t xml:space="preserve">Nivel: </w:t>
      </w:r>
      <w:r w:rsidRPr="00444E7E">
        <w:rPr>
          <w:rFonts w:ascii="Arial" w:hAnsi="Arial" w:cs="Arial"/>
          <w:b/>
          <w:bCs/>
          <w:sz w:val="24"/>
          <w:szCs w:val="24"/>
        </w:rPr>
        <w:t>Departamento</w:t>
      </w:r>
      <w:r w:rsidRPr="00444E7E">
        <w:rPr>
          <w:rFonts w:ascii="Arial" w:hAnsi="Arial" w:cs="Arial"/>
          <w:sz w:val="24"/>
          <w:szCs w:val="24"/>
        </w:rPr>
        <w:t xml:space="preserve"> </w:t>
      </w:r>
    </w:p>
    <w:p w14:paraId="6AADC14E" w14:textId="77777777" w:rsidR="00A9131E" w:rsidRPr="00444E7E" w:rsidRDefault="00A9131E" w:rsidP="00A9131E">
      <w:pPr>
        <w:numPr>
          <w:ilvl w:val="0"/>
          <w:numId w:val="2"/>
        </w:numPr>
        <w:rPr>
          <w:rFonts w:ascii="Arial" w:hAnsi="Arial" w:cs="Arial"/>
          <w:sz w:val="24"/>
          <w:szCs w:val="24"/>
        </w:rPr>
      </w:pPr>
      <w:r w:rsidRPr="00444E7E">
        <w:rPr>
          <w:rFonts w:ascii="Arial" w:hAnsi="Arial" w:cs="Arial"/>
          <w:sz w:val="24"/>
          <w:szCs w:val="24"/>
        </w:rPr>
        <w:t xml:space="preserve">Tipo: </w:t>
      </w:r>
      <w:r w:rsidRPr="00444E7E">
        <w:rPr>
          <w:rFonts w:ascii="Arial" w:hAnsi="Arial" w:cs="Arial"/>
          <w:b/>
          <w:bCs/>
          <w:sz w:val="24"/>
          <w:szCs w:val="24"/>
        </w:rPr>
        <w:t>Agregado oficial</w:t>
      </w:r>
      <w:r w:rsidRPr="00444E7E">
        <w:rPr>
          <w:rFonts w:ascii="Arial" w:hAnsi="Arial" w:cs="Arial"/>
          <w:sz w:val="24"/>
          <w:szCs w:val="24"/>
        </w:rPr>
        <w:t xml:space="preserve"> </w:t>
      </w:r>
    </w:p>
    <w:p w14:paraId="26DDB87C" w14:textId="77777777" w:rsidR="00A9131E" w:rsidRPr="00444E7E" w:rsidRDefault="00A9131E" w:rsidP="00A9131E">
      <w:pPr>
        <w:numPr>
          <w:ilvl w:val="0"/>
          <w:numId w:val="2"/>
        </w:numPr>
        <w:rPr>
          <w:rFonts w:ascii="Arial" w:hAnsi="Arial" w:cs="Arial"/>
          <w:sz w:val="24"/>
          <w:szCs w:val="24"/>
        </w:rPr>
      </w:pPr>
      <w:r w:rsidRPr="00444E7E">
        <w:rPr>
          <w:rFonts w:ascii="Arial" w:hAnsi="Arial" w:cs="Arial"/>
          <w:sz w:val="24"/>
          <w:szCs w:val="24"/>
        </w:rPr>
        <w:lastRenderedPageBreak/>
        <w:t xml:space="preserve">Uso: Validación estructural </w:t>
      </w:r>
    </w:p>
    <w:p w14:paraId="22FB3D26" w14:textId="77777777" w:rsidR="00A9131E" w:rsidRPr="00444E7E" w:rsidRDefault="00A9131E" w:rsidP="00A9131E">
      <w:pPr>
        <w:numPr>
          <w:ilvl w:val="0"/>
          <w:numId w:val="2"/>
        </w:numPr>
        <w:rPr>
          <w:rFonts w:ascii="Arial" w:hAnsi="Arial" w:cs="Arial"/>
          <w:sz w:val="24"/>
          <w:szCs w:val="24"/>
        </w:rPr>
      </w:pPr>
      <w:r w:rsidRPr="00444E7E">
        <w:rPr>
          <w:rFonts w:ascii="Arial" w:hAnsi="Arial" w:cs="Arial"/>
          <w:sz w:val="24"/>
          <w:szCs w:val="24"/>
        </w:rPr>
        <w:t xml:space="preserve">Dimensiones: </w:t>
      </w:r>
    </w:p>
    <w:p w14:paraId="1B6594F4" w14:textId="77777777" w:rsidR="00A9131E" w:rsidRPr="00444E7E" w:rsidRDefault="00A9131E" w:rsidP="00A9131E">
      <w:pPr>
        <w:numPr>
          <w:ilvl w:val="1"/>
          <w:numId w:val="2"/>
        </w:numPr>
        <w:rPr>
          <w:rFonts w:ascii="Arial" w:hAnsi="Arial" w:cs="Arial"/>
          <w:sz w:val="24"/>
          <w:szCs w:val="24"/>
        </w:rPr>
      </w:pPr>
      <w:r w:rsidRPr="00444E7E">
        <w:rPr>
          <w:rFonts w:ascii="Arial" w:hAnsi="Arial" w:cs="Arial"/>
          <w:sz w:val="24"/>
          <w:szCs w:val="24"/>
        </w:rPr>
        <w:t xml:space="preserve">Educación </w:t>
      </w:r>
    </w:p>
    <w:p w14:paraId="23100652" w14:textId="77777777" w:rsidR="00A9131E" w:rsidRPr="00444E7E" w:rsidRDefault="00A9131E" w:rsidP="00A9131E">
      <w:pPr>
        <w:numPr>
          <w:ilvl w:val="1"/>
          <w:numId w:val="2"/>
        </w:numPr>
        <w:rPr>
          <w:rFonts w:ascii="Arial" w:hAnsi="Arial" w:cs="Arial"/>
          <w:sz w:val="24"/>
          <w:szCs w:val="24"/>
        </w:rPr>
      </w:pPr>
      <w:r w:rsidRPr="00444E7E">
        <w:rPr>
          <w:rFonts w:ascii="Arial" w:hAnsi="Arial" w:cs="Arial"/>
          <w:sz w:val="24"/>
          <w:szCs w:val="24"/>
        </w:rPr>
        <w:t xml:space="preserve">Salud </w:t>
      </w:r>
    </w:p>
    <w:p w14:paraId="38CF3BAD" w14:textId="77777777" w:rsidR="00A9131E" w:rsidRPr="00444E7E" w:rsidRDefault="00A9131E" w:rsidP="00A9131E">
      <w:pPr>
        <w:numPr>
          <w:ilvl w:val="1"/>
          <w:numId w:val="2"/>
        </w:numPr>
        <w:rPr>
          <w:rFonts w:ascii="Arial" w:hAnsi="Arial" w:cs="Arial"/>
          <w:sz w:val="24"/>
          <w:szCs w:val="24"/>
        </w:rPr>
      </w:pPr>
      <w:r w:rsidRPr="00444E7E">
        <w:rPr>
          <w:rFonts w:ascii="Arial" w:hAnsi="Arial" w:cs="Arial"/>
          <w:sz w:val="24"/>
          <w:szCs w:val="24"/>
        </w:rPr>
        <w:t xml:space="preserve">Trabajo </w:t>
      </w:r>
    </w:p>
    <w:p w14:paraId="0131250F" w14:textId="77777777" w:rsidR="00A9131E" w:rsidRPr="00444E7E" w:rsidRDefault="00A9131E" w:rsidP="00A9131E">
      <w:pPr>
        <w:numPr>
          <w:ilvl w:val="1"/>
          <w:numId w:val="2"/>
        </w:numPr>
        <w:rPr>
          <w:rFonts w:ascii="Arial" w:hAnsi="Arial" w:cs="Arial"/>
          <w:sz w:val="24"/>
          <w:szCs w:val="24"/>
        </w:rPr>
      </w:pPr>
      <w:r w:rsidRPr="00444E7E">
        <w:rPr>
          <w:rFonts w:ascii="Arial" w:hAnsi="Arial" w:cs="Arial"/>
          <w:sz w:val="24"/>
          <w:szCs w:val="24"/>
        </w:rPr>
        <w:t xml:space="preserve">Condiciones de vivienda </w:t>
      </w:r>
    </w:p>
    <w:p w14:paraId="55674F52" w14:textId="77777777" w:rsidR="00A9131E" w:rsidRPr="00444E7E" w:rsidRDefault="00A9131E" w:rsidP="00A9131E">
      <w:pPr>
        <w:numPr>
          <w:ilvl w:val="1"/>
          <w:numId w:val="2"/>
        </w:numPr>
        <w:rPr>
          <w:rFonts w:ascii="Arial" w:hAnsi="Arial" w:cs="Arial"/>
          <w:sz w:val="24"/>
          <w:szCs w:val="24"/>
        </w:rPr>
      </w:pPr>
      <w:r w:rsidRPr="00444E7E">
        <w:rPr>
          <w:rFonts w:ascii="Arial" w:hAnsi="Arial" w:cs="Arial"/>
          <w:sz w:val="24"/>
          <w:szCs w:val="24"/>
        </w:rPr>
        <w:t xml:space="preserve">Servicios públicos </w:t>
      </w:r>
    </w:p>
    <w:p w14:paraId="775AD055" w14:textId="48B14838" w:rsidR="00A9131E" w:rsidRPr="00444E7E" w:rsidRDefault="00A9131E" w:rsidP="00A9131E">
      <w:pPr>
        <w:rPr>
          <w:rFonts w:ascii="Arial" w:hAnsi="Arial" w:cs="Arial"/>
          <w:b/>
          <w:bCs/>
          <w:sz w:val="24"/>
          <w:szCs w:val="24"/>
        </w:rPr>
      </w:pPr>
      <w:r w:rsidRPr="00444E7E">
        <w:rPr>
          <w:rFonts w:ascii="Arial" w:hAnsi="Arial" w:cs="Arial"/>
          <w:b/>
          <w:bCs/>
          <w:sz w:val="24"/>
          <w:szCs w:val="24"/>
        </w:rPr>
        <w:t>GEIH 2018</w:t>
      </w:r>
    </w:p>
    <w:p w14:paraId="71F7467C" w14:textId="77777777" w:rsidR="00A9131E" w:rsidRPr="00444E7E" w:rsidRDefault="00A9131E" w:rsidP="00A9131E">
      <w:pPr>
        <w:numPr>
          <w:ilvl w:val="0"/>
          <w:numId w:val="3"/>
        </w:numPr>
        <w:rPr>
          <w:rFonts w:ascii="Arial" w:hAnsi="Arial" w:cs="Arial"/>
          <w:sz w:val="24"/>
          <w:szCs w:val="24"/>
        </w:rPr>
      </w:pPr>
      <w:r w:rsidRPr="00444E7E">
        <w:rPr>
          <w:rFonts w:ascii="Arial" w:hAnsi="Arial" w:cs="Arial"/>
          <w:sz w:val="24"/>
          <w:szCs w:val="24"/>
        </w:rPr>
        <w:t xml:space="preserve">Nivel: </w:t>
      </w:r>
      <w:r w:rsidRPr="00444E7E">
        <w:rPr>
          <w:rFonts w:ascii="Arial" w:hAnsi="Arial" w:cs="Arial"/>
          <w:b/>
          <w:bCs/>
          <w:sz w:val="24"/>
          <w:szCs w:val="24"/>
        </w:rPr>
        <w:t>Ciudad (cabecera)</w:t>
      </w:r>
      <w:r w:rsidRPr="00444E7E">
        <w:rPr>
          <w:rFonts w:ascii="Arial" w:hAnsi="Arial" w:cs="Arial"/>
          <w:sz w:val="24"/>
          <w:szCs w:val="24"/>
        </w:rPr>
        <w:t xml:space="preserve"> </w:t>
      </w:r>
    </w:p>
    <w:p w14:paraId="3657FBC2" w14:textId="77777777" w:rsidR="00A9131E" w:rsidRPr="00444E7E" w:rsidRDefault="00A9131E" w:rsidP="00A9131E">
      <w:pPr>
        <w:numPr>
          <w:ilvl w:val="0"/>
          <w:numId w:val="3"/>
        </w:numPr>
        <w:rPr>
          <w:rFonts w:ascii="Arial" w:hAnsi="Arial" w:cs="Arial"/>
          <w:sz w:val="24"/>
          <w:szCs w:val="24"/>
        </w:rPr>
      </w:pPr>
      <w:r w:rsidRPr="00444E7E">
        <w:rPr>
          <w:rFonts w:ascii="Arial" w:hAnsi="Arial" w:cs="Arial"/>
          <w:sz w:val="24"/>
          <w:szCs w:val="24"/>
        </w:rPr>
        <w:t xml:space="preserve">Tipo: </w:t>
      </w:r>
      <w:r w:rsidRPr="00444E7E">
        <w:rPr>
          <w:rFonts w:ascii="Arial" w:hAnsi="Arial" w:cs="Arial"/>
          <w:b/>
          <w:bCs/>
          <w:sz w:val="24"/>
          <w:szCs w:val="24"/>
        </w:rPr>
        <w:t>Muestral</w:t>
      </w:r>
      <w:r w:rsidRPr="00444E7E">
        <w:rPr>
          <w:rFonts w:ascii="Arial" w:hAnsi="Arial" w:cs="Arial"/>
          <w:sz w:val="24"/>
          <w:szCs w:val="24"/>
        </w:rPr>
        <w:t xml:space="preserve"> </w:t>
      </w:r>
    </w:p>
    <w:p w14:paraId="68620CED" w14:textId="77777777" w:rsidR="00A9131E" w:rsidRPr="00444E7E" w:rsidRDefault="00A9131E" w:rsidP="00A9131E">
      <w:pPr>
        <w:numPr>
          <w:ilvl w:val="0"/>
          <w:numId w:val="3"/>
        </w:numPr>
        <w:rPr>
          <w:rFonts w:ascii="Arial" w:hAnsi="Arial" w:cs="Arial"/>
          <w:sz w:val="24"/>
          <w:szCs w:val="24"/>
        </w:rPr>
      </w:pPr>
      <w:r w:rsidRPr="00444E7E">
        <w:rPr>
          <w:rFonts w:ascii="Arial" w:hAnsi="Arial" w:cs="Arial"/>
          <w:sz w:val="24"/>
          <w:szCs w:val="24"/>
        </w:rPr>
        <w:t xml:space="preserve">Uso: Validación socioeconómica </w:t>
      </w:r>
    </w:p>
    <w:p w14:paraId="1496DCEE" w14:textId="77777777" w:rsidR="00A9131E" w:rsidRPr="00444E7E" w:rsidRDefault="00A9131E" w:rsidP="00A9131E">
      <w:pPr>
        <w:numPr>
          <w:ilvl w:val="0"/>
          <w:numId w:val="3"/>
        </w:numPr>
        <w:rPr>
          <w:rFonts w:ascii="Arial" w:hAnsi="Arial" w:cs="Arial"/>
          <w:sz w:val="24"/>
          <w:szCs w:val="24"/>
        </w:rPr>
      </w:pPr>
      <w:r w:rsidRPr="00444E7E">
        <w:rPr>
          <w:rFonts w:ascii="Arial" w:hAnsi="Arial" w:cs="Arial"/>
          <w:sz w:val="24"/>
          <w:szCs w:val="24"/>
        </w:rPr>
        <w:t xml:space="preserve">Fortalezas: </w:t>
      </w:r>
    </w:p>
    <w:p w14:paraId="7AA66176" w14:textId="77777777" w:rsidR="00A9131E" w:rsidRPr="00444E7E" w:rsidRDefault="00A9131E" w:rsidP="00A9131E">
      <w:pPr>
        <w:numPr>
          <w:ilvl w:val="1"/>
          <w:numId w:val="3"/>
        </w:numPr>
        <w:rPr>
          <w:rFonts w:ascii="Arial" w:hAnsi="Arial" w:cs="Arial"/>
          <w:sz w:val="24"/>
          <w:szCs w:val="24"/>
        </w:rPr>
      </w:pPr>
      <w:r w:rsidRPr="00444E7E">
        <w:rPr>
          <w:rFonts w:ascii="Arial" w:hAnsi="Arial" w:cs="Arial"/>
          <w:sz w:val="24"/>
          <w:szCs w:val="24"/>
        </w:rPr>
        <w:t xml:space="preserve">Mercado laboral </w:t>
      </w:r>
    </w:p>
    <w:p w14:paraId="5BF5E540" w14:textId="77777777" w:rsidR="00A9131E" w:rsidRPr="00444E7E" w:rsidRDefault="00A9131E" w:rsidP="00A9131E">
      <w:pPr>
        <w:numPr>
          <w:ilvl w:val="1"/>
          <w:numId w:val="3"/>
        </w:numPr>
        <w:rPr>
          <w:rFonts w:ascii="Arial" w:hAnsi="Arial" w:cs="Arial"/>
          <w:sz w:val="24"/>
          <w:szCs w:val="24"/>
        </w:rPr>
      </w:pPr>
      <w:r w:rsidRPr="00444E7E">
        <w:rPr>
          <w:rFonts w:ascii="Arial" w:hAnsi="Arial" w:cs="Arial"/>
          <w:sz w:val="24"/>
          <w:szCs w:val="24"/>
        </w:rPr>
        <w:t>Educación</w:t>
      </w:r>
    </w:p>
    <w:p w14:paraId="040ABE7D" w14:textId="77777777" w:rsidR="00F91F46" w:rsidRDefault="00F91F46" w:rsidP="00A9131E">
      <w:pPr>
        <w:rPr>
          <w:rFonts w:ascii="Arial" w:hAnsi="Arial" w:cs="Arial"/>
          <w:b/>
          <w:bCs/>
          <w:sz w:val="24"/>
          <w:szCs w:val="24"/>
        </w:rPr>
      </w:pPr>
    </w:p>
    <w:p w14:paraId="541379EC" w14:textId="28B7C8FE" w:rsidR="00085434" w:rsidRPr="00085434" w:rsidRDefault="00085434" w:rsidP="00085434">
      <w:pPr>
        <w:jc w:val="both"/>
        <w:rPr>
          <w:rFonts w:ascii="Arial" w:hAnsi="Arial" w:cs="Arial"/>
          <w:sz w:val="24"/>
          <w:szCs w:val="24"/>
        </w:rPr>
      </w:pPr>
      <w:r w:rsidRPr="00085434">
        <w:rPr>
          <w:rFonts w:ascii="Arial" w:hAnsi="Arial" w:cs="Arial"/>
          <w:sz w:val="24"/>
          <w:szCs w:val="24"/>
        </w:rPr>
        <w:t>La Tabla 1 resume las principales diferencias metodológicas entre las fuentes utilizadas en el análisis. Esta comparación permite identificar las limitaciones y alcances de cada fuente antes de interpretar los resultados.</w:t>
      </w:r>
    </w:p>
    <w:p w14:paraId="0F353E9A" w14:textId="5951F91C" w:rsidR="00B564FA" w:rsidRPr="00AA1590" w:rsidRDefault="00AA1590" w:rsidP="00AA1590">
      <w:pPr>
        <w:pStyle w:val="Descripcin"/>
        <w:keepNext/>
      </w:pPr>
      <w:bookmarkStart w:id="0" w:name="_Toc227517143"/>
      <w:r>
        <w:t xml:space="preserve">Tabla </w:t>
      </w:r>
      <w:fldSimple w:instr=" SEQ Tabla \* ARABIC ">
        <w:r w:rsidR="00E06EA1">
          <w:rPr>
            <w:noProof/>
          </w:rPr>
          <w:t>1</w:t>
        </w:r>
      </w:fldSimple>
      <w:r w:rsidRPr="00AA1590">
        <w:t xml:space="preserve"> Diferencias metodológicas entre fuentes</w:t>
      </w:r>
      <w:bookmarkEnd w:id="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2001"/>
        <w:gridCol w:w="2357"/>
        <w:gridCol w:w="1999"/>
      </w:tblGrid>
      <w:tr w:rsidR="00A9131E" w:rsidRPr="00444E7E" w14:paraId="5DE480A3" w14:textId="77777777" w:rsidTr="007614A1">
        <w:trPr>
          <w:tblHeader/>
          <w:tblCellSpacing w:w="15" w:type="dxa"/>
        </w:trPr>
        <w:tc>
          <w:tcPr>
            <w:tcW w:w="0" w:type="auto"/>
            <w:vAlign w:val="center"/>
            <w:hideMark/>
          </w:tcPr>
          <w:p w14:paraId="71A47F93"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Característica</w:t>
            </w:r>
          </w:p>
        </w:tc>
        <w:tc>
          <w:tcPr>
            <w:tcW w:w="0" w:type="auto"/>
            <w:vAlign w:val="center"/>
            <w:hideMark/>
          </w:tcPr>
          <w:p w14:paraId="4EBF182C"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Clusters (Censo)</w:t>
            </w:r>
          </w:p>
        </w:tc>
        <w:tc>
          <w:tcPr>
            <w:tcW w:w="0" w:type="auto"/>
            <w:vAlign w:val="center"/>
            <w:hideMark/>
          </w:tcPr>
          <w:p w14:paraId="140F2DDF"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IPM</w:t>
            </w:r>
          </w:p>
        </w:tc>
        <w:tc>
          <w:tcPr>
            <w:tcW w:w="0" w:type="auto"/>
            <w:vAlign w:val="center"/>
            <w:hideMark/>
          </w:tcPr>
          <w:p w14:paraId="255F8E58"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GEIH</w:t>
            </w:r>
          </w:p>
        </w:tc>
      </w:tr>
      <w:tr w:rsidR="00A9131E" w:rsidRPr="00444E7E" w14:paraId="36E53290" w14:textId="77777777" w:rsidTr="007614A1">
        <w:trPr>
          <w:tblCellSpacing w:w="15" w:type="dxa"/>
        </w:trPr>
        <w:tc>
          <w:tcPr>
            <w:tcW w:w="0" w:type="auto"/>
            <w:vAlign w:val="center"/>
            <w:hideMark/>
          </w:tcPr>
          <w:p w14:paraId="2227CFAC" w14:textId="77777777" w:rsidR="00A9131E" w:rsidRPr="00444E7E" w:rsidRDefault="00A9131E" w:rsidP="00A9131E">
            <w:pPr>
              <w:rPr>
                <w:rFonts w:ascii="Arial" w:hAnsi="Arial" w:cs="Arial"/>
                <w:sz w:val="24"/>
                <w:szCs w:val="24"/>
              </w:rPr>
            </w:pPr>
            <w:r w:rsidRPr="00444E7E">
              <w:rPr>
                <w:rFonts w:ascii="Arial" w:hAnsi="Arial" w:cs="Arial"/>
                <w:sz w:val="24"/>
                <w:szCs w:val="24"/>
              </w:rPr>
              <w:t>Tipo de dato</w:t>
            </w:r>
          </w:p>
        </w:tc>
        <w:tc>
          <w:tcPr>
            <w:tcW w:w="0" w:type="auto"/>
            <w:vAlign w:val="center"/>
            <w:hideMark/>
          </w:tcPr>
          <w:p w14:paraId="6C56C6E2" w14:textId="77777777" w:rsidR="00A9131E" w:rsidRPr="00444E7E" w:rsidRDefault="00A9131E" w:rsidP="00A9131E">
            <w:pPr>
              <w:rPr>
                <w:rFonts w:ascii="Arial" w:hAnsi="Arial" w:cs="Arial"/>
                <w:sz w:val="24"/>
                <w:szCs w:val="24"/>
              </w:rPr>
            </w:pPr>
            <w:r w:rsidRPr="00444E7E">
              <w:rPr>
                <w:rFonts w:ascii="Arial" w:hAnsi="Arial" w:cs="Arial"/>
                <w:sz w:val="24"/>
                <w:szCs w:val="24"/>
              </w:rPr>
              <w:t>Censal</w:t>
            </w:r>
          </w:p>
        </w:tc>
        <w:tc>
          <w:tcPr>
            <w:tcW w:w="0" w:type="auto"/>
            <w:vAlign w:val="center"/>
            <w:hideMark/>
          </w:tcPr>
          <w:p w14:paraId="5818BE4B" w14:textId="77777777" w:rsidR="00A9131E" w:rsidRPr="00444E7E" w:rsidRDefault="00A9131E" w:rsidP="00A9131E">
            <w:pPr>
              <w:rPr>
                <w:rFonts w:ascii="Arial" w:hAnsi="Arial" w:cs="Arial"/>
                <w:sz w:val="24"/>
                <w:szCs w:val="24"/>
              </w:rPr>
            </w:pPr>
            <w:r w:rsidRPr="00444E7E">
              <w:rPr>
                <w:rFonts w:ascii="Arial" w:hAnsi="Arial" w:cs="Arial"/>
                <w:sz w:val="24"/>
                <w:szCs w:val="24"/>
              </w:rPr>
              <w:t>Agregado</w:t>
            </w:r>
          </w:p>
        </w:tc>
        <w:tc>
          <w:tcPr>
            <w:tcW w:w="0" w:type="auto"/>
            <w:vAlign w:val="center"/>
            <w:hideMark/>
          </w:tcPr>
          <w:p w14:paraId="48491631" w14:textId="77777777" w:rsidR="00A9131E" w:rsidRPr="00444E7E" w:rsidRDefault="00A9131E" w:rsidP="00A9131E">
            <w:pPr>
              <w:rPr>
                <w:rFonts w:ascii="Arial" w:hAnsi="Arial" w:cs="Arial"/>
                <w:sz w:val="24"/>
                <w:szCs w:val="24"/>
              </w:rPr>
            </w:pPr>
            <w:r w:rsidRPr="00444E7E">
              <w:rPr>
                <w:rFonts w:ascii="Arial" w:hAnsi="Arial" w:cs="Arial"/>
                <w:sz w:val="24"/>
                <w:szCs w:val="24"/>
              </w:rPr>
              <w:t>Muestral</w:t>
            </w:r>
          </w:p>
        </w:tc>
      </w:tr>
      <w:tr w:rsidR="00A9131E" w:rsidRPr="00444E7E" w14:paraId="0B91B130" w14:textId="77777777" w:rsidTr="007614A1">
        <w:trPr>
          <w:tblCellSpacing w:w="15" w:type="dxa"/>
        </w:trPr>
        <w:tc>
          <w:tcPr>
            <w:tcW w:w="0" w:type="auto"/>
            <w:vAlign w:val="center"/>
            <w:hideMark/>
          </w:tcPr>
          <w:p w14:paraId="11D19336" w14:textId="77777777" w:rsidR="00A9131E" w:rsidRPr="00444E7E" w:rsidRDefault="00A9131E" w:rsidP="00A9131E">
            <w:pPr>
              <w:rPr>
                <w:rFonts w:ascii="Arial" w:hAnsi="Arial" w:cs="Arial"/>
                <w:sz w:val="24"/>
                <w:szCs w:val="24"/>
              </w:rPr>
            </w:pPr>
            <w:r w:rsidRPr="00444E7E">
              <w:rPr>
                <w:rFonts w:ascii="Arial" w:hAnsi="Arial" w:cs="Arial"/>
                <w:sz w:val="24"/>
                <w:szCs w:val="24"/>
              </w:rPr>
              <w:t>Nivel espacial</w:t>
            </w:r>
          </w:p>
        </w:tc>
        <w:tc>
          <w:tcPr>
            <w:tcW w:w="0" w:type="auto"/>
            <w:vAlign w:val="center"/>
            <w:hideMark/>
          </w:tcPr>
          <w:p w14:paraId="30092A60" w14:textId="77777777" w:rsidR="00A9131E" w:rsidRPr="00444E7E" w:rsidRDefault="00A9131E" w:rsidP="00A9131E">
            <w:pPr>
              <w:rPr>
                <w:rFonts w:ascii="Arial" w:hAnsi="Arial" w:cs="Arial"/>
                <w:sz w:val="24"/>
                <w:szCs w:val="24"/>
              </w:rPr>
            </w:pPr>
            <w:r w:rsidRPr="00444E7E">
              <w:rPr>
                <w:rFonts w:ascii="Arial" w:hAnsi="Arial" w:cs="Arial"/>
                <w:sz w:val="24"/>
                <w:szCs w:val="24"/>
              </w:rPr>
              <w:t>Manzana</w:t>
            </w:r>
          </w:p>
        </w:tc>
        <w:tc>
          <w:tcPr>
            <w:tcW w:w="0" w:type="auto"/>
            <w:vAlign w:val="center"/>
            <w:hideMark/>
          </w:tcPr>
          <w:p w14:paraId="6AAB81B5" w14:textId="77777777" w:rsidR="00A9131E" w:rsidRPr="00444E7E" w:rsidRDefault="00A9131E" w:rsidP="00A9131E">
            <w:pPr>
              <w:rPr>
                <w:rFonts w:ascii="Arial" w:hAnsi="Arial" w:cs="Arial"/>
                <w:sz w:val="24"/>
                <w:szCs w:val="24"/>
              </w:rPr>
            </w:pPr>
            <w:r w:rsidRPr="00444E7E">
              <w:rPr>
                <w:rFonts w:ascii="Arial" w:hAnsi="Arial" w:cs="Arial"/>
                <w:sz w:val="24"/>
                <w:szCs w:val="24"/>
              </w:rPr>
              <w:t>Departamento</w:t>
            </w:r>
          </w:p>
        </w:tc>
        <w:tc>
          <w:tcPr>
            <w:tcW w:w="0" w:type="auto"/>
            <w:vAlign w:val="center"/>
            <w:hideMark/>
          </w:tcPr>
          <w:p w14:paraId="509BFEFB" w14:textId="77777777" w:rsidR="00A9131E" w:rsidRPr="00444E7E" w:rsidRDefault="00A9131E" w:rsidP="00A9131E">
            <w:pPr>
              <w:rPr>
                <w:rFonts w:ascii="Arial" w:hAnsi="Arial" w:cs="Arial"/>
                <w:sz w:val="24"/>
                <w:szCs w:val="24"/>
              </w:rPr>
            </w:pPr>
            <w:r w:rsidRPr="00444E7E">
              <w:rPr>
                <w:rFonts w:ascii="Arial" w:hAnsi="Arial" w:cs="Arial"/>
                <w:sz w:val="24"/>
                <w:szCs w:val="24"/>
              </w:rPr>
              <w:t>Ciudad</w:t>
            </w:r>
          </w:p>
        </w:tc>
      </w:tr>
      <w:tr w:rsidR="00A9131E" w:rsidRPr="00444E7E" w14:paraId="59557A62" w14:textId="77777777" w:rsidTr="007614A1">
        <w:trPr>
          <w:tblCellSpacing w:w="15" w:type="dxa"/>
        </w:trPr>
        <w:tc>
          <w:tcPr>
            <w:tcW w:w="0" w:type="auto"/>
            <w:vAlign w:val="center"/>
            <w:hideMark/>
          </w:tcPr>
          <w:p w14:paraId="6F473548" w14:textId="77777777" w:rsidR="00A9131E" w:rsidRPr="00444E7E" w:rsidRDefault="00A9131E" w:rsidP="00A9131E">
            <w:pPr>
              <w:rPr>
                <w:rFonts w:ascii="Arial" w:hAnsi="Arial" w:cs="Arial"/>
                <w:sz w:val="24"/>
                <w:szCs w:val="24"/>
              </w:rPr>
            </w:pPr>
            <w:r w:rsidRPr="00444E7E">
              <w:rPr>
                <w:rFonts w:ascii="Arial" w:hAnsi="Arial" w:cs="Arial"/>
                <w:sz w:val="24"/>
                <w:szCs w:val="24"/>
              </w:rPr>
              <w:t>Precisión espacial</w:t>
            </w:r>
          </w:p>
        </w:tc>
        <w:tc>
          <w:tcPr>
            <w:tcW w:w="0" w:type="auto"/>
            <w:vAlign w:val="center"/>
            <w:hideMark/>
          </w:tcPr>
          <w:p w14:paraId="19D409DD" w14:textId="77777777" w:rsidR="00A9131E" w:rsidRPr="00444E7E" w:rsidRDefault="00A9131E" w:rsidP="00A9131E">
            <w:pPr>
              <w:rPr>
                <w:rFonts w:ascii="Arial" w:hAnsi="Arial" w:cs="Arial"/>
                <w:sz w:val="24"/>
                <w:szCs w:val="24"/>
              </w:rPr>
            </w:pPr>
            <w:r w:rsidRPr="00444E7E">
              <w:rPr>
                <w:rFonts w:ascii="Arial" w:hAnsi="Arial" w:cs="Arial"/>
                <w:sz w:val="24"/>
                <w:szCs w:val="24"/>
              </w:rPr>
              <w:t>Alta</w:t>
            </w:r>
          </w:p>
        </w:tc>
        <w:tc>
          <w:tcPr>
            <w:tcW w:w="0" w:type="auto"/>
            <w:vAlign w:val="center"/>
            <w:hideMark/>
          </w:tcPr>
          <w:p w14:paraId="768B1CC1" w14:textId="77777777" w:rsidR="00A9131E" w:rsidRPr="00444E7E" w:rsidRDefault="00A9131E" w:rsidP="00A9131E">
            <w:pPr>
              <w:rPr>
                <w:rFonts w:ascii="Arial" w:hAnsi="Arial" w:cs="Arial"/>
                <w:sz w:val="24"/>
                <w:szCs w:val="24"/>
              </w:rPr>
            </w:pPr>
            <w:r w:rsidRPr="00444E7E">
              <w:rPr>
                <w:rFonts w:ascii="Arial" w:hAnsi="Arial" w:cs="Arial"/>
                <w:sz w:val="24"/>
                <w:szCs w:val="24"/>
              </w:rPr>
              <w:t>Media</w:t>
            </w:r>
          </w:p>
        </w:tc>
        <w:tc>
          <w:tcPr>
            <w:tcW w:w="0" w:type="auto"/>
            <w:vAlign w:val="center"/>
            <w:hideMark/>
          </w:tcPr>
          <w:p w14:paraId="51DAFE2A" w14:textId="77777777" w:rsidR="00A9131E" w:rsidRPr="00444E7E" w:rsidRDefault="00A9131E" w:rsidP="00A9131E">
            <w:pPr>
              <w:rPr>
                <w:rFonts w:ascii="Arial" w:hAnsi="Arial" w:cs="Arial"/>
                <w:sz w:val="24"/>
                <w:szCs w:val="24"/>
              </w:rPr>
            </w:pPr>
            <w:r w:rsidRPr="00444E7E">
              <w:rPr>
                <w:rFonts w:ascii="Arial" w:hAnsi="Arial" w:cs="Arial"/>
                <w:sz w:val="24"/>
                <w:szCs w:val="24"/>
              </w:rPr>
              <w:t>Baja</w:t>
            </w:r>
          </w:p>
        </w:tc>
      </w:tr>
      <w:tr w:rsidR="00A9131E" w:rsidRPr="00444E7E" w14:paraId="2191C811" w14:textId="77777777" w:rsidTr="007614A1">
        <w:trPr>
          <w:tblCellSpacing w:w="15" w:type="dxa"/>
        </w:trPr>
        <w:tc>
          <w:tcPr>
            <w:tcW w:w="0" w:type="auto"/>
            <w:vAlign w:val="center"/>
            <w:hideMark/>
          </w:tcPr>
          <w:p w14:paraId="3F44D55F" w14:textId="77777777" w:rsidR="00A9131E" w:rsidRPr="00444E7E" w:rsidRDefault="00A9131E" w:rsidP="00A9131E">
            <w:pPr>
              <w:rPr>
                <w:rFonts w:ascii="Arial" w:hAnsi="Arial" w:cs="Arial"/>
                <w:sz w:val="24"/>
                <w:szCs w:val="24"/>
              </w:rPr>
            </w:pPr>
            <w:r w:rsidRPr="00444E7E">
              <w:rPr>
                <w:rFonts w:ascii="Arial" w:hAnsi="Arial" w:cs="Arial"/>
                <w:sz w:val="24"/>
                <w:szCs w:val="24"/>
              </w:rPr>
              <w:t>Enfoque</w:t>
            </w:r>
          </w:p>
        </w:tc>
        <w:tc>
          <w:tcPr>
            <w:tcW w:w="0" w:type="auto"/>
            <w:vAlign w:val="center"/>
            <w:hideMark/>
          </w:tcPr>
          <w:p w14:paraId="4EBA7A33" w14:textId="77777777" w:rsidR="00A9131E" w:rsidRPr="00444E7E" w:rsidRDefault="00A9131E" w:rsidP="00A9131E">
            <w:pPr>
              <w:rPr>
                <w:rFonts w:ascii="Arial" w:hAnsi="Arial" w:cs="Arial"/>
                <w:sz w:val="24"/>
                <w:szCs w:val="24"/>
              </w:rPr>
            </w:pPr>
            <w:r w:rsidRPr="00444E7E">
              <w:rPr>
                <w:rFonts w:ascii="Arial" w:hAnsi="Arial" w:cs="Arial"/>
                <w:sz w:val="24"/>
                <w:szCs w:val="24"/>
              </w:rPr>
              <w:t>Multidimensional</w:t>
            </w:r>
          </w:p>
        </w:tc>
        <w:tc>
          <w:tcPr>
            <w:tcW w:w="0" w:type="auto"/>
            <w:vAlign w:val="center"/>
            <w:hideMark/>
          </w:tcPr>
          <w:p w14:paraId="62EEC473" w14:textId="77777777" w:rsidR="00A9131E" w:rsidRPr="00444E7E" w:rsidRDefault="00A9131E" w:rsidP="00A9131E">
            <w:pPr>
              <w:rPr>
                <w:rFonts w:ascii="Arial" w:hAnsi="Arial" w:cs="Arial"/>
                <w:sz w:val="24"/>
                <w:szCs w:val="24"/>
              </w:rPr>
            </w:pPr>
            <w:r w:rsidRPr="00444E7E">
              <w:rPr>
                <w:rFonts w:ascii="Arial" w:hAnsi="Arial" w:cs="Arial"/>
                <w:sz w:val="24"/>
                <w:szCs w:val="24"/>
              </w:rPr>
              <w:t>Pobreza</w:t>
            </w:r>
          </w:p>
        </w:tc>
        <w:tc>
          <w:tcPr>
            <w:tcW w:w="0" w:type="auto"/>
            <w:vAlign w:val="center"/>
            <w:hideMark/>
          </w:tcPr>
          <w:p w14:paraId="7CF36C61" w14:textId="77777777" w:rsidR="00A9131E" w:rsidRPr="00444E7E" w:rsidRDefault="00A9131E" w:rsidP="00A9131E">
            <w:pPr>
              <w:rPr>
                <w:rFonts w:ascii="Arial" w:hAnsi="Arial" w:cs="Arial"/>
                <w:sz w:val="24"/>
                <w:szCs w:val="24"/>
              </w:rPr>
            </w:pPr>
            <w:r w:rsidRPr="00444E7E">
              <w:rPr>
                <w:rFonts w:ascii="Arial" w:hAnsi="Arial" w:cs="Arial"/>
                <w:sz w:val="24"/>
                <w:szCs w:val="24"/>
              </w:rPr>
              <w:t>Socioeconómico</w:t>
            </w:r>
          </w:p>
        </w:tc>
      </w:tr>
      <w:tr w:rsidR="00A9131E" w:rsidRPr="00444E7E" w14:paraId="31E662DD" w14:textId="77777777" w:rsidTr="007614A1">
        <w:trPr>
          <w:tblCellSpacing w:w="15" w:type="dxa"/>
        </w:trPr>
        <w:tc>
          <w:tcPr>
            <w:tcW w:w="0" w:type="auto"/>
            <w:vAlign w:val="center"/>
            <w:hideMark/>
          </w:tcPr>
          <w:p w14:paraId="70B4ED58" w14:textId="77777777" w:rsidR="00A9131E" w:rsidRPr="00444E7E" w:rsidRDefault="00A9131E" w:rsidP="00A9131E">
            <w:pPr>
              <w:rPr>
                <w:rFonts w:ascii="Arial" w:hAnsi="Arial" w:cs="Arial"/>
                <w:sz w:val="24"/>
                <w:szCs w:val="24"/>
              </w:rPr>
            </w:pPr>
            <w:r w:rsidRPr="00444E7E">
              <w:rPr>
                <w:rFonts w:ascii="Arial" w:hAnsi="Arial" w:cs="Arial"/>
                <w:sz w:val="24"/>
                <w:szCs w:val="24"/>
              </w:rPr>
              <w:t>Uso principal</w:t>
            </w:r>
          </w:p>
        </w:tc>
        <w:tc>
          <w:tcPr>
            <w:tcW w:w="0" w:type="auto"/>
            <w:vAlign w:val="center"/>
            <w:hideMark/>
          </w:tcPr>
          <w:p w14:paraId="68023982" w14:textId="77777777" w:rsidR="00A9131E" w:rsidRPr="00444E7E" w:rsidRDefault="00A9131E" w:rsidP="00A9131E">
            <w:pPr>
              <w:rPr>
                <w:rFonts w:ascii="Arial" w:hAnsi="Arial" w:cs="Arial"/>
                <w:sz w:val="24"/>
                <w:szCs w:val="24"/>
              </w:rPr>
            </w:pPr>
            <w:r w:rsidRPr="00444E7E">
              <w:rPr>
                <w:rFonts w:ascii="Arial" w:hAnsi="Arial" w:cs="Arial"/>
                <w:sz w:val="24"/>
                <w:szCs w:val="24"/>
              </w:rPr>
              <w:t>Segmentación</w:t>
            </w:r>
          </w:p>
        </w:tc>
        <w:tc>
          <w:tcPr>
            <w:tcW w:w="0" w:type="auto"/>
            <w:vAlign w:val="center"/>
            <w:hideMark/>
          </w:tcPr>
          <w:p w14:paraId="386529D6" w14:textId="77777777" w:rsidR="00A9131E" w:rsidRPr="00444E7E" w:rsidRDefault="00A9131E" w:rsidP="00A9131E">
            <w:pPr>
              <w:rPr>
                <w:rFonts w:ascii="Arial" w:hAnsi="Arial" w:cs="Arial"/>
                <w:sz w:val="24"/>
                <w:szCs w:val="24"/>
              </w:rPr>
            </w:pPr>
            <w:r w:rsidRPr="00444E7E">
              <w:rPr>
                <w:rFonts w:ascii="Arial" w:hAnsi="Arial" w:cs="Arial"/>
                <w:sz w:val="24"/>
                <w:szCs w:val="24"/>
              </w:rPr>
              <w:t>Validación estructural</w:t>
            </w:r>
          </w:p>
        </w:tc>
        <w:tc>
          <w:tcPr>
            <w:tcW w:w="0" w:type="auto"/>
            <w:vAlign w:val="center"/>
            <w:hideMark/>
          </w:tcPr>
          <w:p w14:paraId="1C02C904" w14:textId="77777777" w:rsidR="00A9131E" w:rsidRPr="00444E7E" w:rsidRDefault="00A9131E" w:rsidP="00A9131E">
            <w:pPr>
              <w:rPr>
                <w:rFonts w:ascii="Arial" w:hAnsi="Arial" w:cs="Arial"/>
                <w:sz w:val="24"/>
                <w:szCs w:val="24"/>
              </w:rPr>
            </w:pPr>
            <w:r w:rsidRPr="00444E7E">
              <w:rPr>
                <w:rFonts w:ascii="Arial" w:hAnsi="Arial" w:cs="Arial"/>
                <w:sz w:val="24"/>
                <w:szCs w:val="24"/>
              </w:rPr>
              <w:t>Validación urbana</w:t>
            </w:r>
          </w:p>
        </w:tc>
      </w:tr>
    </w:tbl>
    <w:p w14:paraId="6AFE4CBE" w14:textId="77777777" w:rsidR="00A9131E" w:rsidRPr="00444E7E" w:rsidRDefault="00A9131E" w:rsidP="00A9131E">
      <w:pPr>
        <w:rPr>
          <w:rFonts w:ascii="Arial" w:hAnsi="Arial" w:cs="Arial"/>
          <w:b/>
          <w:bCs/>
          <w:sz w:val="24"/>
          <w:szCs w:val="24"/>
        </w:rPr>
      </w:pPr>
    </w:p>
    <w:p w14:paraId="170C075A" w14:textId="77777777" w:rsidR="00985CCB" w:rsidRDefault="00985CCB" w:rsidP="00A9131E">
      <w:pPr>
        <w:rPr>
          <w:rFonts w:ascii="Arial" w:hAnsi="Arial" w:cs="Arial"/>
          <w:b/>
          <w:bCs/>
          <w:sz w:val="24"/>
          <w:szCs w:val="24"/>
        </w:rPr>
      </w:pPr>
    </w:p>
    <w:p w14:paraId="0D0DADB9" w14:textId="77777777" w:rsidR="00985CCB" w:rsidRDefault="00985CCB" w:rsidP="00A9131E">
      <w:pPr>
        <w:rPr>
          <w:rFonts w:ascii="Arial" w:hAnsi="Arial" w:cs="Arial"/>
          <w:b/>
          <w:bCs/>
          <w:sz w:val="24"/>
          <w:szCs w:val="24"/>
        </w:rPr>
      </w:pPr>
    </w:p>
    <w:p w14:paraId="7D7E6154" w14:textId="4382D40C" w:rsidR="00A9131E" w:rsidRPr="00444E7E" w:rsidRDefault="00A9131E" w:rsidP="00A9131E">
      <w:pPr>
        <w:rPr>
          <w:rFonts w:ascii="Arial" w:hAnsi="Arial" w:cs="Arial"/>
          <w:b/>
          <w:bCs/>
          <w:sz w:val="24"/>
          <w:szCs w:val="24"/>
        </w:rPr>
      </w:pPr>
      <w:r w:rsidRPr="00444E7E">
        <w:rPr>
          <w:rFonts w:ascii="Arial" w:hAnsi="Arial" w:cs="Arial"/>
          <w:b/>
          <w:bCs/>
          <w:sz w:val="24"/>
          <w:szCs w:val="24"/>
        </w:rPr>
        <w:lastRenderedPageBreak/>
        <w:t>Construcción de indicadores</w:t>
      </w:r>
    </w:p>
    <w:p w14:paraId="7D88EFCA" w14:textId="77777777" w:rsidR="00F91F46" w:rsidRDefault="00F91F46" w:rsidP="00A9131E">
      <w:pPr>
        <w:rPr>
          <w:rFonts w:ascii="Arial" w:hAnsi="Arial" w:cs="Arial"/>
          <w:b/>
          <w:bCs/>
          <w:sz w:val="24"/>
          <w:szCs w:val="24"/>
        </w:rPr>
      </w:pPr>
    </w:p>
    <w:p w14:paraId="7468C6C1" w14:textId="2207C9B2" w:rsidR="00A9131E" w:rsidRPr="00444E7E" w:rsidRDefault="00A9131E" w:rsidP="00A9131E">
      <w:pPr>
        <w:rPr>
          <w:rFonts w:ascii="Arial" w:hAnsi="Arial" w:cs="Arial"/>
          <w:b/>
          <w:bCs/>
          <w:sz w:val="24"/>
          <w:szCs w:val="24"/>
        </w:rPr>
      </w:pPr>
      <w:r w:rsidRPr="00444E7E">
        <w:rPr>
          <w:rFonts w:ascii="Arial" w:hAnsi="Arial" w:cs="Arial"/>
          <w:b/>
          <w:bCs/>
          <w:sz w:val="24"/>
          <w:szCs w:val="24"/>
        </w:rPr>
        <w:t>Indicadores del clustering</w:t>
      </w:r>
      <w:r w:rsidR="00F91F46">
        <w:rPr>
          <w:rFonts w:ascii="Arial" w:hAnsi="Arial" w:cs="Arial"/>
          <w:b/>
          <w:bCs/>
          <w:sz w:val="24"/>
          <w:szCs w:val="24"/>
        </w:rPr>
        <w:t xml:space="preserve"> de la fase previa</w:t>
      </w:r>
    </w:p>
    <w:p w14:paraId="729DC209" w14:textId="7C6CCC80" w:rsidR="00A9131E" w:rsidRPr="00444E7E" w:rsidRDefault="00F91F46" w:rsidP="00A9131E">
      <w:pPr>
        <w:rPr>
          <w:rFonts w:ascii="Arial" w:hAnsi="Arial" w:cs="Arial"/>
          <w:sz w:val="24"/>
          <w:szCs w:val="24"/>
        </w:rPr>
      </w:pPr>
      <w:r>
        <w:rPr>
          <w:rFonts w:ascii="Arial" w:hAnsi="Arial" w:cs="Arial"/>
          <w:sz w:val="24"/>
          <w:szCs w:val="24"/>
        </w:rPr>
        <w:t>I</w:t>
      </w:r>
      <w:r w:rsidR="00A9131E" w:rsidRPr="00444E7E">
        <w:rPr>
          <w:rFonts w:ascii="Arial" w:hAnsi="Arial" w:cs="Arial"/>
          <w:sz w:val="24"/>
          <w:szCs w:val="24"/>
        </w:rPr>
        <w:t>ndicadores agregados a partir de variables censales:</w:t>
      </w:r>
    </w:p>
    <w:p w14:paraId="2929D113" w14:textId="77777777" w:rsidR="00A9131E" w:rsidRPr="00444E7E" w:rsidRDefault="00A9131E" w:rsidP="00A9131E">
      <w:pPr>
        <w:numPr>
          <w:ilvl w:val="0"/>
          <w:numId w:val="4"/>
        </w:numPr>
        <w:rPr>
          <w:rFonts w:ascii="Arial" w:hAnsi="Arial" w:cs="Arial"/>
          <w:sz w:val="24"/>
          <w:szCs w:val="24"/>
        </w:rPr>
      </w:pPr>
      <w:r w:rsidRPr="00444E7E">
        <w:rPr>
          <w:rFonts w:ascii="Arial" w:hAnsi="Arial" w:cs="Arial"/>
          <w:sz w:val="24"/>
          <w:szCs w:val="24"/>
        </w:rPr>
        <w:t xml:space="preserve">Servicios: acceso a acueducto, alcantarillado </w:t>
      </w:r>
    </w:p>
    <w:p w14:paraId="44469ED8" w14:textId="77777777" w:rsidR="00A9131E" w:rsidRPr="00444E7E" w:rsidRDefault="00A9131E" w:rsidP="00A9131E">
      <w:pPr>
        <w:numPr>
          <w:ilvl w:val="0"/>
          <w:numId w:val="4"/>
        </w:numPr>
        <w:rPr>
          <w:rFonts w:ascii="Arial" w:hAnsi="Arial" w:cs="Arial"/>
          <w:sz w:val="24"/>
          <w:szCs w:val="24"/>
        </w:rPr>
      </w:pPr>
      <w:r w:rsidRPr="00444E7E">
        <w:rPr>
          <w:rFonts w:ascii="Arial" w:hAnsi="Arial" w:cs="Arial"/>
          <w:sz w:val="24"/>
          <w:szCs w:val="24"/>
        </w:rPr>
        <w:t xml:space="preserve">Educación: asistencia, alfabetismo, años de estudio </w:t>
      </w:r>
    </w:p>
    <w:p w14:paraId="64488F3F" w14:textId="77777777" w:rsidR="00A9131E" w:rsidRPr="00444E7E" w:rsidRDefault="00A9131E" w:rsidP="00A9131E">
      <w:pPr>
        <w:numPr>
          <w:ilvl w:val="0"/>
          <w:numId w:val="4"/>
        </w:numPr>
        <w:rPr>
          <w:rFonts w:ascii="Arial" w:hAnsi="Arial" w:cs="Arial"/>
          <w:sz w:val="24"/>
          <w:szCs w:val="24"/>
        </w:rPr>
      </w:pPr>
      <w:r w:rsidRPr="00444E7E">
        <w:rPr>
          <w:rFonts w:ascii="Arial" w:hAnsi="Arial" w:cs="Arial"/>
          <w:sz w:val="24"/>
          <w:szCs w:val="24"/>
        </w:rPr>
        <w:t xml:space="preserve">Laboral: proporción de población ocupada </w:t>
      </w:r>
    </w:p>
    <w:p w14:paraId="4EAC485D" w14:textId="77777777" w:rsidR="00A9131E" w:rsidRPr="00444E7E" w:rsidRDefault="00A9131E" w:rsidP="00A9131E">
      <w:pPr>
        <w:numPr>
          <w:ilvl w:val="0"/>
          <w:numId w:val="4"/>
        </w:numPr>
        <w:rPr>
          <w:rFonts w:ascii="Arial" w:hAnsi="Arial" w:cs="Arial"/>
          <w:sz w:val="24"/>
          <w:szCs w:val="24"/>
        </w:rPr>
      </w:pPr>
      <w:r w:rsidRPr="00444E7E">
        <w:rPr>
          <w:rFonts w:ascii="Arial" w:hAnsi="Arial" w:cs="Arial"/>
          <w:sz w:val="24"/>
          <w:szCs w:val="24"/>
        </w:rPr>
        <w:t xml:space="preserve">Habitacional: hacinamiento, materiales </w:t>
      </w:r>
    </w:p>
    <w:p w14:paraId="426107E1" w14:textId="1BEA505F" w:rsidR="00A9131E" w:rsidRPr="00444E7E" w:rsidRDefault="00A9131E" w:rsidP="00A9131E">
      <w:pPr>
        <w:rPr>
          <w:rFonts w:ascii="Arial" w:hAnsi="Arial" w:cs="Arial"/>
          <w:b/>
          <w:bCs/>
          <w:sz w:val="24"/>
          <w:szCs w:val="24"/>
        </w:rPr>
      </w:pPr>
    </w:p>
    <w:p w14:paraId="1F781264" w14:textId="42F6EE06" w:rsidR="00A9131E" w:rsidRPr="00444E7E" w:rsidRDefault="00A9131E" w:rsidP="00A9131E">
      <w:pPr>
        <w:rPr>
          <w:rFonts w:ascii="Arial" w:hAnsi="Arial" w:cs="Arial"/>
          <w:b/>
          <w:bCs/>
          <w:sz w:val="24"/>
          <w:szCs w:val="24"/>
        </w:rPr>
      </w:pPr>
      <w:r w:rsidRPr="00444E7E">
        <w:rPr>
          <w:rFonts w:ascii="Arial" w:hAnsi="Arial" w:cs="Arial"/>
          <w:b/>
          <w:bCs/>
          <w:sz w:val="24"/>
          <w:szCs w:val="24"/>
        </w:rPr>
        <w:t>Indicadores del IPM</w:t>
      </w:r>
    </w:p>
    <w:p w14:paraId="5C663D06" w14:textId="77777777" w:rsidR="00A9131E" w:rsidRPr="00444E7E" w:rsidRDefault="00A9131E" w:rsidP="00A9131E">
      <w:pPr>
        <w:rPr>
          <w:rFonts w:ascii="Arial" w:hAnsi="Arial" w:cs="Arial"/>
          <w:sz w:val="24"/>
          <w:szCs w:val="24"/>
        </w:rPr>
      </w:pPr>
      <w:r w:rsidRPr="00444E7E">
        <w:rPr>
          <w:rFonts w:ascii="Arial" w:hAnsi="Arial" w:cs="Arial"/>
          <w:sz w:val="24"/>
          <w:szCs w:val="24"/>
        </w:rPr>
        <w:t>El IPM se compone de indicadores de privación en:</w:t>
      </w:r>
    </w:p>
    <w:p w14:paraId="593FFFF2" w14:textId="77777777" w:rsidR="00A9131E" w:rsidRPr="00444E7E" w:rsidRDefault="00A9131E" w:rsidP="00A9131E">
      <w:pPr>
        <w:numPr>
          <w:ilvl w:val="0"/>
          <w:numId w:val="5"/>
        </w:numPr>
        <w:rPr>
          <w:rFonts w:ascii="Arial" w:hAnsi="Arial" w:cs="Arial"/>
          <w:sz w:val="24"/>
          <w:szCs w:val="24"/>
        </w:rPr>
      </w:pPr>
      <w:r w:rsidRPr="00444E7E">
        <w:rPr>
          <w:rFonts w:ascii="Arial" w:hAnsi="Arial" w:cs="Arial"/>
          <w:sz w:val="24"/>
          <w:szCs w:val="24"/>
        </w:rPr>
        <w:t xml:space="preserve">Educación (inasistencia, rezago) </w:t>
      </w:r>
    </w:p>
    <w:p w14:paraId="074ACEEB" w14:textId="77777777" w:rsidR="00A9131E" w:rsidRPr="00444E7E" w:rsidRDefault="00A9131E" w:rsidP="00A9131E">
      <w:pPr>
        <w:numPr>
          <w:ilvl w:val="0"/>
          <w:numId w:val="5"/>
        </w:numPr>
        <w:rPr>
          <w:rFonts w:ascii="Arial" w:hAnsi="Arial" w:cs="Arial"/>
          <w:sz w:val="24"/>
          <w:szCs w:val="24"/>
        </w:rPr>
      </w:pPr>
      <w:r w:rsidRPr="00444E7E">
        <w:rPr>
          <w:rFonts w:ascii="Arial" w:hAnsi="Arial" w:cs="Arial"/>
          <w:sz w:val="24"/>
          <w:szCs w:val="24"/>
        </w:rPr>
        <w:t xml:space="preserve">Trabajo (informalidad) </w:t>
      </w:r>
    </w:p>
    <w:p w14:paraId="5BF0C557" w14:textId="77777777" w:rsidR="00A9131E" w:rsidRPr="00444E7E" w:rsidRDefault="00A9131E" w:rsidP="00A9131E">
      <w:pPr>
        <w:numPr>
          <w:ilvl w:val="0"/>
          <w:numId w:val="5"/>
        </w:numPr>
        <w:rPr>
          <w:rFonts w:ascii="Arial" w:hAnsi="Arial" w:cs="Arial"/>
          <w:sz w:val="24"/>
          <w:szCs w:val="24"/>
        </w:rPr>
      </w:pPr>
      <w:r w:rsidRPr="00444E7E">
        <w:rPr>
          <w:rFonts w:ascii="Arial" w:hAnsi="Arial" w:cs="Arial"/>
          <w:sz w:val="24"/>
          <w:szCs w:val="24"/>
        </w:rPr>
        <w:t xml:space="preserve">Vivienda (hacinamiento) </w:t>
      </w:r>
    </w:p>
    <w:p w14:paraId="3ECF8EBF" w14:textId="77777777" w:rsidR="00A9131E" w:rsidRPr="00444E7E" w:rsidRDefault="00A9131E" w:rsidP="00A9131E">
      <w:pPr>
        <w:numPr>
          <w:ilvl w:val="0"/>
          <w:numId w:val="5"/>
        </w:numPr>
        <w:rPr>
          <w:rFonts w:ascii="Arial" w:hAnsi="Arial" w:cs="Arial"/>
          <w:sz w:val="24"/>
          <w:szCs w:val="24"/>
        </w:rPr>
      </w:pPr>
      <w:r w:rsidRPr="00444E7E">
        <w:rPr>
          <w:rFonts w:ascii="Arial" w:hAnsi="Arial" w:cs="Arial"/>
          <w:sz w:val="24"/>
          <w:szCs w:val="24"/>
        </w:rPr>
        <w:t xml:space="preserve">Servicios </w:t>
      </w:r>
    </w:p>
    <w:p w14:paraId="3BA3FDB1" w14:textId="071A1486" w:rsidR="00A9131E" w:rsidRPr="00444E7E" w:rsidRDefault="00A9131E" w:rsidP="00A9131E">
      <w:pPr>
        <w:rPr>
          <w:rFonts w:ascii="Arial" w:hAnsi="Arial" w:cs="Arial"/>
          <w:b/>
          <w:bCs/>
          <w:sz w:val="24"/>
          <w:szCs w:val="24"/>
        </w:rPr>
      </w:pPr>
    </w:p>
    <w:p w14:paraId="40E29625" w14:textId="77777777" w:rsidR="00A9131E" w:rsidRPr="00444E7E" w:rsidRDefault="00A9131E" w:rsidP="00A9131E">
      <w:pPr>
        <w:rPr>
          <w:rFonts w:ascii="Arial" w:hAnsi="Arial" w:cs="Arial"/>
          <w:b/>
          <w:bCs/>
          <w:sz w:val="24"/>
          <w:szCs w:val="24"/>
        </w:rPr>
      </w:pPr>
    </w:p>
    <w:p w14:paraId="4FFFB79D" w14:textId="77777777" w:rsidR="00A9131E" w:rsidRPr="00444E7E" w:rsidRDefault="00A9131E" w:rsidP="00A9131E">
      <w:pPr>
        <w:rPr>
          <w:rFonts w:ascii="Arial" w:hAnsi="Arial" w:cs="Arial"/>
          <w:b/>
          <w:bCs/>
          <w:sz w:val="24"/>
          <w:szCs w:val="24"/>
        </w:rPr>
      </w:pPr>
    </w:p>
    <w:p w14:paraId="1D485402" w14:textId="4FA6E082" w:rsidR="00A9131E" w:rsidRPr="00444E7E" w:rsidRDefault="00A9131E" w:rsidP="00A9131E">
      <w:pPr>
        <w:rPr>
          <w:rFonts w:ascii="Arial" w:hAnsi="Arial" w:cs="Arial"/>
          <w:b/>
          <w:bCs/>
          <w:sz w:val="24"/>
          <w:szCs w:val="24"/>
        </w:rPr>
      </w:pPr>
      <w:r w:rsidRPr="00444E7E">
        <w:rPr>
          <w:rFonts w:ascii="Arial" w:hAnsi="Arial" w:cs="Arial"/>
          <w:b/>
          <w:bCs/>
          <w:sz w:val="24"/>
          <w:szCs w:val="24"/>
        </w:rPr>
        <w:t>Indicadores GEIH</w:t>
      </w:r>
    </w:p>
    <w:p w14:paraId="7ACB88FF" w14:textId="77777777" w:rsidR="00A9131E" w:rsidRPr="00444E7E" w:rsidRDefault="00A9131E" w:rsidP="00A9131E">
      <w:pPr>
        <w:rPr>
          <w:rFonts w:ascii="Arial" w:hAnsi="Arial" w:cs="Arial"/>
          <w:sz w:val="24"/>
          <w:szCs w:val="24"/>
        </w:rPr>
      </w:pPr>
      <w:r w:rsidRPr="00444E7E">
        <w:rPr>
          <w:rFonts w:ascii="Arial" w:hAnsi="Arial" w:cs="Arial"/>
          <w:sz w:val="24"/>
          <w:szCs w:val="24"/>
        </w:rPr>
        <w:t>Se construyeron indicadores a partir de microdatos:</w:t>
      </w:r>
    </w:p>
    <w:p w14:paraId="6D538848" w14:textId="77777777" w:rsidR="00A9131E" w:rsidRPr="00444E7E" w:rsidRDefault="00A9131E" w:rsidP="00A9131E">
      <w:pPr>
        <w:numPr>
          <w:ilvl w:val="0"/>
          <w:numId w:val="6"/>
        </w:numPr>
        <w:rPr>
          <w:rFonts w:ascii="Arial" w:hAnsi="Arial" w:cs="Arial"/>
          <w:sz w:val="24"/>
          <w:szCs w:val="24"/>
        </w:rPr>
      </w:pPr>
      <w:r w:rsidRPr="00444E7E">
        <w:rPr>
          <w:rFonts w:ascii="Arial" w:hAnsi="Arial" w:cs="Arial"/>
          <w:sz w:val="24"/>
          <w:szCs w:val="24"/>
        </w:rPr>
        <w:t xml:space="preserve">Tasa de ocupación </w:t>
      </w:r>
    </w:p>
    <w:p w14:paraId="38A036DB" w14:textId="77777777" w:rsidR="00A9131E" w:rsidRPr="00444E7E" w:rsidRDefault="00A9131E" w:rsidP="00A9131E">
      <w:pPr>
        <w:numPr>
          <w:ilvl w:val="0"/>
          <w:numId w:val="6"/>
        </w:numPr>
        <w:rPr>
          <w:rFonts w:ascii="Arial" w:hAnsi="Arial" w:cs="Arial"/>
          <w:sz w:val="24"/>
          <w:szCs w:val="24"/>
        </w:rPr>
      </w:pPr>
      <w:r w:rsidRPr="00444E7E">
        <w:rPr>
          <w:rFonts w:ascii="Arial" w:hAnsi="Arial" w:cs="Arial"/>
          <w:sz w:val="24"/>
          <w:szCs w:val="24"/>
        </w:rPr>
        <w:t xml:space="preserve">Tasa de desempleo </w:t>
      </w:r>
    </w:p>
    <w:p w14:paraId="75653D68" w14:textId="77777777" w:rsidR="00A9131E" w:rsidRPr="00444E7E" w:rsidRDefault="00A9131E" w:rsidP="00A9131E">
      <w:pPr>
        <w:numPr>
          <w:ilvl w:val="0"/>
          <w:numId w:val="6"/>
        </w:numPr>
        <w:rPr>
          <w:rFonts w:ascii="Arial" w:hAnsi="Arial" w:cs="Arial"/>
          <w:sz w:val="24"/>
          <w:szCs w:val="24"/>
        </w:rPr>
      </w:pPr>
      <w:r w:rsidRPr="00444E7E">
        <w:rPr>
          <w:rFonts w:ascii="Arial" w:hAnsi="Arial" w:cs="Arial"/>
          <w:sz w:val="24"/>
          <w:szCs w:val="24"/>
        </w:rPr>
        <w:t xml:space="preserve">Asistencia escolar </w:t>
      </w:r>
    </w:p>
    <w:p w14:paraId="47F1B46B" w14:textId="77777777" w:rsidR="00A9131E" w:rsidRPr="00444E7E" w:rsidRDefault="00A9131E" w:rsidP="00A9131E">
      <w:pPr>
        <w:numPr>
          <w:ilvl w:val="0"/>
          <w:numId w:val="6"/>
        </w:numPr>
        <w:rPr>
          <w:rFonts w:ascii="Arial" w:hAnsi="Arial" w:cs="Arial"/>
          <w:sz w:val="24"/>
          <w:szCs w:val="24"/>
        </w:rPr>
      </w:pPr>
      <w:r w:rsidRPr="00444E7E">
        <w:rPr>
          <w:rFonts w:ascii="Arial" w:hAnsi="Arial" w:cs="Arial"/>
          <w:sz w:val="24"/>
          <w:szCs w:val="24"/>
        </w:rPr>
        <w:t>Nivel educativo</w:t>
      </w:r>
    </w:p>
    <w:p w14:paraId="73D407F6" w14:textId="77777777" w:rsidR="00A9131E" w:rsidRPr="00444E7E" w:rsidRDefault="00A9131E" w:rsidP="00A9131E">
      <w:pPr>
        <w:rPr>
          <w:rFonts w:ascii="Arial" w:hAnsi="Arial" w:cs="Arial"/>
          <w:b/>
          <w:bCs/>
          <w:sz w:val="24"/>
          <w:szCs w:val="24"/>
        </w:rPr>
      </w:pPr>
    </w:p>
    <w:p w14:paraId="31B5AC00" w14:textId="0AF5F0CF" w:rsidR="00B24883" w:rsidRPr="00444E7E" w:rsidRDefault="00B24883" w:rsidP="00A9131E">
      <w:pPr>
        <w:rPr>
          <w:rFonts w:ascii="Arial" w:hAnsi="Arial" w:cs="Arial"/>
          <w:b/>
          <w:bCs/>
          <w:sz w:val="24"/>
          <w:szCs w:val="24"/>
        </w:rPr>
      </w:pPr>
      <w:r w:rsidRPr="00444E7E">
        <w:rPr>
          <w:rFonts w:ascii="Arial" w:hAnsi="Arial" w:cs="Arial"/>
          <w:b/>
          <w:bCs/>
          <w:sz w:val="24"/>
          <w:szCs w:val="24"/>
        </w:rPr>
        <w:t>Comparación de resultados con el Índice de Pobreza Multidimensional (IPM)</w:t>
      </w:r>
    </w:p>
    <w:p w14:paraId="2BF8B6B6" w14:textId="377DE421" w:rsidR="00B24883" w:rsidRDefault="00B24883" w:rsidP="00B24883">
      <w:pPr>
        <w:jc w:val="both"/>
        <w:rPr>
          <w:rFonts w:ascii="Arial" w:hAnsi="Arial" w:cs="Arial"/>
          <w:sz w:val="24"/>
          <w:szCs w:val="24"/>
        </w:rPr>
      </w:pPr>
      <w:r w:rsidRPr="00444E7E">
        <w:rPr>
          <w:rFonts w:ascii="Arial" w:hAnsi="Arial" w:cs="Arial"/>
          <w:sz w:val="24"/>
          <w:szCs w:val="24"/>
        </w:rPr>
        <w:t>A partir de los datos analizados para las ciudades, se identifican patrones consistentes en varias dimensiones, así como algunas limitaciones asociadas a la comparabilidad de los indicadores.</w:t>
      </w:r>
    </w:p>
    <w:p w14:paraId="12212B53" w14:textId="61257357" w:rsidR="00225FCC" w:rsidRPr="00444E7E" w:rsidRDefault="00225FCC" w:rsidP="00B24883">
      <w:pPr>
        <w:jc w:val="both"/>
        <w:rPr>
          <w:rFonts w:ascii="Arial" w:hAnsi="Arial" w:cs="Arial"/>
          <w:sz w:val="24"/>
          <w:szCs w:val="24"/>
        </w:rPr>
      </w:pPr>
      <w:r w:rsidRPr="00225FCC">
        <w:rPr>
          <w:rFonts w:ascii="Arial" w:hAnsi="Arial" w:cs="Arial"/>
          <w:sz w:val="24"/>
          <w:szCs w:val="24"/>
        </w:rPr>
        <w:lastRenderedPageBreak/>
        <w:t>La comparación entre indicadores construidos con diferentes fuentes y escalas territoriales debe interpretarse con cautela, dado que las diferencias en definición, unidad de análisis y nivel de agregación pueden afectar los valores observados</w:t>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ADDIN ZOTERO_ITEM CSL_CITATION {"citationID":"h1bB6dWL","properties":{"unsorted":false,"formattedCitation":"[5]","plainCitation":"[5]","noteIndex":0},"citationItems":[{"id":11,"uris":["http://zotero.org/users/20296599/items/FWQSXD23"],"itemData":{"id":11,"type":"webpage","abstract":"This Handbook is a guide for constructing and using composite indicators for policy makers, academics, the media and other interested parties. While there are several types of composite indicators, this Handbook is concerned with those which compare and rank country performance in areas such as industrial competitiveness, sustainable development, globalization and innovation. The Handbook aims to contribute to a better understanding of the complexity of composite indicators and to an improvement of the techniques currently used to build them. In particular, it contains a set of technical guidelines that can help constructors of composite indicators to improve the quality of their outputs.It has been prepared jointly by the OECD (the Statistics Directorate and the Directorate for Science, Technology and Industry) and the Applied Statistics and Econometrics Unit of the Joint Research Centre (JRC) of the European Commission in Ispra, Italy.","container-title":"OECD","DOI":"10.1787/9789264043466-en","language":"en","note":"DOI: 10.1787/9789264043466-en","publisher":"OECD Publishing","title":"Handbook on Constructing Composite Indicators: Methodology and User Guide","title-short":"Handbook on Constructing Composite Indicators","URL":"https://www.oecd.org/en/publications/handbook-on-constructing-composite-indicators-methodology-and-user-guide_9789264043466-en.html","author":[{"family":"OECD","given":""},{"family":"Union","given":"European"},{"family":"European Commission","given":"Joint Research Centre"}],"accessed":{"date-parts":[["2026",4,18]]},"issued":{"date-parts":[["2008",8,21]]}}}],"schema":"https://github.com/citation-style-language/schema/raw/master/csl-citation.json"} </w:instrText>
      </w:r>
      <w:r>
        <w:rPr>
          <w:rFonts w:ascii="Arial" w:hAnsi="Arial" w:cs="Arial"/>
          <w:sz w:val="24"/>
          <w:szCs w:val="24"/>
        </w:rPr>
        <w:fldChar w:fldCharType="separate"/>
      </w:r>
      <w:r w:rsidRPr="00225FCC">
        <w:rPr>
          <w:rFonts w:ascii="Aptos" w:hAnsi="Aptos"/>
          <w:sz w:val="24"/>
        </w:rPr>
        <w:t>[5]</w:t>
      </w:r>
      <w:r>
        <w:rPr>
          <w:rFonts w:ascii="Arial" w:hAnsi="Arial" w:cs="Arial"/>
          <w:sz w:val="24"/>
          <w:szCs w:val="24"/>
        </w:rPr>
        <w:fldChar w:fldCharType="end"/>
      </w:r>
    </w:p>
    <w:p w14:paraId="7F861EC8" w14:textId="5433B973" w:rsidR="00B24883" w:rsidRPr="00444E7E" w:rsidRDefault="00B24883" w:rsidP="00B24883">
      <w:pPr>
        <w:jc w:val="both"/>
        <w:rPr>
          <w:rFonts w:ascii="Arial" w:hAnsi="Arial" w:cs="Arial"/>
          <w:sz w:val="24"/>
          <w:szCs w:val="24"/>
        </w:rPr>
      </w:pPr>
      <w:r w:rsidRPr="00444E7E">
        <w:rPr>
          <w:rFonts w:ascii="Arial" w:hAnsi="Arial" w:cs="Arial"/>
          <w:sz w:val="24"/>
          <w:szCs w:val="24"/>
        </w:rPr>
        <w:t>En la dimensión de servicios, los resultados muestran una alta correspondencia entre los valores estimados a partir del clustering y los reportados por el IPM. Las ciudades presentan valores superiores a los departamentos en todos los casos, con diferencias relativamente pequeñas</w:t>
      </w:r>
      <w:r w:rsidR="00DF4190">
        <w:rPr>
          <w:rFonts w:ascii="Arial" w:hAnsi="Arial" w:cs="Arial"/>
          <w:sz w:val="24"/>
          <w:szCs w:val="24"/>
        </w:rPr>
        <w:t xml:space="preserve">, </w:t>
      </w:r>
      <w:r w:rsidRPr="00444E7E">
        <w:rPr>
          <w:rFonts w:ascii="Arial" w:hAnsi="Arial" w:cs="Arial"/>
          <w:sz w:val="24"/>
          <w:szCs w:val="24"/>
        </w:rPr>
        <w:t>entre 0.015 y 0.031. Por ejemplo, Armenia presenta un valor de 0.9843 frente a 0.9689 en el departamento del Quindío, mientras que Cali y Pereira presentan diferencias similares. Este comportamiento indica que el acceso a servicios básicos es alto tanto a nivel urbano como departamental, con una ligera ventaja en las ciudades, lo cual es coherente con la concentración de infraestructura en zonas urbanas. En este sentido, se evidencia una fuerte consistencia entre ambas fuentes de información en esta dimensión.</w:t>
      </w:r>
    </w:p>
    <w:p w14:paraId="5757E779"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En la dimensión de pobreza multidimensional, también se observa una coherencia clara en la estructura de los resultados. En todos los casos, los valores de las ciudades son inferiores a los de sus respectivos departamentos, lo que indica mejores condiciones en las cabeceras urbanas. Las diferencias oscilan entre -0.058 y -0.078, siendo Armenia la ciudad con mayor brecha respecto a su departamento. Este resultado sugiere que el modelo de clustering logra capturar adecuadamente las condiciones de pobreza relativa, replicando la jerarquía territorial esperada entre departamentos.</w:t>
      </w:r>
    </w:p>
    <w:p w14:paraId="625800DF" w14:textId="03D326B5" w:rsidR="00B24883" w:rsidRPr="00444E7E" w:rsidRDefault="00B24883" w:rsidP="00B24883">
      <w:pPr>
        <w:jc w:val="both"/>
        <w:rPr>
          <w:rFonts w:ascii="Arial" w:hAnsi="Arial" w:cs="Arial"/>
          <w:sz w:val="24"/>
          <w:szCs w:val="24"/>
        </w:rPr>
      </w:pPr>
      <w:r w:rsidRPr="00444E7E">
        <w:rPr>
          <w:rFonts w:ascii="Arial" w:hAnsi="Arial" w:cs="Arial"/>
          <w:sz w:val="24"/>
          <w:szCs w:val="24"/>
        </w:rPr>
        <w:t>En contraste, la dimensión educativa presenta discrepancias significativas entre ambas fuentes. Los valores del clustering (alrededor de 0.59</w:t>
      </w:r>
      <w:r w:rsidR="00DF4190">
        <w:rPr>
          <w:rFonts w:ascii="Arial" w:hAnsi="Arial" w:cs="Arial"/>
          <w:sz w:val="24"/>
          <w:szCs w:val="24"/>
        </w:rPr>
        <w:t xml:space="preserve"> y </w:t>
      </w:r>
      <w:r w:rsidRPr="00444E7E">
        <w:rPr>
          <w:rFonts w:ascii="Arial" w:hAnsi="Arial" w:cs="Arial"/>
          <w:sz w:val="24"/>
          <w:szCs w:val="24"/>
        </w:rPr>
        <w:t>0.60) son considerablemente menores que los del IPM (alrededor de 0.93</w:t>
      </w:r>
      <w:r w:rsidR="00DF4190">
        <w:rPr>
          <w:rFonts w:ascii="Arial" w:hAnsi="Arial" w:cs="Arial"/>
          <w:sz w:val="24"/>
          <w:szCs w:val="24"/>
        </w:rPr>
        <w:t xml:space="preserve"> y </w:t>
      </w:r>
      <w:r w:rsidRPr="00444E7E">
        <w:rPr>
          <w:rFonts w:ascii="Arial" w:hAnsi="Arial" w:cs="Arial"/>
          <w:sz w:val="24"/>
          <w:szCs w:val="24"/>
        </w:rPr>
        <w:t>0.95), generando diferencias cercanas a -0.33 en todos los casos. Este resultado no es consistente con la lógica esperada, ya que no sería razonable que los departamentos presenten mejores condiciones educativas que sus principales ciudades. Por lo tanto, esta diferencia no debe interpretarse como una inconsistencia del modelo, sino como un problema de comparabilidad derivado de la definición de los indicadores del IPM, los cuales pueden estar expresados bajo una lógica distinta</w:t>
      </w:r>
      <w:r w:rsidR="002659E3">
        <w:rPr>
          <w:rFonts w:ascii="Arial" w:hAnsi="Arial" w:cs="Arial"/>
          <w:sz w:val="24"/>
          <w:szCs w:val="24"/>
        </w:rPr>
        <w:t>.</w:t>
      </w:r>
      <w:r w:rsidR="002659E3" w:rsidRPr="002659E3">
        <w:t xml:space="preserve"> </w:t>
      </w:r>
      <w:r w:rsidR="002659E3" w:rsidRPr="002659E3">
        <w:rPr>
          <w:rFonts w:ascii="Arial" w:hAnsi="Arial" w:cs="Arial"/>
          <w:sz w:val="24"/>
          <w:szCs w:val="24"/>
        </w:rPr>
        <w:t>Esta diferencia puede explicarse porque algunos indicadores se construyen desde una lógica de logro, mientras que otros responden a una lógica de privación. Por tanto, aunque ambos se relacionan con la dimensión educativa, no son directamente equivalentes.</w:t>
      </w:r>
    </w:p>
    <w:p w14:paraId="652644C6"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De manera similar, en la dimensión laboral se observan diferencias importantes entre los valores del clustering (0.39–0.45) y los del IPM (0.71–0.74). Estas diferencias responden a la naturaleza distinta de los indicadores: mientras el clustering utiliza una aproximación general de ocupación, el IPM incorpora variables más específicas relacionadas con formalidad o calidad del empleo. En consecuencia, la comparabilidad directa en esta dimensión es limitada.</w:t>
      </w:r>
    </w:p>
    <w:p w14:paraId="71DEF939" w14:textId="330B5560" w:rsidR="004572C3" w:rsidRDefault="00B24883" w:rsidP="00B24883">
      <w:pPr>
        <w:jc w:val="both"/>
        <w:rPr>
          <w:rFonts w:ascii="Arial" w:hAnsi="Arial" w:cs="Arial"/>
          <w:sz w:val="24"/>
          <w:szCs w:val="24"/>
        </w:rPr>
      </w:pPr>
      <w:r w:rsidRPr="00444E7E">
        <w:rPr>
          <w:rFonts w:ascii="Arial" w:hAnsi="Arial" w:cs="Arial"/>
          <w:sz w:val="24"/>
          <w:szCs w:val="24"/>
        </w:rPr>
        <w:lastRenderedPageBreak/>
        <w:t>En la dimensión habitacional, aunque las unidades de medida no son directamente comparables, los valores del clustering se mantienen en rangos coherentes con los niveles de hacinamiento del IPM, lo que sugiere una adecuada representación de las condiciones físicas de la vivienda.</w:t>
      </w:r>
    </w:p>
    <w:p w14:paraId="180C4D93" w14:textId="45C85FAD" w:rsidR="004572C3" w:rsidRDefault="00085434" w:rsidP="00B24883">
      <w:pPr>
        <w:jc w:val="both"/>
        <w:rPr>
          <w:rFonts w:ascii="Arial" w:hAnsi="Arial" w:cs="Arial"/>
          <w:noProof/>
          <w:sz w:val="24"/>
          <w:szCs w:val="24"/>
        </w:rPr>
      </w:pPr>
      <w:r>
        <w:rPr>
          <w:rFonts w:ascii="Arial" w:hAnsi="Arial" w:cs="Arial"/>
          <w:noProof/>
          <w:sz w:val="24"/>
          <w:szCs w:val="24"/>
        </w:rPr>
        <w:t>L</w:t>
      </w:r>
      <w:r w:rsidRPr="00085434">
        <w:rPr>
          <w:rFonts w:ascii="Arial" w:hAnsi="Arial" w:cs="Arial"/>
          <w:noProof/>
          <w:sz w:val="24"/>
          <w:szCs w:val="24"/>
        </w:rPr>
        <w:t>a Ilustración 1 presenta la comparación entre los valores de pobreza multidimensional obtenidos a partir del modelo construido con datos censales y los valores reportados por el IPM 2018. Esta visualización permite observar si la jerarquía territorial identificada por el modelo coincide con los indicadores oficiales.</w:t>
      </w:r>
    </w:p>
    <w:p w14:paraId="0B25FAC0" w14:textId="77777777" w:rsidR="004572C3" w:rsidRDefault="004572C3" w:rsidP="00B24883">
      <w:pPr>
        <w:jc w:val="both"/>
        <w:rPr>
          <w:rFonts w:ascii="Arial" w:hAnsi="Arial" w:cs="Arial"/>
          <w:noProof/>
          <w:sz w:val="24"/>
          <w:szCs w:val="24"/>
        </w:rPr>
      </w:pPr>
    </w:p>
    <w:p w14:paraId="4D9FFC6D" w14:textId="22D97ACE" w:rsidR="00775839" w:rsidRDefault="00775839" w:rsidP="00B24883">
      <w:pPr>
        <w:jc w:val="both"/>
        <w:rPr>
          <w:rFonts w:ascii="Arial" w:hAnsi="Arial" w:cs="Arial"/>
          <w:sz w:val="24"/>
          <w:szCs w:val="24"/>
        </w:rPr>
      </w:pPr>
      <w:r w:rsidRPr="00444E7E">
        <w:rPr>
          <w:rFonts w:ascii="Arial" w:hAnsi="Arial" w:cs="Arial"/>
          <w:noProof/>
          <w:sz w:val="24"/>
          <w:szCs w:val="24"/>
        </w:rPr>
        <w:drawing>
          <wp:inline distT="0" distB="0" distL="0" distR="0" wp14:anchorId="3E95A627" wp14:editId="2B026B5C">
            <wp:extent cx="5612130" cy="3301365"/>
            <wp:effectExtent l="0" t="0" r="7620" b="0"/>
            <wp:docPr id="925380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80314" name=""/>
                    <pic:cNvPicPr/>
                  </pic:nvPicPr>
                  <pic:blipFill>
                    <a:blip r:embed="rId6"/>
                    <a:stretch>
                      <a:fillRect/>
                    </a:stretch>
                  </pic:blipFill>
                  <pic:spPr>
                    <a:xfrm>
                      <a:off x="0" y="0"/>
                      <a:ext cx="5612130" cy="3301365"/>
                    </a:xfrm>
                    <a:prstGeom prst="rect">
                      <a:avLst/>
                    </a:prstGeom>
                  </pic:spPr>
                </pic:pic>
              </a:graphicData>
            </a:graphic>
          </wp:inline>
        </w:drawing>
      </w:r>
    </w:p>
    <w:p w14:paraId="3E32D5D9" w14:textId="77777777" w:rsidR="004C4A6B" w:rsidRDefault="004C4A6B" w:rsidP="004C4A6B">
      <w:pPr>
        <w:pStyle w:val="Descripcin"/>
        <w:rPr>
          <w:rFonts w:ascii="Arial" w:hAnsi="Arial" w:cs="Arial"/>
          <w:noProof/>
          <w:sz w:val="24"/>
          <w:szCs w:val="24"/>
        </w:rPr>
      </w:pPr>
      <w:bookmarkStart w:id="1" w:name="_Toc227517113"/>
      <w:r>
        <w:t xml:space="preserve">Ilustración </w:t>
      </w:r>
      <w:r>
        <w:fldChar w:fldCharType="begin"/>
      </w:r>
      <w:r>
        <w:instrText xml:space="preserve"> SEQ Ilustración \* ARABIC </w:instrText>
      </w:r>
      <w:r>
        <w:fldChar w:fldCharType="separate"/>
      </w:r>
      <w:r>
        <w:rPr>
          <w:noProof/>
        </w:rPr>
        <w:t>1</w:t>
      </w:r>
      <w:r>
        <w:rPr>
          <w:noProof/>
        </w:rPr>
        <w:fldChar w:fldCharType="end"/>
      </w:r>
      <w:r>
        <w:t>: Comparación pobreza multidimensional Censo vs IPM 2018</w:t>
      </w:r>
      <w:bookmarkEnd w:id="1"/>
    </w:p>
    <w:p w14:paraId="4448F6DA" w14:textId="77777777" w:rsidR="004C4A6B" w:rsidRPr="00444E7E" w:rsidRDefault="004C4A6B" w:rsidP="00B24883">
      <w:pPr>
        <w:jc w:val="both"/>
        <w:rPr>
          <w:rFonts w:ascii="Arial" w:hAnsi="Arial" w:cs="Arial"/>
          <w:sz w:val="24"/>
          <w:szCs w:val="24"/>
        </w:rPr>
      </w:pPr>
    </w:p>
    <w:p w14:paraId="34152426"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En conjunto, el análisis evidencia que el modelo de clustering presenta una alta consistencia con el IPM en dimensiones estructurales como servicios y pobreza multidimensional, mientras que las discrepancias en educación y laboral responden principalmente a diferencias metodológicas y conceptuales entre las fuentes.</w:t>
      </w:r>
    </w:p>
    <w:p w14:paraId="16DCFB33" w14:textId="77777777" w:rsidR="00B24883" w:rsidRPr="00444E7E" w:rsidRDefault="00B24883" w:rsidP="00A9131E">
      <w:pPr>
        <w:rPr>
          <w:rFonts w:ascii="Arial" w:hAnsi="Arial" w:cs="Arial"/>
          <w:b/>
          <w:bCs/>
          <w:sz w:val="24"/>
          <w:szCs w:val="24"/>
        </w:rPr>
      </w:pPr>
    </w:p>
    <w:p w14:paraId="3E1F4DE2" w14:textId="77777777" w:rsidR="00DF4190" w:rsidRDefault="00DF4190" w:rsidP="00A9131E">
      <w:pPr>
        <w:rPr>
          <w:rFonts w:ascii="Arial" w:hAnsi="Arial" w:cs="Arial"/>
          <w:b/>
          <w:bCs/>
          <w:sz w:val="24"/>
          <w:szCs w:val="24"/>
        </w:rPr>
      </w:pPr>
    </w:p>
    <w:p w14:paraId="32626FB2" w14:textId="6CF640C2" w:rsidR="00B24883" w:rsidRPr="00444E7E" w:rsidRDefault="00B24883" w:rsidP="00A9131E">
      <w:pPr>
        <w:rPr>
          <w:rFonts w:ascii="Arial" w:hAnsi="Arial" w:cs="Arial"/>
          <w:b/>
          <w:bCs/>
          <w:sz w:val="24"/>
          <w:szCs w:val="24"/>
        </w:rPr>
      </w:pPr>
      <w:r w:rsidRPr="00444E7E">
        <w:rPr>
          <w:rFonts w:ascii="Arial" w:hAnsi="Arial" w:cs="Arial"/>
          <w:b/>
          <w:bCs/>
          <w:sz w:val="24"/>
          <w:szCs w:val="24"/>
        </w:rPr>
        <w:t>Comparación de resultados con la GEIH 2018</w:t>
      </w:r>
    </w:p>
    <w:p w14:paraId="08F93470" w14:textId="4A014957" w:rsidR="00B24883" w:rsidRPr="00444E7E" w:rsidRDefault="00B24883" w:rsidP="00B24883">
      <w:pPr>
        <w:jc w:val="both"/>
        <w:rPr>
          <w:rFonts w:ascii="Arial" w:hAnsi="Arial" w:cs="Arial"/>
          <w:sz w:val="24"/>
          <w:szCs w:val="24"/>
        </w:rPr>
      </w:pPr>
      <w:r w:rsidRPr="00444E7E">
        <w:rPr>
          <w:rFonts w:ascii="Arial" w:hAnsi="Arial" w:cs="Arial"/>
          <w:sz w:val="24"/>
          <w:szCs w:val="24"/>
        </w:rPr>
        <w:t xml:space="preserve">La incorporación de la Gran Encuesta Integrada de Hogares (GEIH) permitió realizar una validación a nivel de ciudad en las dimensiones educativa y laboral, las cuales </w:t>
      </w:r>
      <w:r w:rsidRPr="00444E7E">
        <w:rPr>
          <w:rFonts w:ascii="Arial" w:hAnsi="Arial" w:cs="Arial"/>
          <w:sz w:val="24"/>
          <w:szCs w:val="24"/>
        </w:rPr>
        <w:lastRenderedPageBreak/>
        <w:t xml:space="preserve">presentaban limitaciones en la comparación con el IPM. Dado que la GEIH ofrece información representativa de la cabecera urbana, esta comparación permite contrastar directamente los resultados del clustering con </w:t>
      </w:r>
      <w:r w:rsidR="00DF4190">
        <w:rPr>
          <w:rFonts w:ascii="Arial" w:hAnsi="Arial" w:cs="Arial"/>
          <w:sz w:val="24"/>
          <w:szCs w:val="24"/>
        </w:rPr>
        <w:t xml:space="preserve">las </w:t>
      </w:r>
      <w:r w:rsidRPr="00444E7E">
        <w:rPr>
          <w:rFonts w:ascii="Arial" w:hAnsi="Arial" w:cs="Arial"/>
          <w:sz w:val="24"/>
          <w:szCs w:val="24"/>
        </w:rPr>
        <w:t>condiciones socioeconómicas observadas en las ciudades.</w:t>
      </w:r>
    </w:p>
    <w:p w14:paraId="4FABB442" w14:textId="77777777" w:rsidR="00DF4190" w:rsidRDefault="00B24883" w:rsidP="00B24883">
      <w:pPr>
        <w:jc w:val="both"/>
        <w:rPr>
          <w:rFonts w:ascii="Arial" w:hAnsi="Arial" w:cs="Arial"/>
          <w:sz w:val="24"/>
          <w:szCs w:val="24"/>
        </w:rPr>
      </w:pPr>
      <w:r w:rsidRPr="00444E7E">
        <w:rPr>
          <w:rFonts w:ascii="Arial" w:hAnsi="Arial" w:cs="Arial"/>
          <w:sz w:val="24"/>
          <w:szCs w:val="24"/>
        </w:rPr>
        <w:t xml:space="preserve">En la dimensión laboral, las tasas de ocupación derivadas de la GEIH se sitúan entre 0.6307 y 0.6447, mientras que los valores del clustering oscilan entre 0.3985 y 0.4487, generando diferencias entre -0.182 y -0.236. No obstante, más allá de la diferencia en magnitud, se mantiene una estructura consistente en términos relativos entre ciudades. </w:t>
      </w:r>
    </w:p>
    <w:p w14:paraId="5B5D6063" w14:textId="2E676573" w:rsidR="00B24883" w:rsidRPr="00444E7E" w:rsidRDefault="00B24883" w:rsidP="00B24883">
      <w:pPr>
        <w:jc w:val="both"/>
        <w:rPr>
          <w:rFonts w:ascii="Arial" w:hAnsi="Arial" w:cs="Arial"/>
          <w:sz w:val="24"/>
          <w:szCs w:val="24"/>
        </w:rPr>
      </w:pPr>
      <w:r w:rsidRPr="00444E7E">
        <w:rPr>
          <w:rFonts w:ascii="Arial" w:hAnsi="Arial" w:cs="Arial"/>
          <w:sz w:val="24"/>
          <w:szCs w:val="24"/>
        </w:rPr>
        <w:t>Aunque el orden no es exactamente el mismo, las diferencias entre ciudades son reducidas en ambas fuentes, lo que sugiere que el modelo captura adecuadamente la homogeneidad relativa del mercado laboral urbano. La discrepancia en valores absolutos se explica por la diferencia en la definición de ocupación entre ambas fuentes.</w:t>
      </w:r>
    </w:p>
    <w:p w14:paraId="28479C8B"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En la dimensión educativa, los resultados muestran una mayor coherencia. En términos de asistencia, los valores del clustering (0.2314–0.2533) son cercanos a los de la GEIH (0.2557–0.2659), con diferencias pequeñas (entre -0.0024 y -0.0345). Esto indica una alta consistencia entre ambas fuentes en esta variable, lo que refuerza la validez del modelo en la medición de la asistencia escolar.</w:t>
      </w:r>
    </w:p>
    <w:p w14:paraId="75523B61" w14:textId="77777777" w:rsidR="00085434" w:rsidRDefault="00B24883" w:rsidP="00B24883">
      <w:pPr>
        <w:jc w:val="both"/>
        <w:rPr>
          <w:rFonts w:ascii="Arial" w:hAnsi="Arial" w:cs="Arial"/>
          <w:sz w:val="24"/>
          <w:szCs w:val="24"/>
        </w:rPr>
      </w:pPr>
      <w:r w:rsidRPr="00444E7E">
        <w:rPr>
          <w:rFonts w:ascii="Arial" w:hAnsi="Arial" w:cs="Arial"/>
          <w:sz w:val="24"/>
          <w:szCs w:val="24"/>
        </w:rPr>
        <w:t>En conjunto, la comparación con la GEIH evidencia que el modelo de clustering presenta una buena capacidad para capturar patrones urbanos en las dimensiones laboral y educativa. En particular, la alta coherencia en asistencia escolar y la estabilidad relativa en los indicadores laborales refuerzan la validez del enfoque utilizado.</w:t>
      </w:r>
      <w:r w:rsidR="00085434">
        <w:rPr>
          <w:rFonts w:ascii="Arial" w:hAnsi="Arial" w:cs="Arial"/>
          <w:sz w:val="24"/>
          <w:szCs w:val="24"/>
        </w:rPr>
        <w:t xml:space="preserve"> </w:t>
      </w:r>
    </w:p>
    <w:p w14:paraId="56A3DD07" w14:textId="3BBDA43B" w:rsidR="00B24883" w:rsidRDefault="00085434" w:rsidP="00B24883">
      <w:pPr>
        <w:jc w:val="both"/>
        <w:rPr>
          <w:rFonts w:ascii="Arial" w:hAnsi="Arial" w:cs="Arial"/>
          <w:sz w:val="24"/>
          <w:szCs w:val="24"/>
        </w:rPr>
      </w:pPr>
      <w:r w:rsidRPr="00085434">
        <w:rPr>
          <w:rFonts w:ascii="Arial" w:hAnsi="Arial" w:cs="Arial"/>
          <w:sz w:val="24"/>
          <w:szCs w:val="24"/>
        </w:rPr>
        <w:t>La Ilustración 2 muestra la comparación de la escolaridad entre los resultados derivados del clustering y los indicadores construidos con la GEIH 2018. Esta comparación permite evaluar la coherencia de la dimensión educativa a nivel urbano.</w:t>
      </w:r>
    </w:p>
    <w:p w14:paraId="5C50DF01" w14:textId="77777777" w:rsidR="00085434" w:rsidRDefault="00085434" w:rsidP="00AA1590">
      <w:pPr>
        <w:pStyle w:val="Descripcin"/>
      </w:pPr>
      <w:bookmarkStart w:id="2" w:name="_Toc227517114"/>
    </w:p>
    <w:p w14:paraId="6F3484F2" w14:textId="77777777" w:rsidR="00085434" w:rsidRDefault="00085434" w:rsidP="00AA1590">
      <w:pPr>
        <w:pStyle w:val="Descripcin"/>
      </w:pPr>
    </w:p>
    <w:p w14:paraId="5CE152AD" w14:textId="77777777" w:rsidR="00085434" w:rsidRDefault="00085434" w:rsidP="00AA1590">
      <w:pPr>
        <w:pStyle w:val="Descripcin"/>
      </w:pPr>
    </w:p>
    <w:p w14:paraId="31A9785B" w14:textId="77777777" w:rsidR="00085434" w:rsidRDefault="00085434" w:rsidP="00AA1590">
      <w:pPr>
        <w:pStyle w:val="Descripcin"/>
      </w:pPr>
    </w:p>
    <w:p w14:paraId="04427FB9" w14:textId="77777777" w:rsidR="00085434" w:rsidRDefault="00085434" w:rsidP="00AA1590">
      <w:pPr>
        <w:pStyle w:val="Descripcin"/>
      </w:pPr>
    </w:p>
    <w:p w14:paraId="2BD98719" w14:textId="77777777" w:rsidR="00085434" w:rsidRDefault="00085434" w:rsidP="00AA1590">
      <w:pPr>
        <w:pStyle w:val="Descripcin"/>
      </w:pPr>
    </w:p>
    <w:p w14:paraId="24DBD651" w14:textId="77777777" w:rsidR="00085434" w:rsidRDefault="00085434" w:rsidP="00AA1590">
      <w:pPr>
        <w:pStyle w:val="Descripcin"/>
      </w:pPr>
    </w:p>
    <w:p w14:paraId="0BBA4646" w14:textId="77777777" w:rsidR="00085434" w:rsidRDefault="00085434" w:rsidP="00AA1590">
      <w:pPr>
        <w:pStyle w:val="Descripcin"/>
      </w:pPr>
    </w:p>
    <w:p w14:paraId="583AE0FF" w14:textId="77777777" w:rsidR="00085434" w:rsidRDefault="00085434" w:rsidP="00AA1590">
      <w:pPr>
        <w:pStyle w:val="Descripcin"/>
      </w:pPr>
    </w:p>
    <w:p w14:paraId="6FAB5E39" w14:textId="77777777" w:rsidR="00085434" w:rsidRDefault="00085434" w:rsidP="00AA1590">
      <w:pPr>
        <w:pStyle w:val="Descripcin"/>
      </w:pPr>
    </w:p>
    <w:p w14:paraId="73EB406F" w14:textId="77777777" w:rsidR="00085434" w:rsidRDefault="00085434" w:rsidP="00AA1590">
      <w:pPr>
        <w:pStyle w:val="Descripcin"/>
      </w:pPr>
    </w:p>
    <w:p w14:paraId="48C17696" w14:textId="77777777" w:rsidR="00085434" w:rsidRDefault="00085434" w:rsidP="00AA1590">
      <w:pPr>
        <w:pStyle w:val="Descripcin"/>
      </w:pPr>
    </w:p>
    <w:p w14:paraId="335C5933" w14:textId="77777777" w:rsidR="00085434" w:rsidRDefault="00085434" w:rsidP="00AA1590">
      <w:pPr>
        <w:pStyle w:val="Descripcin"/>
      </w:pPr>
    </w:p>
    <w:p w14:paraId="61BD0E3F" w14:textId="77777777" w:rsidR="00085434" w:rsidRDefault="00085434" w:rsidP="00AA1590">
      <w:pPr>
        <w:pStyle w:val="Descripcin"/>
      </w:pPr>
    </w:p>
    <w:p w14:paraId="048D8B0A" w14:textId="77777777" w:rsidR="00085434" w:rsidRDefault="00085434" w:rsidP="00AA1590">
      <w:pPr>
        <w:pStyle w:val="Descripcin"/>
      </w:pPr>
    </w:p>
    <w:bookmarkEnd w:id="2"/>
    <w:p w14:paraId="7CF7DBF3" w14:textId="37ED0F7A" w:rsidR="00B24883" w:rsidRDefault="00775839" w:rsidP="00A9131E">
      <w:pPr>
        <w:rPr>
          <w:rFonts w:ascii="Arial" w:hAnsi="Arial" w:cs="Arial"/>
          <w:b/>
          <w:bCs/>
          <w:sz w:val="24"/>
          <w:szCs w:val="24"/>
        </w:rPr>
      </w:pPr>
      <w:r w:rsidRPr="00444E7E">
        <w:rPr>
          <w:rFonts w:ascii="Arial" w:hAnsi="Arial" w:cs="Arial"/>
          <w:b/>
          <w:bCs/>
          <w:noProof/>
          <w:sz w:val="24"/>
          <w:szCs w:val="24"/>
        </w:rPr>
        <w:drawing>
          <wp:inline distT="0" distB="0" distL="0" distR="0" wp14:anchorId="1C779BAE" wp14:editId="6F39E4D2">
            <wp:extent cx="5612130" cy="3931285"/>
            <wp:effectExtent l="0" t="0" r="7620" b="0"/>
            <wp:docPr id="1196416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16804" name=""/>
                    <pic:cNvPicPr/>
                  </pic:nvPicPr>
                  <pic:blipFill>
                    <a:blip r:embed="rId7"/>
                    <a:stretch>
                      <a:fillRect/>
                    </a:stretch>
                  </pic:blipFill>
                  <pic:spPr>
                    <a:xfrm>
                      <a:off x="0" y="0"/>
                      <a:ext cx="5612130" cy="3931285"/>
                    </a:xfrm>
                    <a:prstGeom prst="rect">
                      <a:avLst/>
                    </a:prstGeom>
                  </pic:spPr>
                </pic:pic>
              </a:graphicData>
            </a:graphic>
          </wp:inline>
        </w:drawing>
      </w:r>
    </w:p>
    <w:p w14:paraId="1044371B" w14:textId="77777777" w:rsidR="004C4A6B" w:rsidRPr="00444E7E" w:rsidRDefault="004C4A6B" w:rsidP="004C4A6B">
      <w:pPr>
        <w:pStyle w:val="Descripcin"/>
        <w:rPr>
          <w:rFonts w:ascii="Arial" w:hAnsi="Arial" w:cs="Arial"/>
          <w:sz w:val="24"/>
          <w:szCs w:val="24"/>
        </w:rPr>
      </w:pPr>
      <w:r>
        <w:t xml:space="preserve">Ilustración </w:t>
      </w:r>
      <w:r>
        <w:fldChar w:fldCharType="begin"/>
      </w:r>
      <w:r>
        <w:instrText xml:space="preserve"> SEQ Ilustración \* ARABIC </w:instrText>
      </w:r>
      <w:r>
        <w:fldChar w:fldCharType="separate"/>
      </w:r>
      <w:r>
        <w:rPr>
          <w:noProof/>
        </w:rPr>
        <w:t>2</w:t>
      </w:r>
      <w:r>
        <w:rPr>
          <w:noProof/>
        </w:rPr>
        <w:fldChar w:fldCharType="end"/>
      </w:r>
      <w:r>
        <w:t>: Escolaridad, comparación de Clusters vs GEIH 2018</w:t>
      </w:r>
    </w:p>
    <w:p w14:paraId="167E8F18" w14:textId="77777777" w:rsidR="004C4A6B" w:rsidRPr="00444E7E" w:rsidRDefault="004C4A6B" w:rsidP="00A9131E">
      <w:pPr>
        <w:rPr>
          <w:rFonts w:ascii="Arial" w:hAnsi="Arial" w:cs="Arial"/>
          <w:b/>
          <w:bCs/>
          <w:sz w:val="24"/>
          <w:szCs w:val="24"/>
        </w:rPr>
      </w:pPr>
    </w:p>
    <w:p w14:paraId="775E3AB7" w14:textId="2DF6BEFC" w:rsidR="000D0630" w:rsidRPr="00444E7E" w:rsidRDefault="000D0630" w:rsidP="000D0630">
      <w:pPr>
        <w:rPr>
          <w:rFonts w:ascii="Arial" w:hAnsi="Arial" w:cs="Arial"/>
          <w:b/>
          <w:bCs/>
          <w:sz w:val="24"/>
          <w:szCs w:val="24"/>
        </w:rPr>
      </w:pPr>
      <w:r w:rsidRPr="00444E7E">
        <w:rPr>
          <w:rFonts w:ascii="Arial" w:hAnsi="Arial" w:cs="Arial"/>
          <w:b/>
          <w:bCs/>
          <w:sz w:val="24"/>
          <w:szCs w:val="24"/>
        </w:rPr>
        <w:t>Integración de resultados (IPM y GEIH)</w:t>
      </w:r>
    </w:p>
    <w:p w14:paraId="74FF63B5" w14:textId="77777777" w:rsidR="000D0630" w:rsidRDefault="000D0630" w:rsidP="000D0630">
      <w:pPr>
        <w:jc w:val="both"/>
        <w:rPr>
          <w:rFonts w:ascii="Arial" w:hAnsi="Arial" w:cs="Arial"/>
          <w:sz w:val="24"/>
          <w:szCs w:val="24"/>
        </w:rPr>
      </w:pPr>
      <w:r w:rsidRPr="00444E7E">
        <w:rPr>
          <w:rFonts w:ascii="Arial" w:hAnsi="Arial" w:cs="Arial"/>
          <w:sz w:val="24"/>
          <w:szCs w:val="24"/>
        </w:rPr>
        <w:t>La integración de los resultados obtenidos a partir del modelo de clustering, el Índice de Pobreza Multidimensional (IPM) y la Gran Encuesta Integrada de Hogares (GEIH) permite realizar una validación multifuente del análisis, combinando diferentes niveles de agregación y enfoques metodológicos.</w:t>
      </w:r>
    </w:p>
    <w:p w14:paraId="4DD461CA" w14:textId="77777777" w:rsidR="00225FCC" w:rsidRDefault="00225FCC" w:rsidP="000D0630">
      <w:pPr>
        <w:jc w:val="both"/>
        <w:rPr>
          <w:rFonts w:ascii="Arial" w:hAnsi="Arial" w:cs="Arial"/>
          <w:sz w:val="24"/>
          <w:szCs w:val="24"/>
        </w:rPr>
      </w:pPr>
    </w:p>
    <w:p w14:paraId="2769005D" w14:textId="4DA7FD73" w:rsidR="00225FCC" w:rsidRPr="00444E7E" w:rsidRDefault="00225FCC" w:rsidP="000D0630">
      <w:pPr>
        <w:jc w:val="both"/>
        <w:rPr>
          <w:rFonts w:ascii="Arial" w:hAnsi="Arial" w:cs="Arial"/>
          <w:sz w:val="24"/>
          <w:szCs w:val="24"/>
        </w:rPr>
      </w:pPr>
      <w:r w:rsidRPr="00225FCC">
        <w:rPr>
          <w:rFonts w:ascii="Arial" w:hAnsi="Arial" w:cs="Arial"/>
          <w:sz w:val="24"/>
          <w:szCs w:val="24"/>
        </w:rPr>
        <w:t xml:space="preserve">Esta estrategia responde a un enfoque de triangulación, en el cual la combinación de fuentes permite fortalecer la validez de los hallazgos y reducir la dependencia de una sola medición del fenómeno analizado </w:t>
      </w:r>
      <w:r>
        <w:rPr>
          <w:rFonts w:ascii="Arial" w:hAnsi="Arial" w:cs="Arial"/>
          <w:sz w:val="24"/>
          <w:szCs w:val="24"/>
        </w:rPr>
        <w:fldChar w:fldCharType="begin"/>
      </w:r>
      <w:r>
        <w:rPr>
          <w:rFonts w:ascii="Arial" w:hAnsi="Arial" w:cs="Arial"/>
          <w:sz w:val="24"/>
          <w:szCs w:val="24"/>
        </w:rPr>
        <w:instrText xml:space="preserve"> ADDIN ZOTERO_ITEM CSL_CITATION {"citationID":"ex2ysTyL","properties":{"unsorted":false,"formattedCitation":"[4], [6]","plainCitation":"[4], [6]","noteIndex":0},"citationItems":[{"id":7,"uris":["http://zotero.org/users/20296599/items/5MWJUGIN"],"itemData":{"id":7,"type":"book","abstract":"At once a unique textbook for methods courses and a major contribution to sociological theory, this book teaches students the principles of research and how to construct and test theories. It brings coherence to the study of methods by presenting four major approaches to experimentation: survey research, participant observation, life histories, and unobtrusive measures from a single theoretical point of view, symbolic interaction. It demonstrates the need for a synthesis between theory and methods, and shows how different methods limit and aff ect research results.Denzin's argues that no single method, theory, or observer can capture all that is relevant or important in reality. He argues for the use of triangulation and for a view of theory and methods as \"concept sensitizers.\" His approach enables sociologists to acquire specifi c facts about a particular situation while simultaneously elevating these to the level of shared meaning.The author shows students how to proceed with research, bringing sharply into focus the possibilities and their limitations. Since his view is integrated rather than eclectic, this is much more than a \"how to do it\" manual. Denzin points out aspects of research that fall outside the scope of a given method yet aff ect results, and emphasizes the need to employ several methods to cross-check each other. The Research Act covers all the content of conventional methods courses. The presentation is exciting and imaginative, and provides a thorough review of major sociological methods, a cogent statement about approaches to sociological inquiry, and a source from which a understanding of the problems of research can be derived.","DOI":"10.4324/9781315134543","ISBN":"978-1-315-13454-3","number-of-pages":"379","publisher":"Routledge","publisher-place":"New York","title":"The Research Act: A Theoretical Introduction to Sociological Methods","title-short":"The Research Act","author":[{"family":"Denzin","given":"Norman K."}],"issued":{"date-parts":[["2017",7,11]]}}},{"id":13,"uris":["http://zotero.org/users/20296599/items/YZE8RR9J"],"itemData":{"id":13,"type":"book","abstract":"'Designing and Conducting Mixed Methods Research' offers a practical, how-to guide for designing a mixed methods study. The text incorporates activities and exercises for classroom use or for use by the researcher in preparing designs.","ISBN":"978-1-4129-2792-5","language":"en","number-of-pages":"297","publisher":"SAGE","source":"Google Books","title":"Designing and Conducting Mixed Methods Research","author":[{"family":"Creswell","given":"John W."},{"family":"Clark","given":"Vicki L. Plano"}],"issued":{"date-parts":[["2007"]]}}}],"schema":"https://github.com/citation-style-language/schema/raw/master/csl-citation.json"} </w:instrText>
      </w:r>
      <w:r>
        <w:rPr>
          <w:rFonts w:ascii="Arial" w:hAnsi="Arial" w:cs="Arial"/>
          <w:sz w:val="24"/>
          <w:szCs w:val="24"/>
        </w:rPr>
        <w:fldChar w:fldCharType="separate"/>
      </w:r>
      <w:r w:rsidRPr="00225FCC">
        <w:rPr>
          <w:rFonts w:ascii="Aptos" w:hAnsi="Aptos"/>
          <w:sz w:val="24"/>
        </w:rPr>
        <w:t>[4], [6]</w:t>
      </w:r>
      <w:r>
        <w:rPr>
          <w:rFonts w:ascii="Arial" w:hAnsi="Arial" w:cs="Arial"/>
          <w:sz w:val="24"/>
          <w:szCs w:val="24"/>
        </w:rPr>
        <w:fldChar w:fldCharType="end"/>
      </w:r>
    </w:p>
    <w:p w14:paraId="04A0FFE2"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lastRenderedPageBreak/>
        <w:t>En primer lugar, el IPM permitió validar las dimensiones estructurales del modelo, particularmente servicios y pobreza multidimensional, donde se evidenció una alta coherencia entre los resultados del clustering y los valores departamentales. En estas dimensiones, las ciudades presentan mejores condiciones que sus respectivos departamentos, con diferencias moderadas y consistentes con la estructura territorial esperada.</w:t>
      </w:r>
    </w:p>
    <w:p w14:paraId="2F852E96" w14:textId="62DBE08A" w:rsidR="000D0630" w:rsidRPr="00444E7E" w:rsidRDefault="000D0630" w:rsidP="000D0630">
      <w:pPr>
        <w:jc w:val="both"/>
        <w:rPr>
          <w:rFonts w:ascii="Arial" w:hAnsi="Arial" w:cs="Arial"/>
          <w:sz w:val="24"/>
          <w:szCs w:val="24"/>
        </w:rPr>
      </w:pPr>
      <w:r w:rsidRPr="00444E7E">
        <w:rPr>
          <w:rFonts w:ascii="Arial" w:hAnsi="Arial" w:cs="Arial"/>
          <w:sz w:val="24"/>
          <w:szCs w:val="24"/>
        </w:rPr>
        <w:t xml:space="preserve">Por otro lado, en las dimensiones educativa y laboral, la comparación con el IPM presentó limitaciones importantes. Estas no corresponden a fallas del modelo, sino a diferencias en la definición de los indicadores y en el nivel de agregación territorial. En este contexto, la GEIH permitió complementar el análisis, aportando información a nivel urbano </w:t>
      </w:r>
      <w:r w:rsidR="004D5622">
        <w:rPr>
          <w:rFonts w:ascii="Arial" w:hAnsi="Arial" w:cs="Arial"/>
          <w:sz w:val="24"/>
          <w:szCs w:val="24"/>
        </w:rPr>
        <w:t>sobre las variables educativas y laborales que estaban fallando en la comparación del I</w:t>
      </w:r>
      <w:r w:rsidR="0076326D">
        <w:rPr>
          <w:rFonts w:ascii="Arial" w:hAnsi="Arial" w:cs="Arial"/>
          <w:sz w:val="24"/>
          <w:szCs w:val="24"/>
        </w:rPr>
        <w:t>PM</w:t>
      </w:r>
      <w:r w:rsidR="004D5622">
        <w:rPr>
          <w:rFonts w:ascii="Arial" w:hAnsi="Arial" w:cs="Arial"/>
          <w:sz w:val="24"/>
          <w:szCs w:val="24"/>
        </w:rPr>
        <w:t xml:space="preserve"> debido a su naturaleza.</w:t>
      </w:r>
    </w:p>
    <w:p w14:paraId="2358EDC9" w14:textId="3C4B382A" w:rsidR="000D0630" w:rsidRDefault="000D0630" w:rsidP="000D0630">
      <w:pPr>
        <w:jc w:val="both"/>
        <w:rPr>
          <w:rFonts w:ascii="Arial" w:hAnsi="Arial" w:cs="Arial"/>
          <w:sz w:val="24"/>
          <w:szCs w:val="24"/>
        </w:rPr>
      </w:pPr>
      <w:r w:rsidRPr="00444E7E">
        <w:rPr>
          <w:rFonts w:ascii="Arial" w:hAnsi="Arial" w:cs="Arial"/>
          <w:sz w:val="24"/>
          <w:szCs w:val="24"/>
        </w:rPr>
        <w:t xml:space="preserve">La integración de ambas fuentes permite establecer una validación más completa: el IPM valida la estructura general del territorio, mientras que la GEIH valida las dinámicas específicas </w:t>
      </w:r>
      <w:r w:rsidR="004D5622">
        <w:rPr>
          <w:rFonts w:ascii="Arial" w:hAnsi="Arial" w:cs="Arial"/>
          <w:sz w:val="24"/>
          <w:szCs w:val="24"/>
        </w:rPr>
        <w:t>faltantes a nivel de ciudad.</w:t>
      </w:r>
    </w:p>
    <w:p w14:paraId="617D056A" w14:textId="5ECF9420" w:rsidR="00085434" w:rsidRPr="00444E7E" w:rsidRDefault="00085434" w:rsidP="000D0630">
      <w:pPr>
        <w:jc w:val="both"/>
        <w:rPr>
          <w:rFonts w:ascii="Arial" w:hAnsi="Arial" w:cs="Arial"/>
          <w:sz w:val="24"/>
          <w:szCs w:val="24"/>
        </w:rPr>
      </w:pPr>
      <w:r w:rsidRPr="00085434">
        <w:rPr>
          <w:rFonts w:ascii="Arial" w:hAnsi="Arial" w:cs="Arial"/>
          <w:sz w:val="24"/>
          <w:szCs w:val="24"/>
        </w:rPr>
        <w:t>La Tabla 2 sintetiza el resultado de la validación por dimensión, indicando qué fuente permitió contrastar cada componente del modelo y cuál fue el nivel de consistencia observado.</w:t>
      </w:r>
      <w:r>
        <w:rPr>
          <w:rFonts w:ascii="Arial" w:hAnsi="Arial" w:cs="Arial"/>
          <w:sz w:val="24"/>
          <w:szCs w:val="24"/>
        </w:rPr>
        <w:t xml:space="preserve"> </w:t>
      </w:r>
    </w:p>
    <w:p w14:paraId="25A701D3" w14:textId="6E099DEA" w:rsidR="000D0630" w:rsidRPr="00444E7E" w:rsidRDefault="000D0630" w:rsidP="000D0630">
      <w:pPr>
        <w:rPr>
          <w:rFonts w:ascii="Arial" w:hAnsi="Arial" w:cs="Arial"/>
          <w:b/>
          <w:bCs/>
          <w:sz w:val="24"/>
          <w:szCs w:val="24"/>
        </w:rPr>
      </w:pPr>
    </w:p>
    <w:p w14:paraId="12FDD246" w14:textId="491D9973" w:rsidR="000D0630" w:rsidRPr="00444E7E" w:rsidRDefault="00AA1590" w:rsidP="00AA1590">
      <w:pPr>
        <w:pStyle w:val="Descripcin"/>
        <w:rPr>
          <w:rFonts w:ascii="Arial" w:hAnsi="Arial" w:cs="Arial"/>
          <w:b/>
          <w:bCs/>
          <w:sz w:val="24"/>
          <w:szCs w:val="24"/>
        </w:rPr>
      </w:pPr>
      <w:bookmarkStart w:id="3" w:name="_Toc227517144"/>
      <w:r>
        <w:t xml:space="preserve">Tabla </w:t>
      </w:r>
      <w:fldSimple w:instr=" SEQ Tabla \* ARABIC ">
        <w:r w:rsidR="00E06EA1">
          <w:rPr>
            <w:noProof/>
          </w:rPr>
          <w:t>2</w:t>
        </w:r>
      </w:fldSimple>
      <w:r>
        <w:t xml:space="preserve">: </w:t>
      </w:r>
      <w:r w:rsidRPr="00AA1590">
        <w:t>Síntesis de validación por dimensión</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1911"/>
        <w:gridCol w:w="2422"/>
        <w:gridCol w:w="2612"/>
      </w:tblGrid>
      <w:tr w:rsidR="000D0630" w:rsidRPr="00444E7E" w14:paraId="4B99E5AD" w14:textId="77777777" w:rsidTr="007614A1">
        <w:trPr>
          <w:tblHeader/>
          <w:tblCellSpacing w:w="15" w:type="dxa"/>
        </w:trPr>
        <w:tc>
          <w:tcPr>
            <w:tcW w:w="0" w:type="auto"/>
            <w:vAlign w:val="center"/>
            <w:hideMark/>
          </w:tcPr>
          <w:p w14:paraId="2E787A02"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Dimensión</w:t>
            </w:r>
          </w:p>
        </w:tc>
        <w:tc>
          <w:tcPr>
            <w:tcW w:w="0" w:type="auto"/>
            <w:vAlign w:val="center"/>
            <w:hideMark/>
          </w:tcPr>
          <w:p w14:paraId="5EED6981"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Fuente principal</w:t>
            </w:r>
          </w:p>
        </w:tc>
        <w:tc>
          <w:tcPr>
            <w:tcW w:w="0" w:type="auto"/>
            <w:vAlign w:val="center"/>
            <w:hideMark/>
          </w:tcPr>
          <w:p w14:paraId="54F55E57"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Fuente de validación</w:t>
            </w:r>
          </w:p>
        </w:tc>
        <w:tc>
          <w:tcPr>
            <w:tcW w:w="0" w:type="auto"/>
            <w:vAlign w:val="center"/>
            <w:hideMark/>
          </w:tcPr>
          <w:p w14:paraId="64311FB2"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Resultado</w:t>
            </w:r>
          </w:p>
        </w:tc>
      </w:tr>
      <w:tr w:rsidR="000D0630" w:rsidRPr="00444E7E" w14:paraId="57968253" w14:textId="77777777" w:rsidTr="007614A1">
        <w:trPr>
          <w:tblCellSpacing w:w="15" w:type="dxa"/>
        </w:trPr>
        <w:tc>
          <w:tcPr>
            <w:tcW w:w="0" w:type="auto"/>
            <w:vAlign w:val="center"/>
            <w:hideMark/>
          </w:tcPr>
          <w:p w14:paraId="6A0CFAE8" w14:textId="77777777" w:rsidR="000D0630" w:rsidRPr="00444E7E" w:rsidRDefault="000D0630" w:rsidP="000D0630">
            <w:pPr>
              <w:rPr>
                <w:rFonts w:ascii="Arial" w:hAnsi="Arial" w:cs="Arial"/>
                <w:sz w:val="24"/>
                <w:szCs w:val="24"/>
              </w:rPr>
            </w:pPr>
            <w:r w:rsidRPr="00444E7E">
              <w:rPr>
                <w:rFonts w:ascii="Arial" w:hAnsi="Arial" w:cs="Arial"/>
                <w:sz w:val="24"/>
                <w:szCs w:val="24"/>
              </w:rPr>
              <w:t>Servicios</w:t>
            </w:r>
          </w:p>
        </w:tc>
        <w:tc>
          <w:tcPr>
            <w:tcW w:w="0" w:type="auto"/>
            <w:vAlign w:val="center"/>
            <w:hideMark/>
          </w:tcPr>
          <w:p w14:paraId="0F02870D" w14:textId="77777777" w:rsidR="000D0630" w:rsidRPr="00444E7E" w:rsidRDefault="000D0630" w:rsidP="000D0630">
            <w:pPr>
              <w:rPr>
                <w:rFonts w:ascii="Arial" w:hAnsi="Arial" w:cs="Arial"/>
                <w:sz w:val="24"/>
                <w:szCs w:val="24"/>
              </w:rPr>
            </w:pPr>
            <w:r w:rsidRPr="00444E7E">
              <w:rPr>
                <w:rFonts w:ascii="Arial" w:hAnsi="Arial" w:cs="Arial"/>
                <w:sz w:val="24"/>
                <w:szCs w:val="24"/>
              </w:rPr>
              <w:t>Clusters</w:t>
            </w:r>
          </w:p>
        </w:tc>
        <w:tc>
          <w:tcPr>
            <w:tcW w:w="0" w:type="auto"/>
            <w:vAlign w:val="center"/>
            <w:hideMark/>
          </w:tcPr>
          <w:p w14:paraId="6F03BF5B" w14:textId="77777777" w:rsidR="000D0630" w:rsidRPr="00444E7E" w:rsidRDefault="000D0630" w:rsidP="000D0630">
            <w:pPr>
              <w:rPr>
                <w:rFonts w:ascii="Arial" w:hAnsi="Arial" w:cs="Arial"/>
                <w:sz w:val="24"/>
                <w:szCs w:val="24"/>
              </w:rPr>
            </w:pPr>
            <w:r w:rsidRPr="00444E7E">
              <w:rPr>
                <w:rFonts w:ascii="Arial" w:hAnsi="Arial" w:cs="Arial"/>
                <w:sz w:val="24"/>
                <w:szCs w:val="24"/>
              </w:rPr>
              <w:t>IPM</w:t>
            </w:r>
          </w:p>
        </w:tc>
        <w:tc>
          <w:tcPr>
            <w:tcW w:w="0" w:type="auto"/>
            <w:vAlign w:val="center"/>
            <w:hideMark/>
          </w:tcPr>
          <w:p w14:paraId="7DD10AC1" w14:textId="77777777" w:rsidR="000D0630" w:rsidRPr="00444E7E" w:rsidRDefault="000D0630" w:rsidP="000D0630">
            <w:pPr>
              <w:rPr>
                <w:rFonts w:ascii="Arial" w:hAnsi="Arial" w:cs="Arial"/>
                <w:sz w:val="24"/>
                <w:szCs w:val="24"/>
              </w:rPr>
            </w:pPr>
            <w:r w:rsidRPr="00444E7E">
              <w:rPr>
                <w:rFonts w:ascii="Arial" w:hAnsi="Arial" w:cs="Arial"/>
                <w:sz w:val="24"/>
                <w:szCs w:val="24"/>
              </w:rPr>
              <w:t>Alta consistencia</w:t>
            </w:r>
          </w:p>
        </w:tc>
      </w:tr>
      <w:tr w:rsidR="000D0630" w:rsidRPr="00444E7E" w14:paraId="17063856" w14:textId="77777777" w:rsidTr="007614A1">
        <w:trPr>
          <w:tblCellSpacing w:w="15" w:type="dxa"/>
        </w:trPr>
        <w:tc>
          <w:tcPr>
            <w:tcW w:w="0" w:type="auto"/>
            <w:vAlign w:val="center"/>
            <w:hideMark/>
          </w:tcPr>
          <w:p w14:paraId="44129FDD" w14:textId="77777777" w:rsidR="000D0630" w:rsidRPr="00444E7E" w:rsidRDefault="000D0630" w:rsidP="000D0630">
            <w:pPr>
              <w:rPr>
                <w:rFonts w:ascii="Arial" w:hAnsi="Arial" w:cs="Arial"/>
                <w:sz w:val="24"/>
                <w:szCs w:val="24"/>
              </w:rPr>
            </w:pPr>
            <w:r w:rsidRPr="00444E7E">
              <w:rPr>
                <w:rFonts w:ascii="Arial" w:hAnsi="Arial" w:cs="Arial"/>
                <w:sz w:val="24"/>
                <w:szCs w:val="24"/>
              </w:rPr>
              <w:t>Multidimensional</w:t>
            </w:r>
          </w:p>
        </w:tc>
        <w:tc>
          <w:tcPr>
            <w:tcW w:w="0" w:type="auto"/>
            <w:vAlign w:val="center"/>
            <w:hideMark/>
          </w:tcPr>
          <w:p w14:paraId="198BC8D7" w14:textId="77777777" w:rsidR="000D0630" w:rsidRPr="00444E7E" w:rsidRDefault="000D0630" w:rsidP="000D0630">
            <w:pPr>
              <w:rPr>
                <w:rFonts w:ascii="Arial" w:hAnsi="Arial" w:cs="Arial"/>
                <w:sz w:val="24"/>
                <w:szCs w:val="24"/>
              </w:rPr>
            </w:pPr>
            <w:r w:rsidRPr="00444E7E">
              <w:rPr>
                <w:rFonts w:ascii="Arial" w:hAnsi="Arial" w:cs="Arial"/>
                <w:sz w:val="24"/>
                <w:szCs w:val="24"/>
              </w:rPr>
              <w:t>Clusters</w:t>
            </w:r>
          </w:p>
        </w:tc>
        <w:tc>
          <w:tcPr>
            <w:tcW w:w="0" w:type="auto"/>
            <w:vAlign w:val="center"/>
            <w:hideMark/>
          </w:tcPr>
          <w:p w14:paraId="22A494A2" w14:textId="77777777" w:rsidR="000D0630" w:rsidRPr="00444E7E" w:rsidRDefault="000D0630" w:rsidP="000D0630">
            <w:pPr>
              <w:rPr>
                <w:rFonts w:ascii="Arial" w:hAnsi="Arial" w:cs="Arial"/>
                <w:sz w:val="24"/>
                <w:szCs w:val="24"/>
              </w:rPr>
            </w:pPr>
            <w:r w:rsidRPr="00444E7E">
              <w:rPr>
                <w:rFonts w:ascii="Arial" w:hAnsi="Arial" w:cs="Arial"/>
                <w:sz w:val="24"/>
                <w:szCs w:val="24"/>
              </w:rPr>
              <w:t>IPM</w:t>
            </w:r>
          </w:p>
        </w:tc>
        <w:tc>
          <w:tcPr>
            <w:tcW w:w="0" w:type="auto"/>
            <w:vAlign w:val="center"/>
            <w:hideMark/>
          </w:tcPr>
          <w:p w14:paraId="1EE6CAFE" w14:textId="77777777" w:rsidR="000D0630" w:rsidRPr="00444E7E" w:rsidRDefault="000D0630" w:rsidP="000D0630">
            <w:pPr>
              <w:rPr>
                <w:rFonts w:ascii="Arial" w:hAnsi="Arial" w:cs="Arial"/>
                <w:sz w:val="24"/>
                <w:szCs w:val="24"/>
              </w:rPr>
            </w:pPr>
            <w:r w:rsidRPr="00444E7E">
              <w:rPr>
                <w:rFonts w:ascii="Arial" w:hAnsi="Arial" w:cs="Arial"/>
                <w:sz w:val="24"/>
                <w:szCs w:val="24"/>
              </w:rPr>
              <w:t>Alta consistencia</w:t>
            </w:r>
          </w:p>
        </w:tc>
      </w:tr>
      <w:tr w:rsidR="000D0630" w:rsidRPr="00444E7E" w14:paraId="3D56B88D" w14:textId="77777777" w:rsidTr="007614A1">
        <w:trPr>
          <w:tblCellSpacing w:w="15" w:type="dxa"/>
        </w:trPr>
        <w:tc>
          <w:tcPr>
            <w:tcW w:w="0" w:type="auto"/>
            <w:vAlign w:val="center"/>
            <w:hideMark/>
          </w:tcPr>
          <w:p w14:paraId="64ABE859" w14:textId="77777777" w:rsidR="000D0630" w:rsidRPr="00444E7E" w:rsidRDefault="000D0630" w:rsidP="000D0630">
            <w:pPr>
              <w:rPr>
                <w:rFonts w:ascii="Arial" w:hAnsi="Arial" w:cs="Arial"/>
                <w:sz w:val="24"/>
                <w:szCs w:val="24"/>
              </w:rPr>
            </w:pPr>
            <w:r w:rsidRPr="00444E7E">
              <w:rPr>
                <w:rFonts w:ascii="Arial" w:hAnsi="Arial" w:cs="Arial"/>
                <w:sz w:val="24"/>
                <w:szCs w:val="24"/>
              </w:rPr>
              <w:t>Educación</w:t>
            </w:r>
          </w:p>
        </w:tc>
        <w:tc>
          <w:tcPr>
            <w:tcW w:w="0" w:type="auto"/>
            <w:vAlign w:val="center"/>
            <w:hideMark/>
          </w:tcPr>
          <w:p w14:paraId="31FD8582" w14:textId="77777777" w:rsidR="000D0630" w:rsidRPr="00444E7E" w:rsidRDefault="000D0630" w:rsidP="000D0630">
            <w:pPr>
              <w:rPr>
                <w:rFonts w:ascii="Arial" w:hAnsi="Arial" w:cs="Arial"/>
                <w:sz w:val="24"/>
                <w:szCs w:val="24"/>
              </w:rPr>
            </w:pPr>
            <w:r w:rsidRPr="00444E7E">
              <w:rPr>
                <w:rFonts w:ascii="Arial" w:hAnsi="Arial" w:cs="Arial"/>
                <w:sz w:val="24"/>
                <w:szCs w:val="24"/>
              </w:rPr>
              <w:t>Clusters</w:t>
            </w:r>
          </w:p>
        </w:tc>
        <w:tc>
          <w:tcPr>
            <w:tcW w:w="0" w:type="auto"/>
            <w:vAlign w:val="center"/>
            <w:hideMark/>
          </w:tcPr>
          <w:p w14:paraId="65F7AAA2" w14:textId="77777777" w:rsidR="000D0630" w:rsidRPr="00444E7E" w:rsidRDefault="000D0630" w:rsidP="000D0630">
            <w:pPr>
              <w:rPr>
                <w:rFonts w:ascii="Arial" w:hAnsi="Arial" w:cs="Arial"/>
                <w:sz w:val="24"/>
                <w:szCs w:val="24"/>
              </w:rPr>
            </w:pPr>
            <w:r w:rsidRPr="00444E7E">
              <w:rPr>
                <w:rFonts w:ascii="Arial" w:hAnsi="Arial" w:cs="Arial"/>
                <w:sz w:val="24"/>
                <w:szCs w:val="24"/>
              </w:rPr>
              <w:t>GEIH</w:t>
            </w:r>
          </w:p>
        </w:tc>
        <w:tc>
          <w:tcPr>
            <w:tcW w:w="0" w:type="auto"/>
            <w:vAlign w:val="center"/>
            <w:hideMark/>
          </w:tcPr>
          <w:p w14:paraId="695A03F5" w14:textId="77777777" w:rsidR="000D0630" w:rsidRPr="00444E7E" w:rsidRDefault="000D0630" w:rsidP="000D0630">
            <w:pPr>
              <w:rPr>
                <w:rFonts w:ascii="Arial" w:hAnsi="Arial" w:cs="Arial"/>
                <w:sz w:val="24"/>
                <w:szCs w:val="24"/>
              </w:rPr>
            </w:pPr>
            <w:r w:rsidRPr="00444E7E">
              <w:rPr>
                <w:rFonts w:ascii="Arial" w:hAnsi="Arial" w:cs="Arial"/>
                <w:sz w:val="24"/>
                <w:szCs w:val="24"/>
              </w:rPr>
              <w:t>Consistencia tras ajuste</w:t>
            </w:r>
          </w:p>
        </w:tc>
      </w:tr>
      <w:tr w:rsidR="000D0630" w:rsidRPr="00444E7E" w14:paraId="47BF1FFB" w14:textId="77777777" w:rsidTr="007614A1">
        <w:trPr>
          <w:tblCellSpacing w:w="15" w:type="dxa"/>
        </w:trPr>
        <w:tc>
          <w:tcPr>
            <w:tcW w:w="0" w:type="auto"/>
            <w:vAlign w:val="center"/>
            <w:hideMark/>
          </w:tcPr>
          <w:p w14:paraId="42F2DE4D" w14:textId="77777777" w:rsidR="000D0630" w:rsidRPr="00444E7E" w:rsidRDefault="000D0630" w:rsidP="000D0630">
            <w:pPr>
              <w:rPr>
                <w:rFonts w:ascii="Arial" w:hAnsi="Arial" w:cs="Arial"/>
                <w:sz w:val="24"/>
                <w:szCs w:val="24"/>
              </w:rPr>
            </w:pPr>
            <w:r w:rsidRPr="00444E7E">
              <w:rPr>
                <w:rFonts w:ascii="Arial" w:hAnsi="Arial" w:cs="Arial"/>
                <w:sz w:val="24"/>
                <w:szCs w:val="24"/>
              </w:rPr>
              <w:t>Laboral</w:t>
            </w:r>
          </w:p>
        </w:tc>
        <w:tc>
          <w:tcPr>
            <w:tcW w:w="0" w:type="auto"/>
            <w:vAlign w:val="center"/>
            <w:hideMark/>
          </w:tcPr>
          <w:p w14:paraId="7A470B15" w14:textId="77777777" w:rsidR="000D0630" w:rsidRPr="00444E7E" w:rsidRDefault="000D0630" w:rsidP="000D0630">
            <w:pPr>
              <w:rPr>
                <w:rFonts w:ascii="Arial" w:hAnsi="Arial" w:cs="Arial"/>
                <w:sz w:val="24"/>
                <w:szCs w:val="24"/>
              </w:rPr>
            </w:pPr>
            <w:r w:rsidRPr="00444E7E">
              <w:rPr>
                <w:rFonts w:ascii="Arial" w:hAnsi="Arial" w:cs="Arial"/>
                <w:sz w:val="24"/>
                <w:szCs w:val="24"/>
              </w:rPr>
              <w:t>Clusters</w:t>
            </w:r>
          </w:p>
        </w:tc>
        <w:tc>
          <w:tcPr>
            <w:tcW w:w="0" w:type="auto"/>
            <w:vAlign w:val="center"/>
            <w:hideMark/>
          </w:tcPr>
          <w:p w14:paraId="1281200A" w14:textId="77777777" w:rsidR="000D0630" w:rsidRPr="00444E7E" w:rsidRDefault="000D0630" w:rsidP="000D0630">
            <w:pPr>
              <w:rPr>
                <w:rFonts w:ascii="Arial" w:hAnsi="Arial" w:cs="Arial"/>
                <w:sz w:val="24"/>
                <w:szCs w:val="24"/>
              </w:rPr>
            </w:pPr>
            <w:r w:rsidRPr="00444E7E">
              <w:rPr>
                <w:rFonts w:ascii="Arial" w:hAnsi="Arial" w:cs="Arial"/>
                <w:sz w:val="24"/>
                <w:szCs w:val="24"/>
              </w:rPr>
              <w:t>GEIH</w:t>
            </w:r>
          </w:p>
        </w:tc>
        <w:tc>
          <w:tcPr>
            <w:tcW w:w="0" w:type="auto"/>
            <w:vAlign w:val="center"/>
            <w:hideMark/>
          </w:tcPr>
          <w:p w14:paraId="7EB6D966" w14:textId="77777777" w:rsidR="000D0630" w:rsidRPr="00444E7E" w:rsidRDefault="000D0630" w:rsidP="000D0630">
            <w:pPr>
              <w:rPr>
                <w:rFonts w:ascii="Arial" w:hAnsi="Arial" w:cs="Arial"/>
                <w:sz w:val="24"/>
                <w:szCs w:val="24"/>
              </w:rPr>
            </w:pPr>
            <w:r w:rsidRPr="00444E7E">
              <w:rPr>
                <w:rFonts w:ascii="Arial" w:hAnsi="Arial" w:cs="Arial"/>
                <w:sz w:val="24"/>
                <w:szCs w:val="24"/>
              </w:rPr>
              <w:t>Consistencia relativa</w:t>
            </w:r>
          </w:p>
        </w:tc>
      </w:tr>
      <w:tr w:rsidR="000D0630" w:rsidRPr="00444E7E" w14:paraId="04D121B2" w14:textId="77777777" w:rsidTr="007614A1">
        <w:trPr>
          <w:tblCellSpacing w:w="15" w:type="dxa"/>
        </w:trPr>
        <w:tc>
          <w:tcPr>
            <w:tcW w:w="0" w:type="auto"/>
            <w:vAlign w:val="center"/>
            <w:hideMark/>
          </w:tcPr>
          <w:p w14:paraId="0A3AB8D4" w14:textId="77777777" w:rsidR="000D0630" w:rsidRPr="00444E7E" w:rsidRDefault="000D0630" w:rsidP="000D0630">
            <w:pPr>
              <w:rPr>
                <w:rFonts w:ascii="Arial" w:hAnsi="Arial" w:cs="Arial"/>
                <w:sz w:val="24"/>
                <w:szCs w:val="24"/>
              </w:rPr>
            </w:pPr>
            <w:r w:rsidRPr="00444E7E">
              <w:rPr>
                <w:rFonts w:ascii="Arial" w:hAnsi="Arial" w:cs="Arial"/>
                <w:sz w:val="24"/>
                <w:szCs w:val="24"/>
              </w:rPr>
              <w:t>Habitacional</w:t>
            </w:r>
          </w:p>
        </w:tc>
        <w:tc>
          <w:tcPr>
            <w:tcW w:w="0" w:type="auto"/>
            <w:vAlign w:val="center"/>
            <w:hideMark/>
          </w:tcPr>
          <w:p w14:paraId="09D14BED" w14:textId="77777777" w:rsidR="000D0630" w:rsidRPr="00444E7E" w:rsidRDefault="000D0630" w:rsidP="000D0630">
            <w:pPr>
              <w:rPr>
                <w:rFonts w:ascii="Arial" w:hAnsi="Arial" w:cs="Arial"/>
                <w:sz w:val="24"/>
                <w:szCs w:val="24"/>
              </w:rPr>
            </w:pPr>
            <w:r w:rsidRPr="00444E7E">
              <w:rPr>
                <w:rFonts w:ascii="Arial" w:hAnsi="Arial" w:cs="Arial"/>
                <w:sz w:val="24"/>
                <w:szCs w:val="24"/>
              </w:rPr>
              <w:t>Clusters</w:t>
            </w:r>
          </w:p>
        </w:tc>
        <w:tc>
          <w:tcPr>
            <w:tcW w:w="0" w:type="auto"/>
            <w:vAlign w:val="center"/>
            <w:hideMark/>
          </w:tcPr>
          <w:p w14:paraId="3D5A6B56" w14:textId="77777777" w:rsidR="000D0630" w:rsidRPr="00444E7E" w:rsidRDefault="000D0630" w:rsidP="000D0630">
            <w:pPr>
              <w:rPr>
                <w:rFonts w:ascii="Arial" w:hAnsi="Arial" w:cs="Arial"/>
                <w:sz w:val="24"/>
                <w:szCs w:val="24"/>
              </w:rPr>
            </w:pPr>
            <w:r w:rsidRPr="00444E7E">
              <w:rPr>
                <w:rFonts w:ascii="Arial" w:hAnsi="Arial" w:cs="Arial"/>
                <w:sz w:val="24"/>
                <w:szCs w:val="24"/>
              </w:rPr>
              <w:t>IPM</w:t>
            </w:r>
          </w:p>
        </w:tc>
        <w:tc>
          <w:tcPr>
            <w:tcW w:w="0" w:type="auto"/>
            <w:vAlign w:val="center"/>
            <w:hideMark/>
          </w:tcPr>
          <w:p w14:paraId="50D48A79" w14:textId="77777777" w:rsidR="000D0630" w:rsidRPr="00444E7E" w:rsidRDefault="000D0630" w:rsidP="000D0630">
            <w:pPr>
              <w:rPr>
                <w:rFonts w:ascii="Arial" w:hAnsi="Arial" w:cs="Arial"/>
                <w:sz w:val="24"/>
                <w:szCs w:val="24"/>
              </w:rPr>
            </w:pPr>
            <w:r w:rsidRPr="00444E7E">
              <w:rPr>
                <w:rFonts w:ascii="Arial" w:hAnsi="Arial" w:cs="Arial"/>
                <w:sz w:val="24"/>
                <w:szCs w:val="24"/>
              </w:rPr>
              <w:t>Coherencia estructural</w:t>
            </w:r>
          </w:p>
        </w:tc>
      </w:tr>
    </w:tbl>
    <w:p w14:paraId="6606660E" w14:textId="0075DCB1" w:rsidR="000D0630" w:rsidRPr="00444E7E" w:rsidRDefault="000D0630" w:rsidP="000D0630">
      <w:pPr>
        <w:rPr>
          <w:rFonts w:ascii="Arial" w:hAnsi="Arial" w:cs="Arial"/>
          <w:b/>
          <w:bCs/>
          <w:sz w:val="24"/>
          <w:szCs w:val="24"/>
        </w:rPr>
      </w:pPr>
    </w:p>
    <w:p w14:paraId="4898F145" w14:textId="77777777" w:rsidR="00AA1590" w:rsidRDefault="00AA1590" w:rsidP="000D0630">
      <w:pPr>
        <w:rPr>
          <w:rFonts w:ascii="Arial" w:hAnsi="Arial" w:cs="Arial"/>
          <w:b/>
          <w:bCs/>
          <w:sz w:val="24"/>
          <w:szCs w:val="24"/>
          <w:highlight w:val="yellow"/>
        </w:rPr>
      </w:pPr>
    </w:p>
    <w:p w14:paraId="1B1D71B5" w14:textId="77777777" w:rsidR="00AA1590" w:rsidRDefault="00AA1590" w:rsidP="000D0630">
      <w:pPr>
        <w:rPr>
          <w:rFonts w:ascii="Arial" w:hAnsi="Arial" w:cs="Arial"/>
          <w:b/>
          <w:bCs/>
          <w:sz w:val="24"/>
          <w:szCs w:val="24"/>
          <w:highlight w:val="yellow"/>
        </w:rPr>
      </w:pPr>
    </w:p>
    <w:p w14:paraId="3AA8C3BB" w14:textId="77777777" w:rsidR="00AA1590" w:rsidRDefault="00AA1590" w:rsidP="000D0630">
      <w:pPr>
        <w:rPr>
          <w:rFonts w:ascii="Arial" w:hAnsi="Arial" w:cs="Arial"/>
          <w:b/>
          <w:bCs/>
          <w:sz w:val="24"/>
          <w:szCs w:val="24"/>
          <w:highlight w:val="yellow"/>
        </w:rPr>
      </w:pPr>
    </w:p>
    <w:p w14:paraId="2D423F5A" w14:textId="77777777" w:rsidR="00AA1590" w:rsidRDefault="00AA1590" w:rsidP="000D0630">
      <w:pPr>
        <w:rPr>
          <w:rFonts w:ascii="Arial" w:hAnsi="Arial" w:cs="Arial"/>
          <w:b/>
          <w:bCs/>
          <w:sz w:val="24"/>
          <w:szCs w:val="24"/>
          <w:highlight w:val="yellow"/>
        </w:rPr>
      </w:pPr>
    </w:p>
    <w:p w14:paraId="0B150D4C" w14:textId="77777777" w:rsidR="00085434" w:rsidRDefault="00085434" w:rsidP="00AA1590">
      <w:pPr>
        <w:pStyle w:val="Descripcin"/>
      </w:pPr>
      <w:bookmarkStart w:id="4" w:name="_Toc227517145"/>
    </w:p>
    <w:p w14:paraId="79DBB0D2" w14:textId="77777777" w:rsidR="00085434" w:rsidRDefault="00085434" w:rsidP="00AA1590">
      <w:pPr>
        <w:pStyle w:val="Descripcin"/>
      </w:pPr>
    </w:p>
    <w:p w14:paraId="42B5593F" w14:textId="77777777" w:rsidR="00085434" w:rsidRDefault="00085434" w:rsidP="00AA1590">
      <w:pPr>
        <w:pStyle w:val="Descripcin"/>
      </w:pPr>
    </w:p>
    <w:p w14:paraId="5C727899" w14:textId="77777777" w:rsidR="00085434" w:rsidRPr="00444E7E" w:rsidRDefault="00085434" w:rsidP="00085434">
      <w:pPr>
        <w:jc w:val="both"/>
        <w:rPr>
          <w:rFonts w:ascii="Arial" w:hAnsi="Arial" w:cs="Arial"/>
          <w:sz w:val="24"/>
          <w:szCs w:val="24"/>
        </w:rPr>
      </w:pPr>
      <w:r w:rsidRPr="00085434">
        <w:rPr>
          <w:rFonts w:ascii="Arial" w:hAnsi="Arial" w:cs="Arial"/>
          <w:sz w:val="24"/>
          <w:szCs w:val="24"/>
        </w:rPr>
        <w:t>La Tabla 3 presenta los principales resultados de comparación entre los indicadores laborales y educativos del clustering y la GEIH. Esta tabla permite observar tanto las diferencias en magnitud como la consistencia relativa entre ciudades.</w:t>
      </w:r>
    </w:p>
    <w:p w14:paraId="6C46E960" w14:textId="77777777" w:rsidR="00085434" w:rsidRDefault="00085434" w:rsidP="00AA1590">
      <w:pPr>
        <w:pStyle w:val="Descripcin"/>
      </w:pPr>
    </w:p>
    <w:p w14:paraId="1E86105D" w14:textId="422DA605" w:rsidR="000D0630" w:rsidRPr="004D5622" w:rsidRDefault="00AA1590" w:rsidP="00AA1590">
      <w:pPr>
        <w:pStyle w:val="Descripcin"/>
        <w:rPr>
          <w:rFonts w:ascii="Arial" w:hAnsi="Arial" w:cs="Arial"/>
          <w:b/>
          <w:bCs/>
          <w:sz w:val="24"/>
          <w:szCs w:val="24"/>
          <w:highlight w:val="yellow"/>
        </w:rPr>
      </w:pPr>
      <w:r>
        <w:t xml:space="preserve">Tabla </w:t>
      </w:r>
      <w:fldSimple w:instr=" SEQ Tabla \* ARABIC ">
        <w:r w:rsidR="00E06EA1">
          <w:rPr>
            <w:noProof/>
          </w:rPr>
          <w:t>3</w:t>
        </w:r>
      </w:fldSimple>
      <w:r>
        <w:t xml:space="preserve">: </w:t>
      </w:r>
      <w:r w:rsidRPr="00AA1590">
        <w:t>Comparación clave de resultados</w:t>
      </w:r>
      <w:bookmarkEnd w:id="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5"/>
        <w:gridCol w:w="1564"/>
        <w:gridCol w:w="1271"/>
        <w:gridCol w:w="934"/>
        <w:gridCol w:w="1743"/>
        <w:gridCol w:w="1282"/>
        <w:gridCol w:w="1129"/>
      </w:tblGrid>
      <w:tr w:rsidR="000D0630" w:rsidRPr="004D5622" w14:paraId="513F3BD4" w14:textId="77777777" w:rsidTr="007614A1">
        <w:trPr>
          <w:tblHeader/>
          <w:tblCellSpacing w:w="15" w:type="dxa"/>
        </w:trPr>
        <w:tc>
          <w:tcPr>
            <w:tcW w:w="0" w:type="auto"/>
            <w:vAlign w:val="center"/>
            <w:hideMark/>
          </w:tcPr>
          <w:p w14:paraId="182E7B22" w14:textId="77777777" w:rsidR="000D0630" w:rsidRPr="00523FF9" w:rsidRDefault="000D0630" w:rsidP="000D0630">
            <w:pPr>
              <w:rPr>
                <w:rFonts w:ascii="Arial" w:hAnsi="Arial" w:cs="Arial"/>
                <w:b/>
                <w:bCs/>
                <w:sz w:val="24"/>
                <w:szCs w:val="24"/>
              </w:rPr>
            </w:pPr>
            <w:r w:rsidRPr="00523FF9">
              <w:rPr>
                <w:rFonts w:ascii="Arial" w:hAnsi="Arial" w:cs="Arial"/>
                <w:b/>
                <w:bCs/>
                <w:sz w:val="24"/>
                <w:szCs w:val="24"/>
              </w:rPr>
              <w:t>Ciudad</w:t>
            </w:r>
          </w:p>
        </w:tc>
        <w:tc>
          <w:tcPr>
            <w:tcW w:w="0" w:type="auto"/>
            <w:vAlign w:val="center"/>
            <w:hideMark/>
          </w:tcPr>
          <w:p w14:paraId="4A36756F" w14:textId="77777777" w:rsidR="000D0630" w:rsidRPr="00523FF9" w:rsidRDefault="000D0630" w:rsidP="000D0630">
            <w:pPr>
              <w:rPr>
                <w:rFonts w:ascii="Arial" w:hAnsi="Arial" w:cs="Arial"/>
                <w:b/>
                <w:bCs/>
                <w:sz w:val="24"/>
                <w:szCs w:val="24"/>
              </w:rPr>
            </w:pPr>
            <w:r w:rsidRPr="00523FF9">
              <w:rPr>
                <w:rFonts w:ascii="Arial" w:hAnsi="Arial" w:cs="Arial"/>
                <w:b/>
                <w:bCs/>
                <w:sz w:val="24"/>
                <w:szCs w:val="24"/>
              </w:rPr>
              <w:t>LAB_CLUSTER</w:t>
            </w:r>
          </w:p>
        </w:tc>
        <w:tc>
          <w:tcPr>
            <w:tcW w:w="0" w:type="auto"/>
            <w:vAlign w:val="center"/>
            <w:hideMark/>
          </w:tcPr>
          <w:p w14:paraId="2643F200" w14:textId="77777777" w:rsidR="000D0630" w:rsidRPr="00523FF9" w:rsidRDefault="000D0630" w:rsidP="000D0630">
            <w:pPr>
              <w:rPr>
                <w:rFonts w:ascii="Arial" w:hAnsi="Arial" w:cs="Arial"/>
                <w:b/>
                <w:bCs/>
                <w:sz w:val="24"/>
                <w:szCs w:val="24"/>
              </w:rPr>
            </w:pPr>
            <w:r w:rsidRPr="00523FF9">
              <w:rPr>
                <w:rFonts w:ascii="Arial" w:hAnsi="Arial" w:cs="Arial"/>
                <w:b/>
                <w:bCs/>
                <w:sz w:val="24"/>
                <w:szCs w:val="24"/>
              </w:rPr>
              <w:t>GEIH_OCUP</w:t>
            </w:r>
          </w:p>
        </w:tc>
        <w:tc>
          <w:tcPr>
            <w:tcW w:w="0" w:type="auto"/>
            <w:vAlign w:val="center"/>
            <w:hideMark/>
          </w:tcPr>
          <w:p w14:paraId="17A7B934" w14:textId="77777777" w:rsidR="000D0630" w:rsidRPr="00523FF9" w:rsidRDefault="000D0630" w:rsidP="000D0630">
            <w:pPr>
              <w:rPr>
                <w:rFonts w:ascii="Arial" w:hAnsi="Arial" w:cs="Arial"/>
                <w:b/>
                <w:bCs/>
                <w:sz w:val="24"/>
                <w:szCs w:val="24"/>
              </w:rPr>
            </w:pPr>
            <w:r w:rsidRPr="00523FF9">
              <w:rPr>
                <w:rFonts w:ascii="Arial" w:hAnsi="Arial" w:cs="Arial"/>
                <w:b/>
                <w:bCs/>
                <w:sz w:val="24"/>
                <w:szCs w:val="24"/>
              </w:rPr>
              <w:t>DIF_LAB</w:t>
            </w:r>
          </w:p>
        </w:tc>
        <w:tc>
          <w:tcPr>
            <w:tcW w:w="0" w:type="auto"/>
            <w:vAlign w:val="center"/>
            <w:hideMark/>
          </w:tcPr>
          <w:p w14:paraId="1878B325" w14:textId="77777777" w:rsidR="000D0630" w:rsidRPr="00523FF9" w:rsidRDefault="000D0630" w:rsidP="000D0630">
            <w:pPr>
              <w:rPr>
                <w:rFonts w:ascii="Arial" w:hAnsi="Arial" w:cs="Arial"/>
                <w:b/>
                <w:bCs/>
                <w:sz w:val="24"/>
                <w:szCs w:val="24"/>
              </w:rPr>
            </w:pPr>
            <w:r w:rsidRPr="00523FF9">
              <w:rPr>
                <w:rFonts w:ascii="Arial" w:hAnsi="Arial" w:cs="Arial"/>
                <w:b/>
                <w:bCs/>
                <w:sz w:val="24"/>
                <w:szCs w:val="24"/>
              </w:rPr>
              <w:t>ASIST_CLUSTER</w:t>
            </w:r>
          </w:p>
        </w:tc>
        <w:tc>
          <w:tcPr>
            <w:tcW w:w="0" w:type="auto"/>
            <w:vAlign w:val="center"/>
            <w:hideMark/>
          </w:tcPr>
          <w:p w14:paraId="697D4F35" w14:textId="2DAA99B3" w:rsidR="000D0630" w:rsidRPr="00523FF9" w:rsidRDefault="000D0630" w:rsidP="000D0630">
            <w:pPr>
              <w:rPr>
                <w:rFonts w:ascii="Arial" w:hAnsi="Arial" w:cs="Arial"/>
                <w:b/>
                <w:bCs/>
                <w:sz w:val="24"/>
                <w:szCs w:val="24"/>
              </w:rPr>
            </w:pPr>
            <w:r w:rsidRPr="00523FF9">
              <w:rPr>
                <w:rFonts w:ascii="Arial" w:hAnsi="Arial" w:cs="Arial"/>
                <w:b/>
                <w:bCs/>
                <w:sz w:val="24"/>
                <w:szCs w:val="24"/>
              </w:rPr>
              <w:t>ASIST_GEIH</w:t>
            </w:r>
          </w:p>
        </w:tc>
        <w:tc>
          <w:tcPr>
            <w:tcW w:w="0" w:type="auto"/>
            <w:vAlign w:val="center"/>
            <w:hideMark/>
          </w:tcPr>
          <w:p w14:paraId="07548A03" w14:textId="77777777" w:rsidR="000D0630" w:rsidRPr="00523FF9" w:rsidRDefault="000D0630" w:rsidP="000D0630">
            <w:pPr>
              <w:rPr>
                <w:rFonts w:ascii="Arial" w:hAnsi="Arial" w:cs="Arial"/>
                <w:b/>
                <w:bCs/>
                <w:sz w:val="24"/>
                <w:szCs w:val="24"/>
              </w:rPr>
            </w:pPr>
            <w:r w:rsidRPr="00523FF9">
              <w:rPr>
                <w:rFonts w:ascii="Arial" w:hAnsi="Arial" w:cs="Arial"/>
                <w:b/>
                <w:bCs/>
                <w:sz w:val="24"/>
                <w:szCs w:val="24"/>
              </w:rPr>
              <w:t>DIF_ASIST</w:t>
            </w:r>
          </w:p>
        </w:tc>
      </w:tr>
      <w:tr w:rsidR="000D0630" w:rsidRPr="004D5622" w14:paraId="68F2D628" w14:textId="77777777" w:rsidTr="007614A1">
        <w:trPr>
          <w:tblCellSpacing w:w="15" w:type="dxa"/>
        </w:trPr>
        <w:tc>
          <w:tcPr>
            <w:tcW w:w="0" w:type="auto"/>
            <w:vAlign w:val="center"/>
            <w:hideMark/>
          </w:tcPr>
          <w:p w14:paraId="01E70A56" w14:textId="77777777" w:rsidR="000D0630" w:rsidRPr="00523FF9" w:rsidRDefault="000D0630" w:rsidP="000D0630">
            <w:pPr>
              <w:jc w:val="both"/>
              <w:rPr>
                <w:rFonts w:ascii="Arial" w:hAnsi="Arial" w:cs="Arial"/>
                <w:b/>
                <w:bCs/>
                <w:sz w:val="24"/>
                <w:szCs w:val="24"/>
              </w:rPr>
            </w:pPr>
            <w:r w:rsidRPr="00523FF9">
              <w:rPr>
                <w:rFonts w:ascii="Arial" w:hAnsi="Arial" w:cs="Arial"/>
                <w:b/>
                <w:bCs/>
                <w:sz w:val="24"/>
                <w:szCs w:val="24"/>
              </w:rPr>
              <w:t>Armenia</w:t>
            </w:r>
          </w:p>
        </w:tc>
        <w:tc>
          <w:tcPr>
            <w:tcW w:w="0" w:type="auto"/>
            <w:vAlign w:val="center"/>
            <w:hideMark/>
          </w:tcPr>
          <w:p w14:paraId="17844250"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0.3985</w:t>
            </w:r>
          </w:p>
        </w:tc>
        <w:tc>
          <w:tcPr>
            <w:tcW w:w="0" w:type="auto"/>
            <w:vAlign w:val="center"/>
            <w:hideMark/>
          </w:tcPr>
          <w:p w14:paraId="47F0ABF7"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0.6345</w:t>
            </w:r>
          </w:p>
        </w:tc>
        <w:tc>
          <w:tcPr>
            <w:tcW w:w="0" w:type="auto"/>
            <w:vAlign w:val="center"/>
            <w:hideMark/>
          </w:tcPr>
          <w:p w14:paraId="7701F659"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-0.2360</w:t>
            </w:r>
          </w:p>
        </w:tc>
        <w:tc>
          <w:tcPr>
            <w:tcW w:w="0" w:type="auto"/>
            <w:vAlign w:val="center"/>
            <w:hideMark/>
          </w:tcPr>
          <w:p w14:paraId="2154A972"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0.2314</w:t>
            </w:r>
          </w:p>
        </w:tc>
        <w:tc>
          <w:tcPr>
            <w:tcW w:w="0" w:type="auto"/>
            <w:vAlign w:val="center"/>
            <w:hideMark/>
          </w:tcPr>
          <w:p w14:paraId="47F550A8"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0.2659</w:t>
            </w:r>
          </w:p>
        </w:tc>
        <w:tc>
          <w:tcPr>
            <w:tcW w:w="0" w:type="auto"/>
            <w:vAlign w:val="center"/>
            <w:hideMark/>
          </w:tcPr>
          <w:p w14:paraId="2924197F"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-0.0345</w:t>
            </w:r>
          </w:p>
        </w:tc>
      </w:tr>
      <w:tr w:rsidR="000D0630" w:rsidRPr="004D5622" w14:paraId="6336BC12" w14:textId="77777777" w:rsidTr="007614A1">
        <w:trPr>
          <w:tblCellSpacing w:w="15" w:type="dxa"/>
        </w:trPr>
        <w:tc>
          <w:tcPr>
            <w:tcW w:w="0" w:type="auto"/>
            <w:vAlign w:val="center"/>
            <w:hideMark/>
          </w:tcPr>
          <w:p w14:paraId="470E9F23" w14:textId="77777777" w:rsidR="000D0630" w:rsidRPr="00523FF9" w:rsidRDefault="000D0630" w:rsidP="000D0630">
            <w:pPr>
              <w:jc w:val="both"/>
              <w:rPr>
                <w:rFonts w:ascii="Arial" w:hAnsi="Arial" w:cs="Arial"/>
                <w:b/>
                <w:bCs/>
                <w:sz w:val="24"/>
                <w:szCs w:val="24"/>
              </w:rPr>
            </w:pPr>
            <w:r w:rsidRPr="00523FF9">
              <w:rPr>
                <w:rFonts w:ascii="Arial" w:hAnsi="Arial" w:cs="Arial"/>
                <w:b/>
                <w:bCs/>
                <w:sz w:val="24"/>
                <w:szCs w:val="24"/>
              </w:rPr>
              <w:t>Cali</w:t>
            </w:r>
          </w:p>
        </w:tc>
        <w:tc>
          <w:tcPr>
            <w:tcW w:w="0" w:type="auto"/>
            <w:vAlign w:val="center"/>
            <w:hideMark/>
          </w:tcPr>
          <w:p w14:paraId="16FBDD0E"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0.4487</w:t>
            </w:r>
          </w:p>
        </w:tc>
        <w:tc>
          <w:tcPr>
            <w:tcW w:w="0" w:type="auto"/>
            <w:vAlign w:val="center"/>
            <w:hideMark/>
          </w:tcPr>
          <w:p w14:paraId="575C25AC"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0.6307</w:t>
            </w:r>
          </w:p>
        </w:tc>
        <w:tc>
          <w:tcPr>
            <w:tcW w:w="0" w:type="auto"/>
            <w:vAlign w:val="center"/>
            <w:hideMark/>
          </w:tcPr>
          <w:p w14:paraId="051E0B2F"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-0.1820</w:t>
            </w:r>
          </w:p>
        </w:tc>
        <w:tc>
          <w:tcPr>
            <w:tcW w:w="0" w:type="auto"/>
            <w:vAlign w:val="center"/>
            <w:hideMark/>
          </w:tcPr>
          <w:p w14:paraId="6C9FB96D"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0.2356</w:t>
            </w:r>
          </w:p>
        </w:tc>
        <w:tc>
          <w:tcPr>
            <w:tcW w:w="0" w:type="auto"/>
            <w:vAlign w:val="center"/>
            <w:hideMark/>
          </w:tcPr>
          <w:p w14:paraId="46998302"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0.2605</w:t>
            </w:r>
          </w:p>
        </w:tc>
        <w:tc>
          <w:tcPr>
            <w:tcW w:w="0" w:type="auto"/>
            <w:vAlign w:val="center"/>
            <w:hideMark/>
          </w:tcPr>
          <w:p w14:paraId="0A43B9AC"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-0.0249</w:t>
            </w:r>
          </w:p>
        </w:tc>
      </w:tr>
      <w:tr w:rsidR="000D0630" w:rsidRPr="00444E7E" w14:paraId="42AE1429" w14:textId="77777777" w:rsidTr="007614A1">
        <w:trPr>
          <w:tblCellSpacing w:w="15" w:type="dxa"/>
        </w:trPr>
        <w:tc>
          <w:tcPr>
            <w:tcW w:w="0" w:type="auto"/>
            <w:vAlign w:val="center"/>
            <w:hideMark/>
          </w:tcPr>
          <w:p w14:paraId="45D9EE68" w14:textId="77777777" w:rsidR="000D0630" w:rsidRPr="00523FF9" w:rsidRDefault="000D0630" w:rsidP="000D0630">
            <w:pPr>
              <w:jc w:val="both"/>
              <w:rPr>
                <w:rFonts w:ascii="Arial" w:hAnsi="Arial" w:cs="Arial"/>
                <w:b/>
                <w:bCs/>
                <w:sz w:val="24"/>
                <w:szCs w:val="24"/>
              </w:rPr>
            </w:pPr>
            <w:r w:rsidRPr="00523FF9">
              <w:rPr>
                <w:rFonts w:ascii="Arial" w:hAnsi="Arial" w:cs="Arial"/>
                <w:b/>
                <w:bCs/>
                <w:sz w:val="24"/>
                <w:szCs w:val="24"/>
              </w:rPr>
              <w:t>Pereira</w:t>
            </w:r>
          </w:p>
        </w:tc>
        <w:tc>
          <w:tcPr>
            <w:tcW w:w="0" w:type="auto"/>
            <w:vAlign w:val="center"/>
            <w:hideMark/>
          </w:tcPr>
          <w:p w14:paraId="549BECE3"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0.4316</w:t>
            </w:r>
          </w:p>
        </w:tc>
        <w:tc>
          <w:tcPr>
            <w:tcW w:w="0" w:type="auto"/>
            <w:vAlign w:val="center"/>
            <w:hideMark/>
          </w:tcPr>
          <w:p w14:paraId="7CDBA9E3"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0.6447</w:t>
            </w:r>
          </w:p>
        </w:tc>
        <w:tc>
          <w:tcPr>
            <w:tcW w:w="0" w:type="auto"/>
            <w:vAlign w:val="center"/>
            <w:hideMark/>
          </w:tcPr>
          <w:p w14:paraId="1211591C"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-0.2131</w:t>
            </w:r>
          </w:p>
        </w:tc>
        <w:tc>
          <w:tcPr>
            <w:tcW w:w="0" w:type="auto"/>
            <w:vAlign w:val="center"/>
            <w:hideMark/>
          </w:tcPr>
          <w:p w14:paraId="3E945386"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0.2533</w:t>
            </w:r>
          </w:p>
        </w:tc>
        <w:tc>
          <w:tcPr>
            <w:tcW w:w="0" w:type="auto"/>
            <w:vAlign w:val="center"/>
            <w:hideMark/>
          </w:tcPr>
          <w:p w14:paraId="5B55190A"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0.2557</w:t>
            </w:r>
          </w:p>
        </w:tc>
        <w:tc>
          <w:tcPr>
            <w:tcW w:w="0" w:type="auto"/>
            <w:vAlign w:val="center"/>
            <w:hideMark/>
          </w:tcPr>
          <w:p w14:paraId="6AAE7AE8" w14:textId="77777777" w:rsidR="000D0630" w:rsidRPr="00523FF9" w:rsidRDefault="000D0630" w:rsidP="000D0630">
            <w:pPr>
              <w:jc w:val="both"/>
              <w:rPr>
                <w:rFonts w:ascii="Arial" w:hAnsi="Arial" w:cs="Arial"/>
                <w:sz w:val="24"/>
                <w:szCs w:val="24"/>
              </w:rPr>
            </w:pPr>
            <w:r w:rsidRPr="00523FF9">
              <w:rPr>
                <w:rFonts w:ascii="Arial" w:hAnsi="Arial" w:cs="Arial"/>
                <w:sz w:val="24"/>
                <w:szCs w:val="24"/>
              </w:rPr>
              <w:t>-0.0024</w:t>
            </w:r>
          </w:p>
        </w:tc>
      </w:tr>
    </w:tbl>
    <w:p w14:paraId="2B4848BB" w14:textId="5F52A44C" w:rsidR="000D0630" w:rsidRPr="00444E7E" w:rsidRDefault="000D0630" w:rsidP="000D0630">
      <w:pPr>
        <w:rPr>
          <w:rFonts w:ascii="Arial" w:hAnsi="Arial" w:cs="Arial"/>
          <w:b/>
          <w:bCs/>
          <w:sz w:val="24"/>
          <w:szCs w:val="24"/>
        </w:rPr>
      </w:pPr>
    </w:p>
    <w:p w14:paraId="0F1AEDA0"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Esta integración permite concluir que el modelo es consistente en múltiples dimensiones, siempre que se consideren las diferencias en la naturaleza de los datos.</w:t>
      </w:r>
    </w:p>
    <w:p w14:paraId="69CB20EB" w14:textId="77777777" w:rsidR="000D0630" w:rsidRPr="00444E7E" w:rsidRDefault="000D0630" w:rsidP="00A9131E">
      <w:pPr>
        <w:rPr>
          <w:rFonts w:ascii="Arial" w:hAnsi="Arial" w:cs="Arial"/>
          <w:b/>
          <w:bCs/>
          <w:sz w:val="24"/>
          <w:szCs w:val="24"/>
        </w:rPr>
      </w:pPr>
    </w:p>
    <w:p w14:paraId="182DA00B"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Discusión</w:t>
      </w:r>
    </w:p>
    <w:p w14:paraId="296190A0"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Los resultados obtenidos evidencian que la comparación entre distintas fuentes de información requiere un análisis crítico de sus diferencias metodológicas, particularmente en términos de escala, definición de variables y naturaleza de los datos.</w:t>
      </w:r>
    </w:p>
    <w:p w14:paraId="1EF620AB"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En primer lugar, el nivel de agregación espacial influye directamente en la interpretación de los resultados. El clustering, al trabajar a nivel de manzana, permite capturar una mayor heterogeneidad espacial, mientras que el IPM, al estar agregado a nivel departamental, presenta una visión más general del territorio. La GEIH, por su parte, permite una validación intermedia a nivel urbano.</w:t>
      </w:r>
    </w:p>
    <w:p w14:paraId="63501217"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 xml:space="preserve">En segundo lugar, la naturaleza de los datos introduce diferencias importantes. El censo proporciona información completa de la población, mientras que la GEIH es una encuesta muestral, lo que implica la existencia de error muestral. Sin embargo, </w:t>
      </w:r>
      <w:r w:rsidRPr="00444E7E">
        <w:rPr>
          <w:rFonts w:ascii="Arial" w:hAnsi="Arial" w:cs="Arial"/>
          <w:sz w:val="24"/>
          <w:szCs w:val="24"/>
        </w:rPr>
        <w:lastRenderedPageBreak/>
        <w:t>la consistencia observada entre ambas fuentes sugiere que los patrones identificados son robustos.</w:t>
      </w:r>
    </w:p>
    <w:p w14:paraId="11D2F19F" w14:textId="73DD5FB9" w:rsidR="00533F57" w:rsidRPr="00444E7E" w:rsidRDefault="00533F57" w:rsidP="00533F57">
      <w:pPr>
        <w:jc w:val="both"/>
        <w:rPr>
          <w:rFonts w:ascii="Arial" w:hAnsi="Arial" w:cs="Arial"/>
          <w:sz w:val="24"/>
          <w:szCs w:val="24"/>
        </w:rPr>
      </w:pPr>
      <w:r w:rsidRPr="00444E7E">
        <w:rPr>
          <w:rFonts w:ascii="Arial" w:hAnsi="Arial" w:cs="Arial"/>
          <w:sz w:val="24"/>
          <w:szCs w:val="24"/>
        </w:rPr>
        <w:t>En tercer lugar, la definición de los indicadores constituye el principal desafío en la comparación. Esto es evidente en las dimensiones educativa y laboral al compararlas con el IPM, donde las diferencias en la construcción de los indicadores generan discrepancias en los valores absolutos</w:t>
      </w:r>
      <w:r w:rsidR="004D5622">
        <w:rPr>
          <w:rFonts w:ascii="Arial" w:hAnsi="Arial" w:cs="Arial"/>
          <w:sz w:val="24"/>
          <w:szCs w:val="24"/>
        </w:rPr>
        <w:t xml:space="preserve"> debido a la naturaleza de los datos.</w:t>
      </w:r>
    </w:p>
    <w:p w14:paraId="648C1E80" w14:textId="7B9BED29" w:rsidR="00533F57" w:rsidRPr="00085434" w:rsidRDefault="00533F57" w:rsidP="00085434">
      <w:pPr>
        <w:jc w:val="both"/>
        <w:rPr>
          <w:rFonts w:ascii="Arial" w:hAnsi="Arial" w:cs="Arial"/>
          <w:sz w:val="24"/>
          <w:szCs w:val="24"/>
        </w:rPr>
      </w:pPr>
    </w:p>
    <w:p w14:paraId="4448A659" w14:textId="7C0C660C" w:rsidR="00523FF9" w:rsidRPr="00085434" w:rsidRDefault="00085434" w:rsidP="00085434">
      <w:pPr>
        <w:jc w:val="both"/>
        <w:rPr>
          <w:rFonts w:ascii="Arial" w:hAnsi="Arial" w:cs="Arial"/>
          <w:sz w:val="24"/>
          <w:szCs w:val="24"/>
        </w:rPr>
      </w:pPr>
      <w:r w:rsidRPr="00085434">
        <w:rPr>
          <w:rFonts w:ascii="Arial" w:hAnsi="Arial" w:cs="Arial"/>
          <w:sz w:val="24"/>
          <w:szCs w:val="24"/>
        </w:rPr>
        <w:t>La Tabla 4 resume las principales fuentes de discrepancia identificadas durante la comparación entre fuentes. Estas diferencias deben considerarse al momento de interpretar los resultados, especialmente en las dimensiones educativa y laboral.</w:t>
      </w:r>
    </w:p>
    <w:p w14:paraId="72B0943D" w14:textId="77777777" w:rsidR="00523FF9" w:rsidRDefault="00523FF9" w:rsidP="00533F57">
      <w:pPr>
        <w:rPr>
          <w:rFonts w:ascii="Arial" w:hAnsi="Arial" w:cs="Arial"/>
          <w:b/>
          <w:bCs/>
          <w:sz w:val="24"/>
          <w:szCs w:val="24"/>
        </w:rPr>
      </w:pPr>
    </w:p>
    <w:p w14:paraId="6E7B081D" w14:textId="5205CEEF" w:rsidR="00533F57" w:rsidRPr="00523FF9" w:rsidRDefault="00523FF9" w:rsidP="00523FF9">
      <w:pPr>
        <w:pStyle w:val="Descripcin"/>
        <w:keepNext/>
      </w:pPr>
      <w:bookmarkStart w:id="5" w:name="_Toc227517146"/>
      <w:r>
        <w:t xml:space="preserve">Tabla </w:t>
      </w:r>
      <w:fldSimple w:instr=" SEQ Tabla \* ARABIC ">
        <w:r w:rsidR="00E06EA1">
          <w:rPr>
            <w:noProof/>
          </w:rPr>
          <w:t>4</w:t>
        </w:r>
      </w:fldSimple>
      <w:r>
        <w:t>: Principales fuentes de discrepancia</w:t>
      </w:r>
      <w:bookmarkEnd w:id="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2588"/>
        <w:gridCol w:w="3190"/>
      </w:tblGrid>
      <w:tr w:rsidR="00533F57" w:rsidRPr="00444E7E" w14:paraId="2BA42AF2" w14:textId="77777777" w:rsidTr="007614A1">
        <w:trPr>
          <w:tblHeader/>
          <w:tblCellSpacing w:w="15" w:type="dxa"/>
        </w:trPr>
        <w:tc>
          <w:tcPr>
            <w:tcW w:w="0" w:type="auto"/>
            <w:vAlign w:val="center"/>
            <w:hideMark/>
          </w:tcPr>
          <w:p w14:paraId="00F324CB"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Dimensión</w:t>
            </w:r>
          </w:p>
        </w:tc>
        <w:tc>
          <w:tcPr>
            <w:tcW w:w="0" w:type="auto"/>
            <w:vAlign w:val="center"/>
            <w:hideMark/>
          </w:tcPr>
          <w:p w14:paraId="0AD734B9"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Problema identificado</w:t>
            </w:r>
          </w:p>
        </w:tc>
        <w:tc>
          <w:tcPr>
            <w:tcW w:w="0" w:type="auto"/>
            <w:vAlign w:val="center"/>
            <w:hideMark/>
          </w:tcPr>
          <w:p w14:paraId="7D0E60CA"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Explicación</w:t>
            </w:r>
          </w:p>
        </w:tc>
      </w:tr>
      <w:tr w:rsidR="00533F57" w:rsidRPr="00444E7E" w14:paraId="7914F758" w14:textId="77777777" w:rsidTr="007614A1">
        <w:trPr>
          <w:tblCellSpacing w:w="15" w:type="dxa"/>
        </w:trPr>
        <w:tc>
          <w:tcPr>
            <w:tcW w:w="0" w:type="auto"/>
            <w:vAlign w:val="center"/>
            <w:hideMark/>
          </w:tcPr>
          <w:p w14:paraId="54104407" w14:textId="77777777" w:rsidR="00533F57" w:rsidRPr="00444E7E" w:rsidRDefault="00533F57" w:rsidP="00533F57">
            <w:pPr>
              <w:rPr>
                <w:rFonts w:ascii="Arial" w:hAnsi="Arial" w:cs="Arial"/>
                <w:sz w:val="24"/>
                <w:szCs w:val="24"/>
              </w:rPr>
            </w:pPr>
            <w:r w:rsidRPr="00444E7E">
              <w:rPr>
                <w:rFonts w:ascii="Arial" w:hAnsi="Arial" w:cs="Arial"/>
                <w:sz w:val="24"/>
                <w:szCs w:val="24"/>
              </w:rPr>
              <w:t>Educación</w:t>
            </w:r>
          </w:p>
        </w:tc>
        <w:tc>
          <w:tcPr>
            <w:tcW w:w="0" w:type="auto"/>
            <w:vAlign w:val="center"/>
            <w:hideMark/>
          </w:tcPr>
          <w:p w14:paraId="0F0EB0A4" w14:textId="77777777" w:rsidR="00533F57" w:rsidRPr="00444E7E" w:rsidRDefault="00533F57" w:rsidP="00533F57">
            <w:pPr>
              <w:rPr>
                <w:rFonts w:ascii="Arial" w:hAnsi="Arial" w:cs="Arial"/>
                <w:sz w:val="24"/>
                <w:szCs w:val="24"/>
              </w:rPr>
            </w:pPr>
            <w:r w:rsidRPr="00444E7E">
              <w:rPr>
                <w:rFonts w:ascii="Arial" w:hAnsi="Arial" w:cs="Arial"/>
                <w:sz w:val="24"/>
                <w:szCs w:val="24"/>
              </w:rPr>
              <w:t>Diferencia de escala</w:t>
            </w:r>
          </w:p>
        </w:tc>
        <w:tc>
          <w:tcPr>
            <w:tcW w:w="0" w:type="auto"/>
            <w:vAlign w:val="center"/>
            <w:hideMark/>
          </w:tcPr>
          <w:p w14:paraId="419B2CDD" w14:textId="77777777" w:rsidR="00533F57" w:rsidRPr="00444E7E" w:rsidRDefault="00533F57" w:rsidP="00533F57">
            <w:pPr>
              <w:rPr>
                <w:rFonts w:ascii="Arial" w:hAnsi="Arial" w:cs="Arial"/>
                <w:sz w:val="24"/>
                <w:szCs w:val="24"/>
              </w:rPr>
            </w:pPr>
            <w:r w:rsidRPr="00444E7E">
              <w:rPr>
                <w:rFonts w:ascii="Arial" w:hAnsi="Arial" w:cs="Arial"/>
                <w:sz w:val="24"/>
                <w:szCs w:val="24"/>
              </w:rPr>
              <w:t>IPM vs proporciones directas</w:t>
            </w:r>
          </w:p>
        </w:tc>
      </w:tr>
      <w:tr w:rsidR="00533F57" w:rsidRPr="00444E7E" w14:paraId="07F31396" w14:textId="77777777" w:rsidTr="007614A1">
        <w:trPr>
          <w:tblCellSpacing w:w="15" w:type="dxa"/>
        </w:trPr>
        <w:tc>
          <w:tcPr>
            <w:tcW w:w="0" w:type="auto"/>
            <w:vAlign w:val="center"/>
            <w:hideMark/>
          </w:tcPr>
          <w:p w14:paraId="3461DBBD" w14:textId="77777777" w:rsidR="00533F57" w:rsidRPr="00444E7E" w:rsidRDefault="00533F57" w:rsidP="00533F57">
            <w:pPr>
              <w:rPr>
                <w:rFonts w:ascii="Arial" w:hAnsi="Arial" w:cs="Arial"/>
                <w:sz w:val="24"/>
                <w:szCs w:val="24"/>
              </w:rPr>
            </w:pPr>
            <w:r w:rsidRPr="00444E7E">
              <w:rPr>
                <w:rFonts w:ascii="Arial" w:hAnsi="Arial" w:cs="Arial"/>
                <w:sz w:val="24"/>
                <w:szCs w:val="24"/>
              </w:rPr>
              <w:t>Laboral</w:t>
            </w:r>
          </w:p>
        </w:tc>
        <w:tc>
          <w:tcPr>
            <w:tcW w:w="0" w:type="auto"/>
            <w:vAlign w:val="center"/>
            <w:hideMark/>
          </w:tcPr>
          <w:p w14:paraId="2937A360" w14:textId="77777777" w:rsidR="00533F57" w:rsidRPr="00444E7E" w:rsidRDefault="00533F57" w:rsidP="00533F57">
            <w:pPr>
              <w:rPr>
                <w:rFonts w:ascii="Arial" w:hAnsi="Arial" w:cs="Arial"/>
                <w:sz w:val="24"/>
                <w:szCs w:val="24"/>
              </w:rPr>
            </w:pPr>
            <w:r w:rsidRPr="00444E7E">
              <w:rPr>
                <w:rFonts w:ascii="Arial" w:hAnsi="Arial" w:cs="Arial"/>
                <w:sz w:val="24"/>
                <w:szCs w:val="24"/>
              </w:rPr>
              <w:t>Diferencia conceptual</w:t>
            </w:r>
          </w:p>
        </w:tc>
        <w:tc>
          <w:tcPr>
            <w:tcW w:w="0" w:type="auto"/>
            <w:vAlign w:val="center"/>
            <w:hideMark/>
          </w:tcPr>
          <w:p w14:paraId="568358D0" w14:textId="77777777" w:rsidR="00533F57" w:rsidRPr="00444E7E" w:rsidRDefault="00533F57" w:rsidP="00533F57">
            <w:pPr>
              <w:rPr>
                <w:rFonts w:ascii="Arial" w:hAnsi="Arial" w:cs="Arial"/>
                <w:sz w:val="24"/>
                <w:szCs w:val="24"/>
              </w:rPr>
            </w:pPr>
            <w:r w:rsidRPr="00444E7E">
              <w:rPr>
                <w:rFonts w:ascii="Arial" w:hAnsi="Arial" w:cs="Arial"/>
                <w:sz w:val="24"/>
                <w:szCs w:val="24"/>
              </w:rPr>
              <w:t>Ocupación vs empleo formal</w:t>
            </w:r>
          </w:p>
        </w:tc>
      </w:tr>
      <w:tr w:rsidR="00533F57" w:rsidRPr="00444E7E" w14:paraId="1402A603" w14:textId="77777777" w:rsidTr="007614A1">
        <w:trPr>
          <w:tblCellSpacing w:w="15" w:type="dxa"/>
        </w:trPr>
        <w:tc>
          <w:tcPr>
            <w:tcW w:w="0" w:type="auto"/>
            <w:vAlign w:val="center"/>
            <w:hideMark/>
          </w:tcPr>
          <w:p w14:paraId="134303D0" w14:textId="77777777" w:rsidR="00533F57" w:rsidRPr="00444E7E" w:rsidRDefault="00533F57" w:rsidP="00533F57">
            <w:pPr>
              <w:rPr>
                <w:rFonts w:ascii="Arial" w:hAnsi="Arial" w:cs="Arial"/>
                <w:sz w:val="24"/>
                <w:szCs w:val="24"/>
              </w:rPr>
            </w:pPr>
            <w:r w:rsidRPr="00444E7E">
              <w:rPr>
                <w:rFonts w:ascii="Arial" w:hAnsi="Arial" w:cs="Arial"/>
                <w:sz w:val="24"/>
                <w:szCs w:val="24"/>
              </w:rPr>
              <w:t>Escolaridad</w:t>
            </w:r>
          </w:p>
        </w:tc>
        <w:tc>
          <w:tcPr>
            <w:tcW w:w="0" w:type="auto"/>
            <w:vAlign w:val="center"/>
            <w:hideMark/>
          </w:tcPr>
          <w:p w14:paraId="0CF5FD62" w14:textId="77777777" w:rsidR="00533F57" w:rsidRPr="00444E7E" w:rsidRDefault="00533F57" w:rsidP="00533F57">
            <w:pPr>
              <w:rPr>
                <w:rFonts w:ascii="Arial" w:hAnsi="Arial" w:cs="Arial"/>
                <w:sz w:val="24"/>
                <w:szCs w:val="24"/>
              </w:rPr>
            </w:pPr>
            <w:r w:rsidRPr="00444E7E">
              <w:rPr>
                <w:rFonts w:ascii="Arial" w:hAnsi="Arial" w:cs="Arial"/>
                <w:sz w:val="24"/>
                <w:szCs w:val="24"/>
              </w:rPr>
              <w:t>Diferencia de medición</w:t>
            </w:r>
          </w:p>
        </w:tc>
        <w:tc>
          <w:tcPr>
            <w:tcW w:w="0" w:type="auto"/>
            <w:vAlign w:val="center"/>
            <w:hideMark/>
          </w:tcPr>
          <w:p w14:paraId="540662A1" w14:textId="77777777" w:rsidR="00533F57" w:rsidRPr="00444E7E" w:rsidRDefault="00533F57" w:rsidP="00533F57">
            <w:pPr>
              <w:rPr>
                <w:rFonts w:ascii="Arial" w:hAnsi="Arial" w:cs="Arial"/>
                <w:sz w:val="24"/>
                <w:szCs w:val="24"/>
              </w:rPr>
            </w:pPr>
            <w:r w:rsidRPr="00444E7E">
              <w:rPr>
                <w:rFonts w:ascii="Arial" w:hAnsi="Arial" w:cs="Arial"/>
                <w:sz w:val="24"/>
                <w:szCs w:val="24"/>
              </w:rPr>
              <w:t>Años vs categorías</w:t>
            </w:r>
          </w:p>
        </w:tc>
      </w:tr>
      <w:tr w:rsidR="00533F57" w:rsidRPr="00444E7E" w14:paraId="30E3BE5C" w14:textId="77777777" w:rsidTr="007614A1">
        <w:trPr>
          <w:tblCellSpacing w:w="15" w:type="dxa"/>
        </w:trPr>
        <w:tc>
          <w:tcPr>
            <w:tcW w:w="0" w:type="auto"/>
            <w:vAlign w:val="center"/>
            <w:hideMark/>
          </w:tcPr>
          <w:p w14:paraId="44A78DAB" w14:textId="77777777" w:rsidR="00533F57" w:rsidRPr="00444E7E" w:rsidRDefault="00533F57" w:rsidP="00533F57">
            <w:pPr>
              <w:rPr>
                <w:rFonts w:ascii="Arial" w:hAnsi="Arial" w:cs="Arial"/>
                <w:sz w:val="24"/>
                <w:szCs w:val="24"/>
              </w:rPr>
            </w:pPr>
            <w:r w:rsidRPr="00444E7E">
              <w:rPr>
                <w:rFonts w:ascii="Arial" w:hAnsi="Arial" w:cs="Arial"/>
                <w:sz w:val="24"/>
                <w:szCs w:val="24"/>
              </w:rPr>
              <w:t>Territorial</w:t>
            </w:r>
          </w:p>
        </w:tc>
        <w:tc>
          <w:tcPr>
            <w:tcW w:w="0" w:type="auto"/>
            <w:vAlign w:val="center"/>
            <w:hideMark/>
          </w:tcPr>
          <w:p w14:paraId="6AF2A505" w14:textId="77777777" w:rsidR="00533F57" w:rsidRPr="00444E7E" w:rsidRDefault="00533F57" w:rsidP="00533F57">
            <w:pPr>
              <w:rPr>
                <w:rFonts w:ascii="Arial" w:hAnsi="Arial" w:cs="Arial"/>
                <w:sz w:val="24"/>
                <w:szCs w:val="24"/>
              </w:rPr>
            </w:pPr>
            <w:r w:rsidRPr="00444E7E">
              <w:rPr>
                <w:rFonts w:ascii="Arial" w:hAnsi="Arial" w:cs="Arial"/>
                <w:sz w:val="24"/>
                <w:szCs w:val="24"/>
              </w:rPr>
              <w:t>Nivel de agregación</w:t>
            </w:r>
          </w:p>
        </w:tc>
        <w:tc>
          <w:tcPr>
            <w:tcW w:w="0" w:type="auto"/>
            <w:vAlign w:val="center"/>
            <w:hideMark/>
          </w:tcPr>
          <w:p w14:paraId="79B1B117" w14:textId="77777777" w:rsidR="00533F57" w:rsidRPr="00444E7E" w:rsidRDefault="00533F57" w:rsidP="00533F57">
            <w:pPr>
              <w:rPr>
                <w:rFonts w:ascii="Arial" w:hAnsi="Arial" w:cs="Arial"/>
                <w:sz w:val="24"/>
                <w:szCs w:val="24"/>
              </w:rPr>
            </w:pPr>
            <w:r w:rsidRPr="00444E7E">
              <w:rPr>
                <w:rFonts w:ascii="Arial" w:hAnsi="Arial" w:cs="Arial"/>
                <w:sz w:val="24"/>
                <w:szCs w:val="24"/>
              </w:rPr>
              <w:t>Ciudad vs departamento</w:t>
            </w:r>
          </w:p>
        </w:tc>
      </w:tr>
    </w:tbl>
    <w:p w14:paraId="2C0AA4C4" w14:textId="5F75A34D" w:rsidR="00533F57" w:rsidRPr="00444E7E" w:rsidRDefault="00533F57" w:rsidP="00533F57">
      <w:pPr>
        <w:rPr>
          <w:rFonts w:ascii="Arial" w:hAnsi="Arial" w:cs="Arial"/>
          <w:b/>
          <w:bCs/>
          <w:sz w:val="24"/>
          <w:szCs w:val="24"/>
        </w:rPr>
      </w:pPr>
    </w:p>
    <w:p w14:paraId="2F5FC8C6" w14:textId="77777777" w:rsidR="00533F57" w:rsidRPr="00444E7E" w:rsidRDefault="00533F57" w:rsidP="00533F57">
      <w:pPr>
        <w:rPr>
          <w:rFonts w:ascii="Arial" w:hAnsi="Arial" w:cs="Arial"/>
          <w:sz w:val="24"/>
          <w:szCs w:val="24"/>
        </w:rPr>
      </w:pPr>
      <w:r w:rsidRPr="00444E7E">
        <w:rPr>
          <w:rFonts w:ascii="Arial" w:hAnsi="Arial" w:cs="Arial"/>
          <w:sz w:val="24"/>
          <w:szCs w:val="24"/>
        </w:rPr>
        <w:t>A pesar de estas diferencias, el análisis demuestra que los patrones relativos entre ciudades se mantienen, lo que refuerza la validez del modelo.</w:t>
      </w:r>
    </w:p>
    <w:p w14:paraId="32C57528" w14:textId="029DCB65" w:rsidR="00533F57" w:rsidRPr="00444E7E" w:rsidRDefault="00533F57" w:rsidP="00533F57">
      <w:pPr>
        <w:rPr>
          <w:rFonts w:ascii="Arial" w:hAnsi="Arial" w:cs="Arial"/>
          <w:b/>
          <w:bCs/>
          <w:sz w:val="24"/>
          <w:szCs w:val="24"/>
        </w:rPr>
      </w:pPr>
      <w:r w:rsidRPr="00444E7E">
        <w:rPr>
          <w:rFonts w:ascii="Arial" w:hAnsi="Arial" w:cs="Arial"/>
          <w:b/>
          <w:bCs/>
          <w:sz w:val="24"/>
          <w:szCs w:val="24"/>
        </w:rPr>
        <w:t>Conclusiones</w:t>
      </w:r>
      <w:r w:rsidR="00A67CFF" w:rsidRPr="00444E7E">
        <w:rPr>
          <w:rFonts w:ascii="Arial" w:hAnsi="Arial" w:cs="Arial"/>
          <w:b/>
          <w:bCs/>
          <w:sz w:val="24"/>
          <w:szCs w:val="24"/>
        </w:rPr>
        <w:t xml:space="preserve"> de comparación</w:t>
      </w:r>
      <w:r w:rsidRPr="00444E7E">
        <w:rPr>
          <w:rFonts w:ascii="Arial" w:hAnsi="Arial" w:cs="Arial"/>
          <w:b/>
          <w:bCs/>
          <w:sz w:val="24"/>
          <w:szCs w:val="24"/>
        </w:rPr>
        <w:t xml:space="preserve"> </w:t>
      </w:r>
    </w:p>
    <w:p w14:paraId="5C2C4DE8"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El análisis comparativo desarrollado permite concluir que el modelo de clustering basado en el Censo DANE 2018 presenta una alta capacidad para capturar patrones de desigualdad socioeconómica a nivel territorial.</w:t>
      </w:r>
    </w:p>
    <w:p w14:paraId="2AB596F9"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La validación con el IPM evidenció que el modelo reproduce adecuadamente la estructura general del territorio, particularmente en las dimensiones de servicios y pobreza multidimensional. Estas dimensiones presentan una alta coherencia entre ciudades y departamentos, lo que confirma la robustez del modelo en la representación de condiciones estructurales.</w:t>
      </w:r>
    </w:p>
    <w:p w14:paraId="136D9232" w14:textId="382BF05A" w:rsidR="00533F57" w:rsidRPr="00444E7E" w:rsidRDefault="00533F57" w:rsidP="00533F57">
      <w:pPr>
        <w:jc w:val="both"/>
        <w:rPr>
          <w:rFonts w:ascii="Arial" w:hAnsi="Arial" w:cs="Arial"/>
          <w:sz w:val="24"/>
          <w:szCs w:val="24"/>
        </w:rPr>
      </w:pPr>
      <w:r w:rsidRPr="00444E7E">
        <w:rPr>
          <w:rFonts w:ascii="Arial" w:hAnsi="Arial" w:cs="Arial"/>
          <w:sz w:val="24"/>
          <w:szCs w:val="24"/>
        </w:rPr>
        <w:t xml:space="preserve">Por otro lado, la incorporación de la GEIH permitió validar dimensiones específicas a nivel urbano, </w:t>
      </w:r>
      <w:r w:rsidR="004D5622">
        <w:rPr>
          <w:rFonts w:ascii="Arial" w:hAnsi="Arial" w:cs="Arial"/>
          <w:sz w:val="24"/>
          <w:szCs w:val="24"/>
        </w:rPr>
        <w:t>específicamente</w:t>
      </w:r>
      <w:r w:rsidRPr="00444E7E">
        <w:rPr>
          <w:rFonts w:ascii="Arial" w:hAnsi="Arial" w:cs="Arial"/>
          <w:sz w:val="24"/>
          <w:szCs w:val="24"/>
        </w:rPr>
        <w:t xml:space="preserve"> educación y empleo. En estos casos, se evidenció que las discrepancias observadas con el IPM no corresponden a fallas del modelo, sino a diferencias en la definición de los indicadores.</w:t>
      </w:r>
    </w:p>
    <w:p w14:paraId="1C58E764" w14:textId="76E03EF9" w:rsidR="00085434" w:rsidRPr="00085434" w:rsidRDefault="00085434" w:rsidP="00085434">
      <w:pPr>
        <w:rPr>
          <w:rFonts w:ascii="Arial" w:hAnsi="Arial" w:cs="Arial"/>
          <w:sz w:val="24"/>
          <w:szCs w:val="24"/>
        </w:rPr>
      </w:pPr>
      <w:r w:rsidRPr="00085434">
        <w:rPr>
          <w:rFonts w:ascii="Arial" w:hAnsi="Arial" w:cs="Arial"/>
          <w:sz w:val="24"/>
          <w:szCs w:val="24"/>
        </w:rPr>
        <w:lastRenderedPageBreak/>
        <w:t>La Tabla 5 presenta una síntesis final del papel que cumple cada fuente dentro del proceso de validación del modelo. Esta organización permite diferenciar entre la fuente utilizada para construir el análisis y las fuentes empleadas para contrastarlo.</w:t>
      </w:r>
      <w:bookmarkStart w:id="6" w:name="_Toc227517147"/>
    </w:p>
    <w:p w14:paraId="514CB750" w14:textId="77777777" w:rsidR="00085434" w:rsidRDefault="00085434" w:rsidP="00523FF9">
      <w:pPr>
        <w:pStyle w:val="Descripcin"/>
      </w:pPr>
    </w:p>
    <w:p w14:paraId="05BDC6CE" w14:textId="19B1B3D5" w:rsidR="00533F57" w:rsidRPr="00444E7E" w:rsidRDefault="00523FF9" w:rsidP="00523FF9">
      <w:pPr>
        <w:pStyle w:val="Descripcin"/>
        <w:rPr>
          <w:rFonts w:ascii="Arial" w:hAnsi="Arial" w:cs="Arial"/>
          <w:b/>
          <w:bCs/>
          <w:sz w:val="24"/>
          <w:szCs w:val="24"/>
        </w:rPr>
      </w:pPr>
      <w:r>
        <w:t xml:space="preserve">Tabla </w:t>
      </w:r>
      <w:fldSimple w:instr=" SEQ Tabla \* ARABIC ">
        <w:r w:rsidR="00E06EA1">
          <w:rPr>
            <w:noProof/>
          </w:rPr>
          <w:t>5</w:t>
        </w:r>
      </w:fldSimple>
      <w:r>
        <w:t xml:space="preserve">: </w:t>
      </w:r>
      <w:r w:rsidRPr="00523FF9">
        <w:t>Síntesis final de validación</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1601"/>
        <w:gridCol w:w="2722"/>
        <w:gridCol w:w="2723"/>
      </w:tblGrid>
      <w:tr w:rsidR="00533F57" w:rsidRPr="00444E7E" w14:paraId="290FDA10" w14:textId="77777777" w:rsidTr="007614A1">
        <w:trPr>
          <w:tblHeader/>
          <w:tblCellSpacing w:w="15" w:type="dxa"/>
        </w:trPr>
        <w:tc>
          <w:tcPr>
            <w:tcW w:w="0" w:type="auto"/>
            <w:vAlign w:val="center"/>
            <w:hideMark/>
          </w:tcPr>
          <w:p w14:paraId="5C80796B"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Fuente</w:t>
            </w:r>
          </w:p>
        </w:tc>
        <w:tc>
          <w:tcPr>
            <w:tcW w:w="0" w:type="auto"/>
            <w:vAlign w:val="center"/>
            <w:hideMark/>
          </w:tcPr>
          <w:p w14:paraId="47BEDAA2"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Nivel</w:t>
            </w:r>
          </w:p>
        </w:tc>
        <w:tc>
          <w:tcPr>
            <w:tcW w:w="0" w:type="auto"/>
            <w:vAlign w:val="center"/>
            <w:hideMark/>
          </w:tcPr>
          <w:p w14:paraId="7FD64DBE"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Rol en el análisis</w:t>
            </w:r>
          </w:p>
        </w:tc>
        <w:tc>
          <w:tcPr>
            <w:tcW w:w="0" w:type="auto"/>
            <w:vAlign w:val="center"/>
            <w:hideMark/>
          </w:tcPr>
          <w:p w14:paraId="5B716A82"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Resultado</w:t>
            </w:r>
          </w:p>
        </w:tc>
      </w:tr>
      <w:tr w:rsidR="00533F57" w:rsidRPr="00444E7E" w14:paraId="517F0000" w14:textId="77777777" w:rsidTr="007614A1">
        <w:trPr>
          <w:tblCellSpacing w:w="15" w:type="dxa"/>
        </w:trPr>
        <w:tc>
          <w:tcPr>
            <w:tcW w:w="0" w:type="auto"/>
            <w:vAlign w:val="center"/>
            <w:hideMark/>
          </w:tcPr>
          <w:p w14:paraId="602D73AC" w14:textId="77777777" w:rsidR="00533F57" w:rsidRPr="00444E7E" w:rsidRDefault="00533F57" w:rsidP="00533F57">
            <w:pPr>
              <w:rPr>
                <w:rFonts w:ascii="Arial" w:hAnsi="Arial" w:cs="Arial"/>
                <w:sz w:val="24"/>
                <w:szCs w:val="24"/>
              </w:rPr>
            </w:pPr>
            <w:r w:rsidRPr="00444E7E">
              <w:rPr>
                <w:rFonts w:ascii="Arial" w:hAnsi="Arial" w:cs="Arial"/>
                <w:sz w:val="24"/>
                <w:szCs w:val="24"/>
              </w:rPr>
              <w:t>Censo DANE</w:t>
            </w:r>
          </w:p>
        </w:tc>
        <w:tc>
          <w:tcPr>
            <w:tcW w:w="0" w:type="auto"/>
            <w:vAlign w:val="center"/>
            <w:hideMark/>
          </w:tcPr>
          <w:p w14:paraId="4ABB81D9" w14:textId="77777777" w:rsidR="00533F57" w:rsidRPr="00444E7E" w:rsidRDefault="00533F57" w:rsidP="00533F57">
            <w:pPr>
              <w:rPr>
                <w:rFonts w:ascii="Arial" w:hAnsi="Arial" w:cs="Arial"/>
                <w:sz w:val="24"/>
                <w:szCs w:val="24"/>
              </w:rPr>
            </w:pPr>
            <w:r w:rsidRPr="00444E7E">
              <w:rPr>
                <w:rFonts w:ascii="Arial" w:hAnsi="Arial" w:cs="Arial"/>
                <w:sz w:val="24"/>
                <w:szCs w:val="24"/>
              </w:rPr>
              <w:t>Manzana</w:t>
            </w:r>
          </w:p>
        </w:tc>
        <w:tc>
          <w:tcPr>
            <w:tcW w:w="0" w:type="auto"/>
            <w:vAlign w:val="center"/>
            <w:hideMark/>
          </w:tcPr>
          <w:p w14:paraId="16713F0C" w14:textId="77777777" w:rsidR="00533F57" w:rsidRPr="00444E7E" w:rsidRDefault="00533F57" w:rsidP="00533F57">
            <w:pPr>
              <w:rPr>
                <w:rFonts w:ascii="Arial" w:hAnsi="Arial" w:cs="Arial"/>
                <w:sz w:val="24"/>
                <w:szCs w:val="24"/>
              </w:rPr>
            </w:pPr>
            <w:r w:rsidRPr="00444E7E">
              <w:rPr>
                <w:rFonts w:ascii="Arial" w:hAnsi="Arial" w:cs="Arial"/>
                <w:sz w:val="24"/>
                <w:szCs w:val="24"/>
              </w:rPr>
              <w:t>Construcción del modelo</w:t>
            </w:r>
          </w:p>
        </w:tc>
        <w:tc>
          <w:tcPr>
            <w:tcW w:w="0" w:type="auto"/>
            <w:vAlign w:val="center"/>
            <w:hideMark/>
          </w:tcPr>
          <w:p w14:paraId="118C6157" w14:textId="77777777" w:rsidR="00533F57" w:rsidRPr="00444E7E" w:rsidRDefault="00533F57" w:rsidP="00533F57">
            <w:pPr>
              <w:rPr>
                <w:rFonts w:ascii="Arial" w:hAnsi="Arial" w:cs="Arial"/>
                <w:sz w:val="24"/>
                <w:szCs w:val="24"/>
              </w:rPr>
            </w:pPr>
            <w:r w:rsidRPr="00444E7E">
              <w:rPr>
                <w:rFonts w:ascii="Arial" w:hAnsi="Arial" w:cs="Arial"/>
                <w:sz w:val="24"/>
                <w:szCs w:val="24"/>
              </w:rPr>
              <w:t>Base analítica</w:t>
            </w:r>
          </w:p>
        </w:tc>
      </w:tr>
      <w:tr w:rsidR="00533F57" w:rsidRPr="00444E7E" w14:paraId="36658C0E" w14:textId="77777777" w:rsidTr="007614A1">
        <w:trPr>
          <w:tblCellSpacing w:w="15" w:type="dxa"/>
        </w:trPr>
        <w:tc>
          <w:tcPr>
            <w:tcW w:w="0" w:type="auto"/>
            <w:vAlign w:val="center"/>
            <w:hideMark/>
          </w:tcPr>
          <w:p w14:paraId="102FDF16" w14:textId="77777777" w:rsidR="00533F57" w:rsidRPr="00444E7E" w:rsidRDefault="00533F57" w:rsidP="00533F57">
            <w:pPr>
              <w:rPr>
                <w:rFonts w:ascii="Arial" w:hAnsi="Arial" w:cs="Arial"/>
                <w:sz w:val="24"/>
                <w:szCs w:val="24"/>
              </w:rPr>
            </w:pPr>
            <w:r w:rsidRPr="00444E7E">
              <w:rPr>
                <w:rFonts w:ascii="Arial" w:hAnsi="Arial" w:cs="Arial"/>
                <w:sz w:val="24"/>
                <w:szCs w:val="24"/>
              </w:rPr>
              <w:t>IPM</w:t>
            </w:r>
          </w:p>
        </w:tc>
        <w:tc>
          <w:tcPr>
            <w:tcW w:w="0" w:type="auto"/>
            <w:vAlign w:val="center"/>
            <w:hideMark/>
          </w:tcPr>
          <w:p w14:paraId="178E15BA" w14:textId="77777777" w:rsidR="00533F57" w:rsidRPr="00444E7E" w:rsidRDefault="00533F57" w:rsidP="00533F57">
            <w:pPr>
              <w:rPr>
                <w:rFonts w:ascii="Arial" w:hAnsi="Arial" w:cs="Arial"/>
                <w:sz w:val="24"/>
                <w:szCs w:val="24"/>
              </w:rPr>
            </w:pPr>
            <w:r w:rsidRPr="00444E7E">
              <w:rPr>
                <w:rFonts w:ascii="Arial" w:hAnsi="Arial" w:cs="Arial"/>
                <w:sz w:val="24"/>
                <w:szCs w:val="24"/>
              </w:rPr>
              <w:t>Departamento</w:t>
            </w:r>
          </w:p>
        </w:tc>
        <w:tc>
          <w:tcPr>
            <w:tcW w:w="0" w:type="auto"/>
            <w:vAlign w:val="center"/>
            <w:hideMark/>
          </w:tcPr>
          <w:p w14:paraId="40E44607" w14:textId="77777777" w:rsidR="00533F57" w:rsidRPr="00444E7E" w:rsidRDefault="00533F57" w:rsidP="00533F57">
            <w:pPr>
              <w:rPr>
                <w:rFonts w:ascii="Arial" w:hAnsi="Arial" w:cs="Arial"/>
                <w:sz w:val="24"/>
                <w:szCs w:val="24"/>
              </w:rPr>
            </w:pPr>
            <w:r w:rsidRPr="00444E7E">
              <w:rPr>
                <w:rFonts w:ascii="Arial" w:hAnsi="Arial" w:cs="Arial"/>
                <w:sz w:val="24"/>
                <w:szCs w:val="24"/>
              </w:rPr>
              <w:t>Validación estructural</w:t>
            </w:r>
          </w:p>
        </w:tc>
        <w:tc>
          <w:tcPr>
            <w:tcW w:w="0" w:type="auto"/>
            <w:vAlign w:val="center"/>
            <w:hideMark/>
          </w:tcPr>
          <w:p w14:paraId="105F62FF" w14:textId="77777777" w:rsidR="00533F57" w:rsidRPr="00444E7E" w:rsidRDefault="00533F57" w:rsidP="00533F57">
            <w:pPr>
              <w:rPr>
                <w:rFonts w:ascii="Arial" w:hAnsi="Arial" w:cs="Arial"/>
                <w:sz w:val="24"/>
                <w:szCs w:val="24"/>
              </w:rPr>
            </w:pPr>
            <w:r w:rsidRPr="00444E7E">
              <w:rPr>
                <w:rFonts w:ascii="Arial" w:hAnsi="Arial" w:cs="Arial"/>
                <w:sz w:val="24"/>
                <w:szCs w:val="24"/>
              </w:rPr>
              <w:t>Alta coherencia</w:t>
            </w:r>
          </w:p>
        </w:tc>
      </w:tr>
      <w:tr w:rsidR="00533F57" w:rsidRPr="00444E7E" w14:paraId="57B0ADD3" w14:textId="77777777" w:rsidTr="007614A1">
        <w:trPr>
          <w:tblCellSpacing w:w="15" w:type="dxa"/>
        </w:trPr>
        <w:tc>
          <w:tcPr>
            <w:tcW w:w="0" w:type="auto"/>
            <w:vAlign w:val="center"/>
            <w:hideMark/>
          </w:tcPr>
          <w:p w14:paraId="70BAD07F" w14:textId="77777777" w:rsidR="00533F57" w:rsidRPr="00444E7E" w:rsidRDefault="00533F57" w:rsidP="00533F57">
            <w:pPr>
              <w:rPr>
                <w:rFonts w:ascii="Arial" w:hAnsi="Arial" w:cs="Arial"/>
                <w:sz w:val="24"/>
                <w:szCs w:val="24"/>
              </w:rPr>
            </w:pPr>
            <w:r w:rsidRPr="00444E7E">
              <w:rPr>
                <w:rFonts w:ascii="Arial" w:hAnsi="Arial" w:cs="Arial"/>
                <w:sz w:val="24"/>
                <w:szCs w:val="24"/>
              </w:rPr>
              <w:t>GEIH</w:t>
            </w:r>
          </w:p>
        </w:tc>
        <w:tc>
          <w:tcPr>
            <w:tcW w:w="0" w:type="auto"/>
            <w:vAlign w:val="center"/>
            <w:hideMark/>
          </w:tcPr>
          <w:p w14:paraId="49DD890E" w14:textId="77777777" w:rsidR="00533F57" w:rsidRPr="00444E7E" w:rsidRDefault="00533F57" w:rsidP="00533F57">
            <w:pPr>
              <w:rPr>
                <w:rFonts w:ascii="Arial" w:hAnsi="Arial" w:cs="Arial"/>
                <w:sz w:val="24"/>
                <w:szCs w:val="24"/>
              </w:rPr>
            </w:pPr>
            <w:r w:rsidRPr="00444E7E">
              <w:rPr>
                <w:rFonts w:ascii="Arial" w:hAnsi="Arial" w:cs="Arial"/>
                <w:sz w:val="24"/>
                <w:szCs w:val="24"/>
              </w:rPr>
              <w:t>Ciudad</w:t>
            </w:r>
          </w:p>
        </w:tc>
        <w:tc>
          <w:tcPr>
            <w:tcW w:w="0" w:type="auto"/>
            <w:vAlign w:val="center"/>
            <w:hideMark/>
          </w:tcPr>
          <w:p w14:paraId="52DFADBC" w14:textId="77777777" w:rsidR="00533F57" w:rsidRPr="00444E7E" w:rsidRDefault="00533F57" w:rsidP="00533F57">
            <w:pPr>
              <w:rPr>
                <w:rFonts w:ascii="Arial" w:hAnsi="Arial" w:cs="Arial"/>
                <w:sz w:val="24"/>
                <w:szCs w:val="24"/>
              </w:rPr>
            </w:pPr>
            <w:r w:rsidRPr="00444E7E">
              <w:rPr>
                <w:rFonts w:ascii="Arial" w:hAnsi="Arial" w:cs="Arial"/>
                <w:sz w:val="24"/>
                <w:szCs w:val="24"/>
              </w:rPr>
              <w:t>Validación urbana</w:t>
            </w:r>
          </w:p>
        </w:tc>
        <w:tc>
          <w:tcPr>
            <w:tcW w:w="0" w:type="auto"/>
            <w:vAlign w:val="center"/>
            <w:hideMark/>
          </w:tcPr>
          <w:p w14:paraId="6A18E25B" w14:textId="77777777" w:rsidR="00533F57" w:rsidRPr="00444E7E" w:rsidRDefault="00533F57" w:rsidP="00533F57">
            <w:pPr>
              <w:rPr>
                <w:rFonts w:ascii="Arial" w:hAnsi="Arial" w:cs="Arial"/>
                <w:sz w:val="24"/>
                <w:szCs w:val="24"/>
              </w:rPr>
            </w:pPr>
            <w:r w:rsidRPr="00444E7E">
              <w:rPr>
                <w:rFonts w:ascii="Arial" w:hAnsi="Arial" w:cs="Arial"/>
                <w:sz w:val="24"/>
                <w:szCs w:val="24"/>
              </w:rPr>
              <w:t>Consistencia confirmada</w:t>
            </w:r>
          </w:p>
        </w:tc>
      </w:tr>
    </w:tbl>
    <w:p w14:paraId="30095FA7" w14:textId="37ABF4DB" w:rsidR="00533F57" w:rsidRPr="00444E7E" w:rsidRDefault="00533F57" w:rsidP="00533F57">
      <w:pPr>
        <w:rPr>
          <w:rFonts w:ascii="Arial" w:hAnsi="Arial" w:cs="Arial"/>
          <w:b/>
          <w:bCs/>
          <w:sz w:val="24"/>
          <w:szCs w:val="24"/>
        </w:rPr>
      </w:pPr>
    </w:p>
    <w:p w14:paraId="234B6C8B" w14:textId="77777777" w:rsidR="00FA0BD2" w:rsidRDefault="00FA0BD2" w:rsidP="00533F57">
      <w:pPr>
        <w:jc w:val="both"/>
        <w:rPr>
          <w:rFonts w:ascii="Arial" w:hAnsi="Arial" w:cs="Arial"/>
          <w:sz w:val="24"/>
          <w:szCs w:val="24"/>
        </w:rPr>
      </w:pPr>
      <w:r w:rsidRPr="00FA0BD2">
        <w:rPr>
          <w:rFonts w:ascii="Arial" w:hAnsi="Arial" w:cs="Arial"/>
          <w:sz w:val="24"/>
          <w:szCs w:val="24"/>
        </w:rPr>
        <w:t>En conjunto, los resultados muestran que el modelo de clustering es consistente con las fuentes oficiales utilizadas para la comparación. El IPM respalda la lectura estructural del territorio, especialmente en servicios y pobreza multidimensional, mientras que la GEIH permite complementar la validación de las dimensiones educativa y laboral a nivel urbano.</w:t>
      </w:r>
    </w:p>
    <w:p w14:paraId="1B4DBC24" w14:textId="5F38DB8C" w:rsidR="00533F57" w:rsidRPr="00444E7E" w:rsidRDefault="00533F57" w:rsidP="00533F57">
      <w:pPr>
        <w:jc w:val="both"/>
        <w:rPr>
          <w:rFonts w:ascii="Arial" w:hAnsi="Arial" w:cs="Arial"/>
          <w:sz w:val="24"/>
          <w:szCs w:val="24"/>
        </w:rPr>
      </w:pPr>
      <w:r w:rsidRPr="00444E7E">
        <w:rPr>
          <w:rFonts w:ascii="Arial" w:hAnsi="Arial" w:cs="Arial"/>
          <w:sz w:val="24"/>
          <w:szCs w:val="24"/>
        </w:rPr>
        <w:t>La triangulación de fuentes constituye uno de los principales aportes del análisis, ya que permite validar los resultados desde diferentes perspectivas y reducir la incertidumbre en la interpretación. En este sentido, el modelo no solo reproduce patrones observados, sino que también ofrece una herramienta sólida para el análisis territorial de la desigualdad.</w:t>
      </w:r>
    </w:p>
    <w:p w14:paraId="10377989" w14:textId="098E07FC" w:rsidR="00533F57" w:rsidRPr="00444E7E" w:rsidRDefault="00533F57" w:rsidP="00533F57">
      <w:pPr>
        <w:jc w:val="both"/>
        <w:rPr>
          <w:rFonts w:ascii="Arial" w:hAnsi="Arial" w:cs="Arial"/>
          <w:sz w:val="24"/>
          <w:szCs w:val="24"/>
        </w:rPr>
      </w:pPr>
      <w:r w:rsidRPr="00444E7E">
        <w:rPr>
          <w:rFonts w:ascii="Arial" w:hAnsi="Arial" w:cs="Arial"/>
          <w:sz w:val="24"/>
          <w:szCs w:val="24"/>
        </w:rPr>
        <w:t>Finalmente, este estudio resalta la importancia de integrar múltiples fuentes de información en el análisis socioeconómico. El IPM permite comprender la estructura general del territorio, mientras que la GEIH aporta una visión más detallada de las dinámicas urbanas. La combinación de ambas fuentes, junto con el modelo de clustering, permite construir una visión integral del fenómeno de la desigualdad</w:t>
      </w:r>
      <w:r w:rsidR="004D5622">
        <w:rPr>
          <w:rFonts w:ascii="Arial" w:hAnsi="Arial" w:cs="Arial"/>
          <w:sz w:val="24"/>
          <w:szCs w:val="24"/>
        </w:rPr>
        <w:t xml:space="preserve"> dentro de los territorios seleccionados</w:t>
      </w:r>
      <w:r w:rsidRPr="00444E7E">
        <w:rPr>
          <w:rFonts w:ascii="Arial" w:hAnsi="Arial" w:cs="Arial"/>
          <w:sz w:val="24"/>
          <w:szCs w:val="24"/>
        </w:rPr>
        <w:t>.</w:t>
      </w:r>
    </w:p>
    <w:p w14:paraId="2FF76BE9" w14:textId="77777777" w:rsidR="008F5EC8" w:rsidRPr="00444E7E" w:rsidRDefault="008F5EC8" w:rsidP="00A9131E">
      <w:pPr>
        <w:rPr>
          <w:rFonts w:ascii="Arial" w:hAnsi="Arial" w:cs="Arial"/>
          <w:b/>
          <w:bCs/>
          <w:sz w:val="24"/>
          <w:szCs w:val="24"/>
        </w:rPr>
      </w:pPr>
    </w:p>
    <w:p w14:paraId="368FC15B" w14:textId="5DDC66E6" w:rsidR="00A67CFF" w:rsidRPr="00444E7E" w:rsidRDefault="00A67CFF" w:rsidP="00A67CFF">
      <w:pPr>
        <w:rPr>
          <w:rFonts w:ascii="Arial" w:hAnsi="Arial" w:cs="Arial"/>
          <w:b/>
          <w:bCs/>
          <w:sz w:val="24"/>
          <w:szCs w:val="24"/>
        </w:rPr>
      </w:pPr>
      <w:r w:rsidRPr="00444E7E">
        <w:rPr>
          <w:rFonts w:ascii="Arial" w:hAnsi="Arial" w:cs="Arial"/>
          <w:b/>
          <w:bCs/>
          <w:sz w:val="24"/>
          <w:szCs w:val="24"/>
        </w:rPr>
        <w:t>Validación espacial del modelo de clustering</w:t>
      </w:r>
    </w:p>
    <w:p w14:paraId="43F988E4" w14:textId="11EEACFF" w:rsidR="00A67CFF" w:rsidRDefault="00A67CFF" w:rsidP="00A67CFF">
      <w:pPr>
        <w:jc w:val="both"/>
        <w:rPr>
          <w:rFonts w:ascii="Arial" w:hAnsi="Arial" w:cs="Arial"/>
          <w:sz w:val="24"/>
          <w:szCs w:val="24"/>
        </w:rPr>
      </w:pPr>
      <w:r w:rsidRPr="00444E7E">
        <w:rPr>
          <w:rFonts w:ascii="Arial" w:hAnsi="Arial" w:cs="Arial"/>
          <w:sz w:val="24"/>
          <w:szCs w:val="24"/>
        </w:rPr>
        <w:t>Como complemento al análisis comparativo realizado previamente, se incorporó un análisis espacial mediante modelos autorregresivos espaciales (SAR), con el fin de evaluar si los patrones identificados presentan una estructura territorial significativa.</w:t>
      </w:r>
    </w:p>
    <w:p w14:paraId="2EFE3824" w14:textId="2589ED8C" w:rsidR="00225FCC" w:rsidRPr="00444E7E" w:rsidRDefault="00225FCC" w:rsidP="00A67CFF">
      <w:pPr>
        <w:jc w:val="both"/>
        <w:rPr>
          <w:rFonts w:ascii="Arial" w:hAnsi="Arial" w:cs="Arial"/>
          <w:sz w:val="24"/>
          <w:szCs w:val="24"/>
        </w:rPr>
      </w:pPr>
      <w:r w:rsidRPr="00225FCC">
        <w:rPr>
          <w:rFonts w:ascii="Arial" w:hAnsi="Arial" w:cs="Arial"/>
          <w:sz w:val="24"/>
          <w:szCs w:val="24"/>
        </w:rPr>
        <w:t xml:space="preserve">Los modelos autorregresivos espaciales permiten incorporar explícitamente la dependencia entre unidades vecinas, reconociendo que los fenómenos </w:t>
      </w:r>
      <w:r w:rsidRPr="00225FCC">
        <w:rPr>
          <w:rFonts w:ascii="Arial" w:hAnsi="Arial" w:cs="Arial"/>
          <w:sz w:val="24"/>
          <w:szCs w:val="24"/>
        </w:rPr>
        <w:lastRenderedPageBreak/>
        <w:t>socioeconómicos pueden presentar patrones de asociación territorial y no distribuirse de forma aleatoria en el espacio</w:t>
      </w:r>
      <w:r w:rsidR="0082576A">
        <w:rPr>
          <w:rFonts w:ascii="Arial" w:hAnsi="Arial" w:cs="Arial"/>
          <w:sz w:val="24"/>
          <w:szCs w:val="24"/>
        </w:rPr>
        <w:t xml:space="preserve">. </w:t>
      </w:r>
      <w:r w:rsidR="0082576A">
        <w:rPr>
          <w:rFonts w:ascii="Arial" w:hAnsi="Arial" w:cs="Arial"/>
          <w:sz w:val="24"/>
          <w:szCs w:val="24"/>
        </w:rPr>
        <w:fldChar w:fldCharType="begin"/>
      </w:r>
      <w:r w:rsidR="0082576A">
        <w:rPr>
          <w:rFonts w:ascii="Arial" w:hAnsi="Arial" w:cs="Arial"/>
          <w:sz w:val="24"/>
          <w:szCs w:val="24"/>
        </w:rPr>
        <w:instrText xml:space="preserve"> ADDIN ZOTERO_ITEM CSL_CITATION {"citationID":"rB0gLMBF","properties":{"unsorted":false,"formattedCitation":"[7], [8]","plainCitation":"[7], [8]","noteIndex":0},"citationItems":[{"id":16,"uris":["http://zotero.org/users/20296599/items/FDNFIJ86"],"itemData":{"id":16,"type":"book","abstract":"Although interest in spatial regression models has surged in recent years, a comprehensive, up-to-date text on these approaches does not exist. Filling this void, Introduction to Spatial Econometrics presents a variety of regression methods used to analyze spatial data samples that violate the traditional assumption of independence between observat","DOI":"10.1201/9781420064254","ISBN":"978-0-429-13808-9","number-of-pages":"340","publisher":"Chapman and Hall/CRC","publisher-place":"New York","title":"Introduction to Spatial Econometrics","author":[{"family":"LeSage","given":"James"},{"family":"Pace","given":"Robert Kelley"}],"issued":{"date-parts":[["2009",1,19]]}}},{"id":15,"uris":["http://zotero.org/users/20296599/items/5ZMSSGDX"],"itemData":{"id":15,"type":"book","collection-title":"Studies in Operational Regional Science","DOI":"10.1007/978-94-015-7799-1","ISBN":"978-90-481-8311-1","license":"http://www.springer.com/tdm","publisher":"Springer Netherlands","publisher-place":"Dordrecht","source":"DOI.org (Crossref)","title":"Spatial Econometrics: Methods and Models","title-short":"Spatial Econometrics","URL":"http://link.springer.com/10.1007/978-94-015-7799-1","volume":"4","author":[{"family":"Anselin","given":"Luc"}],"accessed":{"date-parts":[["2026",4,18]]},"issued":{"date-parts":[["1988"]]}}}],"schema":"https://github.com/citation-style-language/schema/raw/master/csl-citation.json"} </w:instrText>
      </w:r>
      <w:r w:rsidR="0082576A">
        <w:rPr>
          <w:rFonts w:ascii="Arial" w:hAnsi="Arial" w:cs="Arial"/>
          <w:sz w:val="24"/>
          <w:szCs w:val="24"/>
        </w:rPr>
        <w:fldChar w:fldCharType="separate"/>
      </w:r>
      <w:r w:rsidR="0082576A" w:rsidRPr="0082576A">
        <w:rPr>
          <w:rFonts w:ascii="Aptos" w:hAnsi="Aptos"/>
          <w:sz w:val="24"/>
        </w:rPr>
        <w:t>[7], [8]</w:t>
      </w:r>
      <w:r w:rsidR="0082576A">
        <w:rPr>
          <w:rFonts w:ascii="Arial" w:hAnsi="Arial" w:cs="Arial"/>
          <w:sz w:val="24"/>
          <w:szCs w:val="24"/>
        </w:rPr>
        <w:fldChar w:fldCharType="end"/>
      </w:r>
    </w:p>
    <w:p w14:paraId="57055B95"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Mientras que las comparaciones con el IPM y la GEIH permitieron validar la consistencia del modelo desde una perspectiva estadística y socioeconómica, el modelo SAR introduce una dimensión adicional al análisis, al permitir evaluar explícitamente la dependencia espacial entre las unidades de observación. En este sentido, esta etapa no busca reemplazar las validaciones anteriores, sino complementarlas, incorporando la lógica territorial que subyace a los fenómenos de desigualdad.</w:t>
      </w:r>
    </w:p>
    <w:p w14:paraId="03974B49" w14:textId="6B6461B7" w:rsidR="00A67CFF" w:rsidRPr="00444E7E" w:rsidRDefault="00A67CFF" w:rsidP="00A67CFF">
      <w:pPr>
        <w:rPr>
          <w:rFonts w:ascii="Arial" w:hAnsi="Arial" w:cs="Arial"/>
          <w:b/>
          <w:bCs/>
          <w:sz w:val="24"/>
          <w:szCs w:val="24"/>
        </w:rPr>
      </w:pPr>
    </w:p>
    <w:p w14:paraId="5E2FCF10" w14:textId="0288517D" w:rsidR="00A67CFF" w:rsidRPr="00444E7E" w:rsidRDefault="00A67CFF" w:rsidP="00A67CFF">
      <w:pPr>
        <w:rPr>
          <w:rFonts w:ascii="Arial" w:hAnsi="Arial" w:cs="Arial"/>
          <w:b/>
          <w:bCs/>
          <w:sz w:val="24"/>
          <w:szCs w:val="24"/>
        </w:rPr>
      </w:pPr>
      <w:r w:rsidRPr="00444E7E">
        <w:rPr>
          <w:rFonts w:ascii="Arial" w:hAnsi="Arial" w:cs="Arial"/>
          <w:b/>
          <w:bCs/>
          <w:sz w:val="24"/>
          <w:szCs w:val="24"/>
        </w:rPr>
        <w:t>Resultados del modelo base y justificación del enfoque espacial</w:t>
      </w:r>
    </w:p>
    <w:p w14:paraId="6B2784B5"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Los modelos de regresión lineal (OLS) estimados para cada ciudad evidencian un alto nivel de ajuste, con coeficientes de determinación superiores al 0.91 en todos los casos. Esto confirma que las variables construidas a partir del censo capturan adecuadamente la variabilidad del índice multidimensional.</w:t>
      </w:r>
    </w:p>
    <w:p w14:paraId="70A9BED5" w14:textId="2F834662" w:rsidR="007828FA" w:rsidRPr="00444E7E" w:rsidRDefault="00A67CFF" w:rsidP="00A67CFF">
      <w:pPr>
        <w:jc w:val="both"/>
        <w:rPr>
          <w:rFonts w:ascii="Arial" w:hAnsi="Arial" w:cs="Arial"/>
          <w:sz w:val="24"/>
          <w:szCs w:val="24"/>
        </w:rPr>
      </w:pPr>
      <w:r w:rsidRPr="00444E7E">
        <w:rPr>
          <w:rFonts w:ascii="Arial" w:hAnsi="Arial" w:cs="Arial"/>
          <w:sz w:val="24"/>
          <w:szCs w:val="24"/>
        </w:rPr>
        <w:t>No obstante, el análisis de autocorrelación espacial de los residuos mediante el estadístico de Moran revela la presencia de dependencia espacial significativa en las tres ciudades analizadas. Este resultado implica que los residuos no son independientes, sino que presentan patrones de agrupamiento territorial, lo cual contradice los supuestos del modelo OLS.</w:t>
      </w:r>
    </w:p>
    <w:p w14:paraId="35558CB8" w14:textId="77777777" w:rsidR="00A67CFF" w:rsidRDefault="00A67CFF" w:rsidP="00A67CFF">
      <w:pPr>
        <w:jc w:val="both"/>
        <w:rPr>
          <w:rFonts w:ascii="Arial" w:hAnsi="Arial" w:cs="Arial"/>
          <w:sz w:val="24"/>
          <w:szCs w:val="24"/>
        </w:rPr>
      </w:pPr>
      <w:r w:rsidRPr="00444E7E">
        <w:rPr>
          <w:rFonts w:ascii="Arial" w:hAnsi="Arial" w:cs="Arial"/>
          <w:sz w:val="24"/>
          <w:szCs w:val="24"/>
        </w:rPr>
        <w:t>En consecuencia, la incorporación del modelo SAR se justifica como una extensión necesaria del análisis, permitiendo capturar la influencia que ejercen las unidades espaciales vecinas sobre los niveles de pobreza.</w:t>
      </w:r>
    </w:p>
    <w:p w14:paraId="7D261C5E" w14:textId="26D48045" w:rsidR="007828FA" w:rsidRDefault="007828FA" w:rsidP="00A67CFF">
      <w:pPr>
        <w:jc w:val="both"/>
        <w:rPr>
          <w:rFonts w:ascii="Arial" w:hAnsi="Arial" w:cs="Arial"/>
          <w:sz w:val="24"/>
          <w:szCs w:val="24"/>
        </w:rPr>
      </w:pPr>
      <w:r w:rsidRPr="007828FA">
        <w:rPr>
          <w:rFonts w:ascii="Arial" w:hAnsi="Arial" w:cs="Arial"/>
          <w:sz w:val="24"/>
          <w:szCs w:val="24"/>
        </w:rPr>
        <w:t>Cuando existe autocorrelación espacial en los residuos, los modelos clásicos pueden resultar insuficientes, por lo que los modelos espaciales permiten corregir o modelar explícitamente dicha dependencia</w:t>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ADDIN ZOTERO_ITEM CSL_CITATION {"citationID":"eY0lU4GC","properties":{"unsorted":false,"formattedCitation":"[8]","plainCitation":"[8]","noteIndex":0},"citationItems":[{"id":15,"uris":["http://zotero.org/users/20296599/items/5ZMSSGDX"],"itemData":{"id":15,"type":"book","collection-title":"Studies in Operational Regional Science","DOI":"10.1007/978-94-015-7799-1","ISBN":"978-90-481-8311-1","license":"http://www.springer.com/tdm","publisher":"Springer Netherlands","publisher-place":"Dordrecht","source":"DOI.org (Crossref)","title":"Spatial Econometrics: Methods and Models","title-short":"Spatial Econometrics","URL":"http://link.springer.com/10.1007/978-94-015-7799-1","volume":"4","author":[{"family":"Anselin","given":"Luc"}],"accessed":{"date-parts":[["2026",4,18]]},"issued":{"date-parts":[["1988"]]}}}],"schema":"https://github.com/citation-style-language/schema/raw/master/csl-citation.json"} </w:instrText>
      </w:r>
      <w:r>
        <w:rPr>
          <w:rFonts w:ascii="Arial" w:hAnsi="Arial" w:cs="Arial"/>
          <w:sz w:val="24"/>
          <w:szCs w:val="24"/>
        </w:rPr>
        <w:fldChar w:fldCharType="separate"/>
      </w:r>
      <w:r w:rsidRPr="007828FA">
        <w:rPr>
          <w:rFonts w:ascii="Aptos" w:hAnsi="Aptos"/>
          <w:sz w:val="24"/>
        </w:rPr>
        <w:t>[8]</w:t>
      </w:r>
      <w:r>
        <w:rPr>
          <w:rFonts w:ascii="Arial" w:hAnsi="Arial" w:cs="Arial"/>
          <w:sz w:val="24"/>
          <w:szCs w:val="24"/>
        </w:rPr>
        <w:fldChar w:fldCharType="end"/>
      </w:r>
    </w:p>
    <w:p w14:paraId="6E3EF24D" w14:textId="1E619F82" w:rsidR="004E78E3" w:rsidRDefault="00CC56B1" w:rsidP="00A67CFF">
      <w:pPr>
        <w:jc w:val="both"/>
        <w:rPr>
          <w:rFonts w:ascii="Arial" w:hAnsi="Arial" w:cs="Arial"/>
          <w:sz w:val="24"/>
          <w:szCs w:val="24"/>
        </w:rPr>
      </w:pPr>
      <w:r w:rsidRPr="00CC56B1">
        <w:rPr>
          <w:rFonts w:ascii="Arial" w:hAnsi="Arial" w:cs="Arial"/>
          <w:sz w:val="24"/>
          <w:szCs w:val="24"/>
        </w:rPr>
        <w:t>La Ilustración 3 presenta la relación entre los valores reales del índice multidimensional y los valores predichos por el modelo OLS para Armenia. Esta visualización permite evaluar el ajuste general del modelo, observando qué tan cercanas son las predicciones a los valores reales y si existe una tendencia consistente entre ambas mediciones.</w:t>
      </w:r>
    </w:p>
    <w:p w14:paraId="29D55F08" w14:textId="77777777" w:rsidR="004E78E3" w:rsidRDefault="004E78E3" w:rsidP="00A67CFF">
      <w:pPr>
        <w:jc w:val="both"/>
        <w:rPr>
          <w:rFonts w:ascii="Arial" w:hAnsi="Arial" w:cs="Arial"/>
          <w:sz w:val="24"/>
          <w:szCs w:val="24"/>
        </w:rPr>
      </w:pPr>
    </w:p>
    <w:p w14:paraId="44C4EEEC" w14:textId="77777777" w:rsidR="004E78E3" w:rsidRDefault="004E78E3" w:rsidP="00A67CFF">
      <w:pPr>
        <w:jc w:val="both"/>
        <w:rPr>
          <w:rFonts w:ascii="Arial" w:hAnsi="Arial" w:cs="Arial"/>
          <w:sz w:val="24"/>
          <w:szCs w:val="24"/>
        </w:rPr>
      </w:pPr>
    </w:p>
    <w:p w14:paraId="183CB10B" w14:textId="77777777" w:rsidR="004E78E3" w:rsidRDefault="004E78E3" w:rsidP="00A67CFF">
      <w:pPr>
        <w:jc w:val="both"/>
        <w:rPr>
          <w:rFonts w:ascii="Arial" w:hAnsi="Arial" w:cs="Arial"/>
          <w:sz w:val="24"/>
          <w:szCs w:val="24"/>
        </w:rPr>
      </w:pPr>
    </w:p>
    <w:p w14:paraId="769CF917" w14:textId="77777777" w:rsidR="004E78E3" w:rsidRDefault="004E78E3" w:rsidP="00A67CFF">
      <w:pPr>
        <w:jc w:val="both"/>
        <w:rPr>
          <w:rFonts w:ascii="Arial" w:hAnsi="Arial" w:cs="Arial"/>
          <w:sz w:val="24"/>
          <w:szCs w:val="24"/>
        </w:rPr>
      </w:pPr>
    </w:p>
    <w:p w14:paraId="5F5AC18A" w14:textId="77777777" w:rsidR="004E78E3" w:rsidRDefault="004E78E3" w:rsidP="00A67CFF">
      <w:pPr>
        <w:jc w:val="both"/>
        <w:rPr>
          <w:rFonts w:ascii="Arial" w:hAnsi="Arial" w:cs="Arial"/>
          <w:sz w:val="24"/>
          <w:szCs w:val="24"/>
        </w:rPr>
      </w:pPr>
    </w:p>
    <w:p w14:paraId="33D7033F" w14:textId="77777777" w:rsidR="004E78E3" w:rsidRDefault="004E78E3" w:rsidP="00A67CFF">
      <w:pPr>
        <w:jc w:val="both"/>
        <w:rPr>
          <w:rFonts w:ascii="Arial" w:hAnsi="Arial" w:cs="Arial"/>
          <w:sz w:val="24"/>
          <w:szCs w:val="24"/>
        </w:rPr>
      </w:pPr>
    </w:p>
    <w:p w14:paraId="6FA1EA1A" w14:textId="77777777" w:rsidR="004E78E3" w:rsidRDefault="004E78E3" w:rsidP="00A67CFF">
      <w:pPr>
        <w:jc w:val="both"/>
        <w:rPr>
          <w:rFonts w:ascii="Arial" w:hAnsi="Arial" w:cs="Arial"/>
          <w:sz w:val="24"/>
          <w:szCs w:val="24"/>
        </w:rPr>
      </w:pPr>
    </w:p>
    <w:p w14:paraId="6C571129" w14:textId="76A778DF" w:rsidR="006C2945" w:rsidRDefault="006C2945" w:rsidP="00A67CFF">
      <w:pPr>
        <w:rPr>
          <w:rFonts w:ascii="Arial" w:hAnsi="Arial" w:cs="Arial"/>
          <w:b/>
          <w:bCs/>
          <w:i/>
          <w:iCs/>
          <w:sz w:val="24"/>
          <w:szCs w:val="24"/>
        </w:rPr>
      </w:pPr>
      <w:r w:rsidRPr="00444E7E">
        <w:rPr>
          <w:rFonts w:ascii="Arial" w:hAnsi="Arial" w:cs="Arial"/>
          <w:noProof/>
          <w:sz w:val="24"/>
          <w:szCs w:val="24"/>
        </w:rPr>
        <w:drawing>
          <wp:inline distT="0" distB="0" distL="0" distR="0" wp14:anchorId="69934E5B" wp14:editId="010FB405">
            <wp:extent cx="5486400" cy="5486400"/>
            <wp:effectExtent l="0" t="0" r="6350" b="6350"/>
            <wp:docPr id="19975243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2B4EC9CB" w14:textId="77777777" w:rsidR="004C4A6B" w:rsidRPr="00444E7E" w:rsidRDefault="004C4A6B" w:rsidP="004C4A6B">
      <w:pPr>
        <w:pStyle w:val="Descripcin"/>
        <w:rPr>
          <w:rFonts w:ascii="Arial" w:hAnsi="Arial" w:cs="Arial"/>
          <w:sz w:val="24"/>
          <w:szCs w:val="24"/>
        </w:rPr>
      </w:pPr>
      <w:r>
        <w:t xml:space="preserve">Ilustración </w:t>
      </w:r>
      <w:r>
        <w:fldChar w:fldCharType="begin"/>
      </w:r>
      <w:r>
        <w:instrText xml:space="preserve"> SEQ Ilustración \* ARABIC </w:instrText>
      </w:r>
      <w:r>
        <w:fldChar w:fldCharType="separate"/>
      </w:r>
      <w:r>
        <w:rPr>
          <w:noProof/>
        </w:rPr>
        <w:t>3</w:t>
      </w:r>
      <w:r>
        <w:rPr>
          <w:noProof/>
        </w:rPr>
        <w:fldChar w:fldCharType="end"/>
      </w:r>
      <w:r>
        <w:t>: OLS Armenia, valores real vs predichos</w:t>
      </w:r>
    </w:p>
    <w:p w14:paraId="6BCCCFDA" w14:textId="77777777" w:rsidR="004C4A6B" w:rsidRDefault="004C4A6B" w:rsidP="00A67CFF">
      <w:pPr>
        <w:rPr>
          <w:rFonts w:ascii="Arial" w:hAnsi="Arial" w:cs="Arial"/>
          <w:b/>
          <w:bCs/>
          <w:i/>
          <w:iCs/>
          <w:sz w:val="24"/>
          <w:szCs w:val="24"/>
        </w:rPr>
      </w:pPr>
    </w:p>
    <w:p w14:paraId="0E1175EF" w14:textId="0A28577D" w:rsidR="006C2945" w:rsidRPr="002659E3" w:rsidRDefault="002659E3" w:rsidP="002659E3">
      <w:pPr>
        <w:jc w:val="both"/>
        <w:rPr>
          <w:rFonts w:ascii="Arial" w:hAnsi="Arial" w:cs="Arial"/>
          <w:i/>
          <w:iCs/>
          <w:sz w:val="24"/>
          <w:szCs w:val="24"/>
        </w:rPr>
      </w:pPr>
      <w:r w:rsidRPr="002659E3">
        <w:rPr>
          <w:rFonts w:ascii="Arial" w:hAnsi="Arial" w:cs="Arial"/>
          <w:i/>
          <w:iCs/>
          <w:sz w:val="24"/>
          <w:szCs w:val="24"/>
        </w:rPr>
        <w:t>Como se observa en la Ilustración 3, los puntos siguen una tendencia ascendente clara, lo que indica una relación positiva entre los valores reales del índice multidimensional y las predicciones del modelo OLS. Esto sugiere que el modelo logra aproximar adecuadamente el comportamiento general del indicador en Armenia, aunque se presentan algunas diferencias en los valores más altos.</w:t>
      </w:r>
    </w:p>
    <w:p w14:paraId="76BB43DA" w14:textId="76D3D266" w:rsidR="00A67CFF" w:rsidRDefault="00193D5E" w:rsidP="00A67CFF">
      <w:pPr>
        <w:rPr>
          <w:rFonts w:ascii="Arial" w:hAnsi="Arial" w:cs="Arial"/>
          <w:sz w:val="24"/>
          <w:szCs w:val="24"/>
        </w:rPr>
      </w:pPr>
      <w:r w:rsidRPr="00444E7E">
        <w:rPr>
          <w:rFonts w:ascii="Arial" w:hAnsi="Arial" w:cs="Arial"/>
          <w:sz w:val="24"/>
          <w:szCs w:val="24"/>
        </w:rPr>
        <w:t>Con el fin de sintetizar los resultados obtenidos</w:t>
      </w:r>
      <w:r w:rsidR="002659E3">
        <w:rPr>
          <w:rFonts w:ascii="Arial" w:hAnsi="Arial" w:cs="Arial"/>
          <w:sz w:val="24"/>
          <w:szCs w:val="24"/>
        </w:rPr>
        <w:t>, l</w:t>
      </w:r>
      <w:r w:rsidRPr="00444E7E">
        <w:rPr>
          <w:rFonts w:ascii="Arial" w:hAnsi="Arial" w:cs="Arial"/>
          <w:sz w:val="24"/>
          <w:szCs w:val="24"/>
        </w:rPr>
        <w:t xml:space="preserve">a Tabla </w:t>
      </w:r>
      <w:r w:rsidR="004E78E3">
        <w:rPr>
          <w:rFonts w:ascii="Arial" w:hAnsi="Arial" w:cs="Arial"/>
          <w:sz w:val="24"/>
          <w:szCs w:val="24"/>
        </w:rPr>
        <w:t>6</w:t>
      </w:r>
      <w:r w:rsidRPr="00444E7E">
        <w:rPr>
          <w:rFonts w:ascii="Arial" w:hAnsi="Arial" w:cs="Arial"/>
          <w:sz w:val="24"/>
          <w:szCs w:val="24"/>
        </w:rPr>
        <w:t xml:space="preserve"> presenta los principales indicadores de ajuste y dependencia espacial para las tres ciudades analizadas.</w:t>
      </w:r>
    </w:p>
    <w:p w14:paraId="77B9A541" w14:textId="77777777" w:rsidR="004E78E3" w:rsidRDefault="004E78E3" w:rsidP="00523FF9">
      <w:pPr>
        <w:pStyle w:val="Descripcin"/>
      </w:pPr>
      <w:bookmarkStart w:id="7" w:name="_Toc227517148"/>
    </w:p>
    <w:p w14:paraId="7BE8E398" w14:textId="137E84CF" w:rsidR="00523FF9" w:rsidRPr="00444E7E" w:rsidRDefault="00523FF9" w:rsidP="00523FF9">
      <w:pPr>
        <w:pStyle w:val="Descripcin"/>
        <w:rPr>
          <w:rFonts w:ascii="Arial" w:hAnsi="Arial" w:cs="Arial"/>
          <w:sz w:val="24"/>
          <w:szCs w:val="24"/>
        </w:rPr>
      </w:pPr>
      <w:r>
        <w:t xml:space="preserve">Tabla </w:t>
      </w:r>
      <w:fldSimple w:instr=" SEQ Tabla \* ARABIC ">
        <w:r w:rsidR="00E06EA1">
          <w:rPr>
            <w:noProof/>
          </w:rPr>
          <w:t>6</w:t>
        </w:r>
      </w:fldSimple>
      <w:r>
        <w:t xml:space="preserve">: </w:t>
      </w:r>
      <w:r w:rsidR="00A559EC">
        <w:t>Indicadores de ajuste y dependencia espacial</w:t>
      </w:r>
      <w:bookmarkEnd w:id="7"/>
      <w:r w:rsidR="00A559EC">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801"/>
        <w:gridCol w:w="874"/>
        <w:gridCol w:w="921"/>
        <w:gridCol w:w="899"/>
        <w:gridCol w:w="1229"/>
        <w:gridCol w:w="1044"/>
        <w:gridCol w:w="1071"/>
      </w:tblGrid>
      <w:tr w:rsidR="00193D5E" w:rsidRPr="00444E7E" w14:paraId="5E1947FC" w14:textId="77777777" w:rsidTr="007614A1">
        <w:trPr>
          <w:tblHeader/>
          <w:tblCellSpacing w:w="15" w:type="dxa"/>
        </w:trPr>
        <w:tc>
          <w:tcPr>
            <w:tcW w:w="0" w:type="auto"/>
            <w:vAlign w:val="center"/>
            <w:hideMark/>
          </w:tcPr>
          <w:p w14:paraId="4BF8A5CE"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Ciudad</w:t>
            </w:r>
          </w:p>
        </w:tc>
        <w:tc>
          <w:tcPr>
            <w:tcW w:w="0" w:type="auto"/>
            <w:vAlign w:val="center"/>
            <w:hideMark/>
          </w:tcPr>
          <w:p w14:paraId="1CFDB8F6"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Observaciones</w:t>
            </w:r>
          </w:p>
        </w:tc>
        <w:tc>
          <w:tcPr>
            <w:tcW w:w="0" w:type="auto"/>
            <w:vAlign w:val="center"/>
            <w:hideMark/>
          </w:tcPr>
          <w:p w14:paraId="4CAD8923"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R² OLS</w:t>
            </w:r>
          </w:p>
        </w:tc>
        <w:tc>
          <w:tcPr>
            <w:tcW w:w="0" w:type="auto"/>
            <w:vAlign w:val="center"/>
            <w:hideMark/>
          </w:tcPr>
          <w:p w14:paraId="3872E067"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Moran I</w:t>
            </w:r>
          </w:p>
        </w:tc>
        <w:tc>
          <w:tcPr>
            <w:tcW w:w="0" w:type="auto"/>
            <w:vAlign w:val="center"/>
            <w:hideMark/>
          </w:tcPr>
          <w:p w14:paraId="2A179D58"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p-value</w:t>
            </w:r>
          </w:p>
        </w:tc>
        <w:tc>
          <w:tcPr>
            <w:tcW w:w="0" w:type="auto"/>
            <w:vAlign w:val="center"/>
            <w:hideMark/>
          </w:tcPr>
          <w:p w14:paraId="66FC0F36"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Rho (SAR)</w:t>
            </w:r>
          </w:p>
        </w:tc>
        <w:tc>
          <w:tcPr>
            <w:tcW w:w="0" w:type="auto"/>
            <w:vAlign w:val="center"/>
            <w:hideMark/>
          </w:tcPr>
          <w:p w14:paraId="6EE06713"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AIC OLS</w:t>
            </w:r>
          </w:p>
        </w:tc>
        <w:tc>
          <w:tcPr>
            <w:tcW w:w="0" w:type="auto"/>
            <w:vAlign w:val="center"/>
            <w:hideMark/>
          </w:tcPr>
          <w:p w14:paraId="31DF49A7"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AIC SAR</w:t>
            </w:r>
          </w:p>
        </w:tc>
      </w:tr>
      <w:tr w:rsidR="00193D5E" w:rsidRPr="00444E7E" w14:paraId="749761EA" w14:textId="77777777" w:rsidTr="007614A1">
        <w:trPr>
          <w:tblCellSpacing w:w="15" w:type="dxa"/>
        </w:trPr>
        <w:tc>
          <w:tcPr>
            <w:tcW w:w="0" w:type="auto"/>
            <w:vAlign w:val="center"/>
            <w:hideMark/>
          </w:tcPr>
          <w:p w14:paraId="0AEB70DB"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Armenia</w:t>
            </w:r>
          </w:p>
        </w:tc>
        <w:tc>
          <w:tcPr>
            <w:tcW w:w="0" w:type="auto"/>
            <w:vAlign w:val="center"/>
            <w:hideMark/>
          </w:tcPr>
          <w:p w14:paraId="05554107"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661</w:t>
            </w:r>
          </w:p>
        </w:tc>
        <w:tc>
          <w:tcPr>
            <w:tcW w:w="0" w:type="auto"/>
            <w:vAlign w:val="center"/>
            <w:hideMark/>
          </w:tcPr>
          <w:p w14:paraId="32AC5740"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0.928</w:t>
            </w:r>
          </w:p>
        </w:tc>
        <w:tc>
          <w:tcPr>
            <w:tcW w:w="0" w:type="auto"/>
            <w:vAlign w:val="center"/>
            <w:hideMark/>
          </w:tcPr>
          <w:p w14:paraId="189C0473"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0.132</w:t>
            </w:r>
          </w:p>
        </w:tc>
        <w:tc>
          <w:tcPr>
            <w:tcW w:w="0" w:type="auto"/>
            <w:vAlign w:val="center"/>
            <w:hideMark/>
          </w:tcPr>
          <w:p w14:paraId="34636D38"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0.001</w:t>
            </w:r>
          </w:p>
        </w:tc>
        <w:tc>
          <w:tcPr>
            <w:tcW w:w="0" w:type="auto"/>
            <w:vAlign w:val="center"/>
            <w:hideMark/>
          </w:tcPr>
          <w:p w14:paraId="6561D515"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0.031</w:t>
            </w:r>
          </w:p>
        </w:tc>
        <w:tc>
          <w:tcPr>
            <w:tcW w:w="0" w:type="auto"/>
            <w:vAlign w:val="center"/>
            <w:hideMark/>
          </w:tcPr>
          <w:p w14:paraId="75387B5D"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-3343.69</w:t>
            </w:r>
          </w:p>
        </w:tc>
        <w:tc>
          <w:tcPr>
            <w:tcW w:w="0" w:type="auto"/>
            <w:vAlign w:val="center"/>
            <w:hideMark/>
          </w:tcPr>
          <w:p w14:paraId="12E19ED7"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-3349.09</w:t>
            </w:r>
          </w:p>
        </w:tc>
      </w:tr>
      <w:tr w:rsidR="00193D5E" w:rsidRPr="00444E7E" w14:paraId="56DC6218" w14:textId="77777777" w:rsidTr="007614A1">
        <w:trPr>
          <w:tblCellSpacing w:w="15" w:type="dxa"/>
        </w:trPr>
        <w:tc>
          <w:tcPr>
            <w:tcW w:w="0" w:type="auto"/>
            <w:vAlign w:val="center"/>
            <w:hideMark/>
          </w:tcPr>
          <w:p w14:paraId="6E94369B"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Pereira</w:t>
            </w:r>
          </w:p>
        </w:tc>
        <w:tc>
          <w:tcPr>
            <w:tcW w:w="0" w:type="auto"/>
            <w:vAlign w:val="center"/>
            <w:hideMark/>
          </w:tcPr>
          <w:p w14:paraId="46FFC807"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376</w:t>
            </w:r>
          </w:p>
        </w:tc>
        <w:tc>
          <w:tcPr>
            <w:tcW w:w="0" w:type="auto"/>
            <w:vAlign w:val="center"/>
            <w:hideMark/>
          </w:tcPr>
          <w:p w14:paraId="5DA987C9"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0.915</w:t>
            </w:r>
          </w:p>
        </w:tc>
        <w:tc>
          <w:tcPr>
            <w:tcW w:w="0" w:type="auto"/>
            <w:vAlign w:val="center"/>
            <w:hideMark/>
          </w:tcPr>
          <w:p w14:paraId="4BCB22A7"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0.181</w:t>
            </w:r>
          </w:p>
        </w:tc>
        <w:tc>
          <w:tcPr>
            <w:tcW w:w="0" w:type="auto"/>
            <w:vAlign w:val="center"/>
            <w:hideMark/>
          </w:tcPr>
          <w:p w14:paraId="4AFD4B71"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0.002</w:t>
            </w:r>
          </w:p>
        </w:tc>
        <w:tc>
          <w:tcPr>
            <w:tcW w:w="0" w:type="auto"/>
            <w:vAlign w:val="center"/>
            <w:hideMark/>
          </w:tcPr>
          <w:p w14:paraId="724401AB"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0.033</w:t>
            </w:r>
          </w:p>
        </w:tc>
        <w:tc>
          <w:tcPr>
            <w:tcW w:w="0" w:type="auto"/>
            <w:vAlign w:val="center"/>
            <w:hideMark/>
          </w:tcPr>
          <w:p w14:paraId="3600F23C"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-1814.58</w:t>
            </w:r>
          </w:p>
        </w:tc>
        <w:tc>
          <w:tcPr>
            <w:tcW w:w="0" w:type="auto"/>
            <w:vAlign w:val="center"/>
            <w:hideMark/>
          </w:tcPr>
          <w:p w14:paraId="5D59BE0A"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-1816.65</w:t>
            </w:r>
          </w:p>
        </w:tc>
      </w:tr>
      <w:tr w:rsidR="00193D5E" w:rsidRPr="00444E7E" w14:paraId="71ECEDA5" w14:textId="77777777" w:rsidTr="007614A1">
        <w:trPr>
          <w:tblCellSpacing w:w="15" w:type="dxa"/>
        </w:trPr>
        <w:tc>
          <w:tcPr>
            <w:tcW w:w="0" w:type="auto"/>
            <w:vAlign w:val="center"/>
            <w:hideMark/>
          </w:tcPr>
          <w:p w14:paraId="5FAC121A"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Cali</w:t>
            </w:r>
          </w:p>
        </w:tc>
        <w:tc>
          <w:tcPr>
            <w:tcW w:w="0" w:type="auto"/>
            <w:vAlign w:val="center"/>
            <w:hideMark/>
          </w:tcPr>
          <w:p w14:paraId="673F520D"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389</w:t>
            </w:r>
          </w:p>
        </w:tc>
        <w:tc>
          <w:tcPr>
            <w:tcW w:w="0" w:type="auto"/>
            <w:vAlign w:val="center"/>
            <w:hideMark/>
          </w:tcPr>
          <w:p w14:paraId="033B9810"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0.929</w:t>
            </w:r>
          </w:p>
        </w:tc>
        <w:tc>
          <w:tcPr>
            <w:tcW w:w="0" w:type="auto"/>
            <w:vAlign w:val="center"/>
            <w:hideMark/>
          </w:tcPr>
          <w:p w14:paraId="20456166"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0.142</w:t>
            </w:r>
          </w:p>
        </w:tc>
        <w:tc>
          <w:tcPr>
            <w:tcW w:w="0" w:type="auto"/>
            <w:vAlign w:val="center"/>
            <w:hideMark/>
          </w:tcPr>
          <w:p w14:paraId="20B659C1"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0.009</w:t>
            </w:r>
          </w:p>
        </w:tc>
        <w:tc>
          <w:tcPr>
            <w:tcW w:w="0" w:type="auto"/>
            <w:vAlign w:val="center"/>
            <w:hideMark/>
          </w:tcPr>
          <w:p w14:paraId="0E9E0779"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0.046</w:t>
            </w:r>
          </w:p>
        </w:tc>
        <w:tc>
          <w:tcPr>
            <w:tcW w:w="0" w:type="auto"/>
            <w:vAlign w:val="center"/>
            <w:hideMark/>
          </w:tcPr>
          <w:p w14:paraId="5F9175F0"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-1936.06</w:t>
            </w:r>
          </w:p>
        </w:tc>
        <w:tc>
          <w:tcPr>
            <w:tcW w:w="0" w:type="auto"/>
            <w:vAlign w:val="center"/>
            <w:hideMark/>
          </w:tcPr>
          <w:p w14:paraId="6A664EE1"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-1938.80</w:t>
            </w:r>
          </w:p>
        </w:tc>
      </w:tr>
    </w:tbl>
    <w:p w14:paraId="1DE0A6BE" w14:textId="77777777" w:rsidR="004D5622" w:rsidRDefault="004D5622" w:rsidP="00D22600">
      <w:pPr>
        <w:jc w:val="both"/>
        <w:rPr>
          <w:rFonts w:ascii="Arial" w:hAnsi="Arial" w:cs="Arial"/>
          <w:sz w:val="24"/>
          <w:szCs w:val="24"/>
        </w:rPr>
      </w:pPr>
    </w:p>
    <w:p w14:paraId="6560FDE3" w14:textId="23A5775B" w:rsidR="00D22600" w:rsidRPr="00444E7E" w:rsidRDefault="00D22600" w:rsidP="00D22600">
      <w:pPr>
        <w:jc w:val="both"/>
        <w:rPr>
          <w:rFonts w:ascii="Arial" w:hAnsi="Arial" w:cs="Arial"/>
          <w:sz w:val="24"/>
          <w:szCs w:val="24"/>
        </w:rPr>
      </w:pPr>
      <w:r w:rsidRPr="00444E7E">
        <w:rPr>
          <w:rFonts w:ascii="Arial" w:hAnsi="Arial" w:cs="Arial"/>
          <w:sz w:val="24"/>
          <w:szCs w:val="24"/>
        </w:rPr>
        <w:t>Los resultados evidencian tres hallazgos clave. En primer lugar, los modelos OLS presentan un alto nivel de ajuste en todas las ciudades, lo que confirma la capacidad explicativa de las variables seleccionadas. En segundo lugar, los valores del estadístico de Moran, junto con sus niveles de significancia, confirman la existencia de autocorrelación espacial en los residuos, lo que justifica la necesidad de modelos espaciales.</w:t>
      </w:r>
    </w:p>
    <w:p w14:paraId="54F8D670" w14:textId="77777777" w:rsidR="00D22600" w:rsidRPr="00444E7E" w:rsidRDefault="00D22600" w:rsidP="00D22600">
      <w:pPr>
        <w:jc w:val="both"/>
        <w:rPr>
          <w:rFonts w:ascii="Arial" w:hAnsi="Arial" w:cs="Arial"/>
          <w:sz w:val="24"/>
          <w:szCs w:val="24"/>
        </w:rPr>
      </w:pPr>
      <w:r w:rsidRPr="00444E7E">
        <w:rPr>
          <w:rFonts w:ascii="Arial" w:hAnsi="Arial" w:cs="Arial"/>
          <w:sz w:val="24"/>
          <w:szCs w:val="24"/>
        </w:rPr>
        <w:t>Finalmente, la comparación del criterio AIC muestra que el modelo SAR mejora sistemáticamente el ajuste en las tres ciudades, lo que valida la incorporación del componente espacial en el análisis.</w:t>
      </w:r>
    </w:p>
    <w:p w14:paraId="61BE7C1E" w14:textId="77777777" w:rsidR="00193D5E" w:rsidRPr="00444E7E" w:rsidRDefault="00193D5E" w:rsidP="00A67CFF">
      <w:pPr>
        <w:rPr>
          <w:rFonts w:ascii="Arial" w:hAnsi="Arial" w:cs="Arial"/>
          <w:b/>
          <w:bCs/>
          <w:sz w:val="24"/>
          <w:szCs w:val="24"/>
        </w:rPr>
      </w:pPr>
    </w:p>
    <w:p w14:paraId="09270A45" w14:textId="7F8C0720" w:rsidR="00A67CFF" w:rsidRPr="00444E7E" w:rsidRDefault="00A67CFF" w:rsidP="00A67CFF">
      <w:pPr>
        <w:rPr>
          <w:rFonts w:ascii="Arial" w:hAnsi="Arial" w:cs="Arial"/>
          <w:b/>
          <w:bCs/>
          <w:sz w:val="24"/>
          <w:szCs w:val="24"/>
        </w:rPr>
      </w:pPr>
      <w:r w:rsidRPr="00444E7E">
        <w:rPr>
          <w:rFonts w:ascii="Arial" w:hAnsi="Arial" w:cs="Arial"/>
          <w:b/>
          <w:bCs/>
          <w:sz w:val="24"/>
          <w:szCs w:val="24"/>
        </w:rPr>
        <w:t>Resultados del modelo SAR</w:t>
      </w:r>
    </w:p>
    <w:p w14:paraId="39C1A726" w14:textId="77777777" w:rsidR="00A67CFF" w:rsidRDefault="00A67CFF" w:rsidP="00A67CFF">
      <w:pPr>
        <w:jc w:val="both"/>
        <w:rPr>
          <w:rFonts w:ascii="Arial" w:hAnsi="Arial" w:cs="Arial"/>
          <w:sz w:val="24"/>
          <w:szCs w:val="24"/>
        </w:rPr>
      </w:pPr>
      <w:r w:rsidRPr="00444E7E">
        <w:rPr>
          <w:rFonts w:ascii="Arial" w:hAnsi="Arial" w:cs="Arial"/>
          <w:sz w:val="24"/>
          <w:szCs w:val="24"/>
        </w:rPr>
        <w:t xml:space="preserve">La estimación de los modelos SAR evidencia la existencia de dependencia espacial positiva en las tres ciudades, representada por el parámetro ρ (rho). En Cali, este parámetro alcanza un valor de aproximadamente 0.045, indicando que los niveles de pobreza en una manzana están influenciados por los niveles observados en sus áreas vecinas. </w:t>
      </w:r>
    </w:p>
    <w:p w14:paraId="3E8E1A12" w14:textId="4C2315D9" w:rsidR="007828FA" w:rsidRPr="00444E7E" w:rsidRDefault="007828FA" w:rsidP="00A67CFF">
      <w:pPr>
        <w:jc w:val="both"/>
        <w:rPr>
          <w:rFonts w:ascii="Arial" w:hAnsi="Arial" w:cs="Arial"/>
          <w:sz w:val="24"/>
          <w:szCs w:val="24"/>
        </w:rPr>
      </w:pPr>
      <w:r>
        <w:rPr>
          <w:rFonts w:ascii="Arial" w:hAnsi="Arial" w:cs="Arial"/>
          <w:sz w:val="24"/>
          <w:szCs w:val="24"/>
        </w:rPr>
        <w:t>E</w:t>
      </w:r>
      <w:r w:rsidRPr="007828FA">
        <w:rPr>
          <w:rFonts w:ascii="Arial" w:hAnsi="Arial" w:cs="Arial"/>
          <w:sz w:val="24"/>
          <w:szCs w:val="24"/>
        </w:rPr>
        <w:t>n los modelos SAR, el parámetro rho representa la intensidad de la dependencia espacial, es decir, el grado en que los valores observados en una unidad territorial se relacionan con los valores de sus unidades vecinas</w:t>
      </w:r>
      <w:r>
        <w:rPr>
          <w:rFonts w:ascii="Arial" w:hAnsi="Arial" w:cs="Arial"/>
          <w:sz w:val="24"/>
          <w:szCs w:val="24"/>
        </w:rPr>
        <w:t>.</w:t>
      </w:r>
      <w:r>
        <w:rPr>
          <w:rFonts w:ascii="Arial" w:hAnsi="Arial" w:cs="Arial"/>
          <w:sz w:val="24"/>
          <w:szCs w:val="24"/>
        </w:rPr>
        <w:fldChar w:fldCharType="begin"/>
      </w:r>
      <w:r>
        <w:rPr>
          <w:rFonts w:ascii="Arial" w:hAnsi="Arial" w:cs="Arial"/>
          <w:sz w:val="24"/>
          <w:szCs w:val="24"/>
        </w:rPr>
        <w:instrText xml:space="preserve"> ADDIN ZOTERO_ITEM CSL_CITATION {"citationID":"DV1goswk","properties":{"unsorted":false,"formattedCitation":"[7]","plainCitation":"[7]","noteIndex":0},"citationItems":[{"id":16,"uris":["http://zotero.org/users/20296599/items/FDNFIJ86"],"itemData":{"id":16,"type":"book","abstract":"Although interest in spatial regression models has surged in recent years, a comprehensive, up-to-date text on these approaches does not exist. Filling this void, Introduction to Spatial Econometrics presents a variety of regression methods used to analyze spatial data samples that violate the traditional assumption of independence between observat","DOI":"10.1201/9781420064254","ISBN":"978-0-429-13808-9","number-of-pages":"340","publisher":"Chapman and Hall/CRC","publisher-place":"New York","title":"Introduction to Spatial Econometrics","author":[{"family":"LeSage","given":"James"},{"family":"Pace","given":"Robert Kelley"}],"issued":{"date-parts":[["2009",1,19]]}}}],"schema":"https://github.com/citation-style-language/schema/raw/master/csl-citation.json"} </w:instrText>
      </w:r>
      <w:r>
        <w:rPr>
          <w:rFonts w:ascii="Arial" w:hAnsi="Arial" w:cs="Arial"/>
          <w:sz w:val="24"/>
          <w:szCs w:val="24"/>
        </w:rPr>
        <w:fldChar w:fldCharType="separate"/>
      </w:r>
      <w:r w:rsidRPr="007828FA">
        <w:rPr>
          <w:rFonts w:ascii="Aptos" w:hAnsi="Aptos"/>
          <w:sz w:val="24"/>
        </w:rPr>
        <w:t>[7]</w:t>
      </w:r>
      <w:r>
        <w:rPr>
          <w:rFonts w:ascii="Arial" w:hAnsi="Arial" w:cs="Arial"/>
          <w:sz w:val="24"/>
          <w:szCs w:val="24"/>
        </w:rPr>
        <w:fldChar w:fldCharType="end"/>
      </w:r>
    </w:p>
    <w:p w14:paraId="55362B7A"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De manera similar, en Pereira y Armenia se observan valores positivos de rho, aunque de menor magnitud, lo que sugiere una dependencia espacial moderada pero consistente.</w:t>
      </w:r>
    </w:p>
    <w:p w14:paraId="1A2EDCE3" w14:textId="77777777" w:rsidR="00A67CFF" w:rsidRDefault="00A67CFF" w:rsidP="00A67CFF">
      <w:pPr>
        <w:jc w:val="both"/>
        <w:rPr>
          <w:rFonts w:ascii="Arial" w:hAnsi="Arial" w:cs="Arial"/>
          <w:sz w:val="24"/>
          <w:szCs w:val="24"/>
        </w:rPr>
      </w:pPr>
      <w:r w:rsidRPr="00444E7E">
        <w:rPr>
          <w:rFonts w:ascii="Arial" w:hAnsi="Arial" w:cs="Arial"/>
          <w:sz w:val="24"/>
          <w:szCs w:val="24"/>
        </w:rPr>
        <w:t>Adicionalmente, se observa una mejora en el ajuste del modelo al comparar el criterio de información de Akaike (AIC) entre los modelos OLS y SAR. En todos los casos, el modelo SAR presenta un menor AIC, lo que confirma que la inclusión del componente espacial permite una mejor representación de la realidad.</w:t>
      </w:r>
    </w:p>
    <w:p w14:paraId="0118CA6E" w14:textId="4A3275A9" w:rsidR="007828FA" w:rsidRPr="00444E7E" w:rsidRDefault="007828FA" w:rsidP="00A67CFF">
      <w:pPr>
        <w:jc w:val="both"/>
        <w:rPr>
          <w:rFonts w:ascii="Arial" w:hAnsi="Arial" w:cs="Arial"/>
          <w:sz w:val="24"/>
          <w:szCs w:val="24"/>
        </w:rPr>
      </w:pPr>
      <w:r w:rsidRPr="007828FA">
        <w:rPr>
          <w:rFonts w:ascii="Arial" w:hAnsi="Arial" w:cs="Arial"/>
          <w:sz w:val="24"/>
          <w:szCs w:val="24"/>
        </w:rPr>
        <w:lastRenderedPageBreak/>
        <w:t>El criterio de información de Akaike permite comparar modelos considerando tanto su ajuste como su complejidad, por lo que valores menores de AIC sugieren un mejor desempeño relativo del modelo</w:t>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ADDIN ZOTERO_ITEM CSL_CITATION {"citationID":"5byDN7UT","properties":{"unsorted":false,"formattedCitation":"[9]","plainCitation":"[9]","noteIndex":0},"citationItems":[{"id":18,"uris":["http://zotero.org/users/20296599/items/HM3ZS6H8"],"itemData":{"id":18,"type":"article-journal","container-title":"IEEE Transactions on Automatic Control","DOI":"10.1109/TAC.1974.1100705","ISSN":"0018-9286","issue":"6","journalAbbreviation":"IEEE Trans. Automat. Contr.","language":"en","license":"https://ieeexplore.ieee.org/Xplorehelp/downloads/license-information/IEEE.html","page":"716-723","source":"DOI.org (Crossref)","title":"A new look at the statistical model identification","volume":"19","author":[{"family":"Akaike","given":"H."}],"issued":{"date-parts":[["1974",12]]}}}],"schema":"https://github.com/citation-style-language/schema/raw/master/csl-citation.json"} </w:instrText>
      </w:r>
      <w:r>
        <w:rPr>
          <w:rFonts w:ascii="Arial" w:hAnsi="Arial" w:cs="Arial"/>
          <w:sz w:val="24"/>
          <w:szCs w:val="24"/>
        </w:rPr>
        <w:fldChar w:fldCharType="separate"/>
      </w:r>
      <w:r w:rsidRPr="007828FA">
        <w:rPr>
          <w:rFonts w:ascii="Aptos" w:hAnsi="Aptos"/>
          <w:sz w:val="24"/>
        </w:rPr>
        <w:t>[9]</w:t>
      </w:r>
      <w:r>
        <w:rPr>
          <w:rFonts w:ascii="Arial" w:hAnsi="Arial" w:cs="Arial"/>
          <w:sz w:val="24"/>
          <w:szCs w:val="24"/>
        </w:rPr>
        <w:fldChar w:fldCharType="end"/>
      </w:r>
    </w:p>
    <w:p w14:paraId="12DCA3B8"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Estos resultados indican que la pobreza multidimensional no se distribuye de manera aleatoria en el territorio, sino que presenta una estructura espacial definida.</w:t>
      </w:r>
    </w:p>
    <w:p w14:paraId="3581869D" w14:textId="662E07D4" w:rsidR="00A67CFF" w:rsidRPr="00444E7E" w:rsidRDefault="00D22600" w:rsidP="00D22600">
      <w:pPr>
        <w:jc w:val="both"/>
        <w:rPr>
          <w:rFonts w:ascii="Arial" w:hAnsi="Arial" w:cs="Arial"/>
          <w:sz w:val="24"/>
          <w:szCs w:val="24"/>
        </w:rPr>
      </w:pPr>
      <w:r w:rsidRPr="00444E7E">
        <w:rPr>
          <w:rFonts w:ascii="Arial" w:hAnsi="Arial" w:cs="Arial"/>
          <w:sz w:val="24"/>
          <w:szCs w:val="24"/>
        </w:rPr>
        <w:t>Además, se observa que la magnitud del parámetro ρ varía entre ciudades, siendo Cali la que presenta el mayor valor (0.046), seguida de Pereira (0.033) y Armenia (0.031). Esto sugiere que la dependencia espacial es más fuerte en Cali, lo que podría estar asociado a una mayor segregación o concentración territorial de la pobreza en esta ciudad.</w:t>
      </w:r>
    </w:p>
    <w:p w14:paraId="4515F46D" w14:textId="78C37002" w:rsidR="00A67CFF" w:rsidRPr="00444E7E" w:rsidRDefault="00A67CFF" w:rsidP="00A67CFF">
      <w:pPr>
        <w:rPr>
          <w:rFonts w:ascii="Arial" w:hAnsi="Arial" w:cs="Arial"/>
          <w:b/>
          <w:bCs/>
          <w:sz w:val="24"/>
          <w:szCs w:val="24"/>
        </w:rPr>
      </w:pPr>
      <w:r w:rsidRPr="00444E7E">
        <w:rPr>
          <w:rFonts w:ascii="Arial" w:hAnsi="Arial" w:cs="Arial"/>
          <w:b/>
          <w:bCs/>
          <w:sz w:val="24"/>
          <w:szCs w:val="24"/>
        </w:rPr>
        <w:t>Interpretación de los determinantes de la pobreza</w:t>
      </w:r>
    </w:p>
    <w:p w14:paraId="764EC6B2"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Los coeficientes estimados en los modelos SAR presentan una alta coherencia con los resultados obtenidos previamente en el análisis comparativo con el IPM y la GEIH.</w:t>
      </w:r>
    </w:p>
    <w:p w14:paraId="47299758"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 xml:space="preserve">En particular, el estrato socioeconómico muestra un efecto negativo consistente sobre la pobreza multidimensional, lo que confirma que mayores niveles de ingreso y condiciones materiales están asociados con menores niveles de privación. </w:t>
      </w:r>
    </w:p>
    <w:p w14:paraId="219FEE67"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Por otro lado, el hacinamiento (personas por dormitorio) presenta un efecto positivo, indicando que las condiciones de densidad habitacional constituyen un factor clave en la explicación de la pobreza. Este resultado es coherente con los hallazgos obtenidos en la dimensión habitacional del IPM, donde se identificó una adecuada representación de las condiciones físicas de la vivienda.</w:t>
      </w:r>
    </w:p>
    <w:p w14:paraId="0F899A52" w14:textId="77777777" w:rsidR="00A67CFF" w:rsidRDefault="00A67CFF" w:rsidP="00A67CFF">
      <w:pPr>
        <w:jc w:val="both"/>
        <w:rPr>
          <w:rFonts w:ascii="Arial" w:hAnsi="Arial" w:cs="Arial"/>
          <w:sz w:val="24"/>
          <w:szCs w:val="24"/>
        </w:rPr>
      </w:pPr>
      <w:r w:rsidRPr="00444E7E">
        <w:rPr>
          <w:rFonts w:ascii="Arial" w:hAnsi="Arial" w:cs="Arial"/>
          <w:sz w:val="24"/>
          <w:szCs w:val="24"/>
        </w:rPr>
        <w:t>Asimismo, las variables relacionadas con el acceso a servicios básicos (acueducto, alcantarillado, gas e internet) presentan coeficientes negativos, lo que refuerza la consistencia observada previamente en la dimensión de servicios, donde se identificó una alta correspondencia entre el clustering y el IPM.</w:t>
      </w:r>
    </w:p>
    <w:p w14:paraId="23A39144" w14:textId="77777777" w:rsidR="00A559EC" w:rsidRDefault="00A559EC" w:rsidP="00A67CFF">
      <w:pPr>
        <w:jc w:val="both"/>
        <w:rPr>
          <w:rFonts w:ascii="Arial" w:hAnsi="Arial" w:cs="Arial"/>
          <w:sz w:val="24"/>
          <w:szCs w:val="24"/>
        </w:rPr>
      </w:pPr>
    </w:p>
    <w:p w14:paraId="47798392" w14:textId="77777777" w:rsidR="00A559EC" w:rsidRDefault="00A559EC" w:rsidP="00A67CFF">
      <w:pPr>
        <w:jc w:val="both"/>
        <w:rPr>
          <w:rFonts w:ascii="Arial" w:hAnsi="Arial" w:cs="Arial"/>
          <w:sz w:val="24"/>
          <w:szCs w:val="24"/>
        </w:rPr>
      </w:pPr>
    </w:p>
    <w:p w14:paraId="2D031361" w14:textId="77777777" w:rsidR="00A559EC" w:rsidRDefault="00A559EC" w:rsidP="00A67CFF">
      <w:pPr>
        <w:jc w:val="both"/>
        <w:rPr>
          <w:rFonts w:ascii="Arial" w:hAnsi="Arial" w:cs="Arial"/>
          <w:sz w:val="24"/>
          <w:szCs w:val="24"/>
        </w:rPr>
      </w:pPr>
    </w:p>
    <w:p w14:paraId="4E706F93" w14:textId="77777777" w:rsidR="00A559EC" w:rsidRDefault="00A559EC" w:rsidP="00A67CFF">
      <w:pPr>
        <w:jc w:val="both"/>
        <w:rPr>
          <w:rFonts w:ascii="Arial" w:hAnsi="Arial" w:cs="Arial"/>
          <w:sz w:val="24"/>
          <w:szCs w:val="24"/>
        </w:rPr>
      </w:pPr>
    </w:p>
    <w:p w14:paraId="0E817344" w14:textId="77777777" w:rsidR="00A559EC" w:rsidRDefault="00A559EC" w:rsidP="00A67CFF">
      <w:pPr>
        <w:jc w:val="both"/>
        <w:rPr>
          <w:rFonts w:ascii="Arial" w:hAnsi="Arial" w:cs="Arial"/>
          <w:sz w:val="24"/>
          <w:szCs w:val="24"/>
        </w:rPr>
      </w:pPr>
    </w:p>
    <w:p w14:paraId="1C310517" w14:textId="77777777" w:rsidR="00A559EC" w:rsidRDefault="00A559EC" w:rsidP="00A67CFF">
      <w:pPr>
        <w:jc w:val="both"/>
        <w:rPr>
          <w:rFonts w:ascii="Arial" w:hAnsi="Arial" w:cs="Arial"/>
          <w:sz w:val="24"/>
          <w:szCs w:val="24"/>
        </w:rPr>
      </w:pPr>
    </w:p>
    <w:p w14:paraId="6650FD0C" w14:textId="77777777" w:rsidR="00A559EC" w:rsidRDefault="00A559EC" w:rsidP="00A67CFF">
      <w:pPr>
        <w:jc w:val="both"/>
        <w:rPr>
          <w:rFonts w:ascii="Arial" w:hAnsi="Arial" w:cs="Arial"/>
          <w:sz w:val="24"/>
          <w:szCs w:val="24"/>
        </w:rPr>
      </w:pPr>
    </w:p>
    <w:p w14:paraId="10CB32F5" w14:textId="77777777" w:rsidR="004E78E3" w:rsidRDefault="004E78E3" w:rsidP="00A67CFF">
      <w:pPr>
        <w:jc w:val="both"/>
        <w:rPr>
          <w:rFonts w:ascii="Arial" w:hAnsi="Arial" w:cs="Arial"/>
          <w:sz w:val="24"/>
          <w:szCs w:val="24"/>
        </w:rPr>
      </w:pPr>
    </w:p>
    <w:p w14:paraId="525D0EB3" w14:textId="77777777" w:rsidR="004E78E3" w:rsidRDefault="004E78E3" w:rsidP="00A67CFF">
      <w:pPr>
        <w:jc w:val="both"/>
        <w:rPr>
          <w:rFonts w:ascii="Arial" w:hAnsi="Arial" w:cs="Arial"/>
          <w:sz w:val="24"/>
          <w:szCs w:val="24"/>
        </w:rPr>
      </w:pPr>
    </w:p>
    <w:p w14:paraId="64BD56D9" w14:textId="77777777" w:rsidR="004E78E3" w:rsidRDefault="004E78E3" w:rsidP="00A67CFF">
      <w:pPr>
        <w:jc w:val="both"/>
        <w:rPr>
          <w:rFonts w:ascii="Arial" w:hAnsi="Arial" w:cs="Arial"/>
          <w:sz w:val="24"/>
          <w:szCs w:val="24"/>
        </w:rPr>
      </w:pPr>
    </w:p>
    <w:p w14:paraId="60C201AC" w14:textId="5F84D9AF" w:rsidR="004E78E3" w:rsidRDefault="004E78E3" w:rsidP="00A67CFF">
      <w:pPr>
        <w:jc w:val="both"/>
        <w:rPr>
          <w:rFonts w:ascii="Arial" w:hAnsi="Arial" w:cs="Arial"/>
          <w:sz w:val="24"/>
          <w:szCs w:val="24"/>
        </w:rPr>
      </w:pPr>
      <w:r w:rsidRPr="004E78E3">
        <w:rPr>
          <w:rFonts w:ascii="Arial" w:hAnsi="Arial" w:cs="Arial"/>
          <w:sz w:val="24"/>
          <w:szCs w:val="24"/>
        </w:rPr>
        <w:t xml:space="preserve">La Ilustración </w:t>
      </w:r>
      <w:r>
        <w:rPr>
          <w:rFonts w:ascii="Arial" w:hAnsi="Arial" w:cs="Arial"/>
          <w:sz w:val="24"/>
          <w:szCs w:val="24"/>
        </w:rPr>
        <w:t>4</w:t>
      </w:r>
      <w:r w:rsidRPr="004E78E3">
        <w:rPr>
          <w:rFonts w:ascii="Arial" w:hAnsi="Arial" w:cs="Arial"/>
          <w:sz w:val="24"/>
          <w:szCs w:val="24"/>
        </w:rPr>
        <w:t xml:space="preserve"> muestra los coeficientes estimados por el modelo SAR para Armenia. Esta gráfica permite identificar cuáles variables tienen mayor peso en la explicación del índice multidimensional y si su efecto es positivo o negativo.</w:t>
      </w:r>
    </w:p>
    <w:p w14:paraId="59D38599" w14:textId="3CCD4B6A" w:rsidR="00A67CFF" w:rsidRDefault="006C2945" w:rsidP="00A67CFF">
      <w:pPr>
        <w:rPr>
          <w:rFonts w:ascii="Arial" w:hAnsi="Arial" w:cs="Arial"/>
          <w:b/>
          <w:bCs/>
          <w:sz w:val="24"/>
          <w:szCs w:val="24"/>
        </w:rPr>
      </w:pPr>
      <w:r w:rsidRPr="00444E7E">
        <w:rPr>
          <w:rFonts w:ascii="Arial" w:hAnsi="Arial" w:cs="Arial"/>
          <w:noProof/>
          <w:sz w:val="24"/>
          <w:szCs w:val="24"/>
        </w:rPr>
        <w:drawing>
          <wp:inline distT="0" distB="0" distL="0" distR="0" wp14:anchorId="58ECBCAD" wp14:editId="75E5F376">
            <wp:extent cx="5612130" cy="3507740"/>
            <wp:effectExtent l="0" t="0" r="7620" b="0"/>
            <wp:docPr id="213471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507740"/>
                    </a:xfrm>
                    <a:prstGeom prst="rect">
                      <a:avLst/>
                    </a:prstGeom>
                    <a:noFill/>
                    <a:ln>
                      <a:noFill/>
                    </a:ln>
                  </pic:spPr>
                </pic:pic>
              </a:graphicData>
            </a:graphic>
          </wp:inline>
        </w:drawing>
      </w:r>
    </w:p>
    <w:p w14:paraId="282B8F80" w14:textId="77777777" w:rsidR="004C4A6B" w:rsidRPr="00444E7E" w:rsidRDefault="004C4A6B" w:rsidP="004C4A6B">
      <w:pPr>
        <w:pStyle w:val="Descripcin"/>
        <w:rPr>
          <w:rFonts w:ascii="Arial" w:hAnsi="Arial" w:cs="Arial"/>
          <w:sz w:val="24"/>
          <w:szCs w:val="24"/>
        </w:rPr>
      </w:pPr>
      <w:bookmarkStart w:id="8" w:name="_Toc227517115"/>
      <w:r>
        <w:t xml:space="preserve">Ilustración </w:t>
      </w:r>
      <w:r>
        <w:fldChar w:fldCharType="begin"/>
      </w:r>
      <w:r>
        <w:instrText xml:space="preserve"> SEQ Ilustración \* ARABIC </w:instrText>
      </w:r>
      <w:r>
        <w:fldChar w:fldCharType="separate"/>
      </w:r>
      <w:r>
        <w:rPr>
          <w:noProof/>
        </w:rPr>
        <w:t>4</w:t>
      </w:r>
      <w:r>
        <w:rPr>
          <w:noProof/>
        </w:rPr>
        <w:fldChar w:fldCharType="end"/>
      </w:r>
      <w:r>
        <w:t>: Coeficientes SAR de Armenia</w:t>
      </w:r>
      <w:bookmarkEnd w:id="8"/>
    </w:p>
    <w:p w14:paraId="578F1BD5" w14:textId="77777777" w:rsidR="004C4A6B" w:rsidRDefault="004C4A6B" w:rsidP="00A67CFF">
      <w:pPr>
        <w:rPr>
          <w:rFonts w:ascii="Arial" w:hAnsi="Arial" w:cs="Arial"/>
          <w:b/>
          <w:bCs/>
          <w:sz w:val="24"/>
          <w:szCs w:val="24"/>
        </w:rPr>
      </w:pPr>
    </w:p>
    <w:p w14:paraId="017C3486" w14:textId="77777777" w:rsidR="002659E3" w:rsidRPr="00444E7E" w:rsidRDefault="002659E3" w:rsidP="00A67CFF">
      <w:pPr>
        <w:rPr>
          <w:rFonts w:ascii="Arial" w:hAnsi="Arial" w:cs="Arial"/>
          <w:b/>
          <w:bCs/>
          <w:sz w:val="24"/>
          <w:szCs w:val="24"/>
        </w:rPr>
      </w:pPr>
    </w:p>
    <w:p w14:paraId="6C803BF7" w14:textId="01802FA5" w:rsidR="006C2945" w:rsidRPr="004E78E3" w:rsidRDefault="004E78E3" w:rsidP="00A67CFF">
      <w:pPr>
        <w:rPr>
          <w:rFonts w:ascii="Arial" w:hAnsi="Arial" w:cs="Arial"/>
          <w:sz w:val="24"/>
          <w:szCs w:val="24"/>
        </w:rPr>
      </w:pPr>
      <w:r w:rsidRPr="004E78E3">
        <w:rPr>
          <w:rFonts w:ascii="Arial" w:hAnsi="Arial" w:cs="Arial"/>
          <w:sz w:val="24"/>
          <w:szCs w:val="24"/>
        </w:rPr>
        <w:t>La Tabla 7 compara los coeficientes SAR estimados para Armenia, Pereira y Cali. Esta comparación permite verificar si la dirección de los efectos se mantiene entre ciudades y cuáles variables tienen mayor influencia en el modelo.</w:t>
      </w:r>
    </w:p>
    <w:p w14:paraId="2F1901A0" w14:textId="4631B225" w:rsidR="006C2945" w:rsidRPr="00444E7E" w:rsidRDefault="00A559EC" w:rsidP="00A559EC">
      <w:pPr>
        <w:pStyle w:val="Descripcin"/>
        <w:rPr>
          <w:rFonts w:ascii="Arial" w:hAnsi="Arial" w:cs="Arial"/>
          <w:b/>
          <w:bCs/>
          <w:sz w:val="24"/>
          <w:szCs w:val="24"/>
        </w:rPr>
      </w:pPr>
      <w:bookmarkStart w:id="9" w:name="_Toc227517149"/>
      <w:r>
        <w:t xml:space="preserve">Tabla </w:t>
      </w:r>
      <w:fldSimple w:instr=" SEQ Tabla \* ARABIC ">
        <w:r w:rsidR="00E06EA1">
          <w:rPr>
            <w:noProof/>
          </w:rPr>
          <w:t>7</w:t>
        </w:r>
      </w:fldSimple>
      <w:r>
        <w:t>: Coeficientes SAR de las ciudades</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3"/>
        <w:gridCol w:w="1041"/>
        <w:gridCol w:w="894"/>
        <w:gridCol w:w="909"/>
      </w:tblGrid>
      <w:tr w:rsidR="00673816" w:rsidRPr="00444E7E" w14:paraId="4F82817C" w14:textId="77777777" w:rsidTr="00A559EC">
        <w:trPr>
          <w:tblHeader/>
          <w:tblCellSpacing w:w="15" w:type="dxa"/>
        </w:trPr>
        <w:tc>
          <w:tcPr>
            <w:tcW w:w="0" w:type="auto"/>
            <w:vAlign w:val="center"/>
            <w:hideMark/>
          </w:tcPr>
          <w:p w14:paraId="45B3BE5C" w14:textId="77777777" w:rsidR="00673816" w:rsidRPr="00444E7E" w:rsidRDefault="00673816" w:rsidP="00673816">
            <w:pPr>
              <w:rPr>
                <w:rFonts w:ascii="Arial" w:hAnsi="Arial" w:cs="Arial"/>
                <w:b/>
                <w:bCs/>
                <w:sz w:val="24"/>
                <w:szCs w:val="24"/>
              </w:rPr>
            </w:pPr>
            <w:r w:rsidRPr="00444E7E">
              <w:rPr>
                <w:rFonts w:ascii="Arial" w:hAnsi="Arial" w:cs="Arial"/>
                <w:b/>
                <w:bCs/>
                <w:sz w:val="24"/>
                <w:szCs w:val="24"/>
              </w:rPr>
              <w:t>Variable</w:t>
            </w:r>
          </w:p>
        </w:tc>
        <w:tc>
          <w:tcPr>
            <w:tcW w:w="0" w:type="auto"/>
            <w:vAlign w:val="center"/>
            <w:hideMark/>
          </w:tcPr>
          <w:p w14:paraId="1B9AA332" w14:textId="77777777" w:rsidR="00673816" w:rsidRPr="00444E7E" w:rsidRDefault="00673816" w:rsidP="00673816">
            <w:pPr>
              <w:rPr>
                <w:rFonts w:ascii="Arial" w:hAnsi="Arial" w:cs="Arial"/>
                <w:b/>
                <w:bCs/>
                <w:sz w:val="24"/>
                <w:szCs w:val="24"/>
              </w:rPr>
            </w:pPr>
            <w:r w:rsidRPr="00444E7E">
              <w:rPr>
                <w:rFonts w:ascii="Arial" w:hAnsi="Arial" w:cs="Arial"/>
                <w:b/>
                <w:bCs/>
                <w:sz w:val="24"/>
                <w:szCs w:val="24"/>
              </w:rPr>
              <w:t>Armenia</w:t>
            </w:r>
          </w:p>
        </w:tc>
        <w:tc>
          <w:tcPr>
            <w:tcW w:w="0" w:type="auto"/>
            <w:vAlign w:val="center"/>
            <w:hideMark/>
          </w:tcPr>
          <w:p w14:paraId="16736B7D" w14:textId="77777777" w:rsidR="00673816" w:rsidRPr="00444E7E" w:rsidRDefault="00673816" w:rsidP="00673816">
            <w:pPr>
              <w:rPr>
                <w:rFonts w:ascii="Arial" w:hAnsi="Arial" w:cs="Arial"/>
                <w:b/>
                <w:bCs/>
                <w:sz w:val="24"/>
                <w:szCs w:val="24"/>
              </w:rPr>
            </w:pPr>
            <w:r w:rsidRPr="00444E7E">
              <w:rPr>
                <w:rFonts w:ascii="Arial" w:hAnsi="Arial" w:cs="Arial"/>
                <w:b/>
                <w:bCs/>
                <w:sz w:val="24"/>
                <w:szCs w:val="24"/>
              </w:rPr>
              <w:t>Pereira</w:t>
            </w:r>
          </w:p>
        </w:tc>
        <w:tc>
          <w:tcPr>
            <w:tcW w:w="0" w:type="auto"/>
            <w:vAlign w:val="center"/>
            <w:hideMark/>
          </w:tcPr>
          <w:p w14:paraId="64EF6855" w14:textId="77777777" w:rsidR="00673816" w:rsidRPr="00444E7E" w:rsidRDefault="00673816" w:rsidP="00673816">
            <w:pPr>
              <w:rPr>
                <w:rFonts w:ascii="Arial" w:hAnsi="Arial" w:cs="Arial"/>
                <w:b/>
                <w:bCs/>
                <w:sz w:val="24"/>
                <w:szCs w:val="24"/>
              </w:rPr>
            </w:pPr>
            <w:r w:rsidRPr="00444E7E">
              <w:rPr>
                <w:rFonts w:ascii="Arial" w:hAnsi="Arial" w:cs="Arial"/>
                <w:b/>
                <w:bCs/>
                <w:sz w:val="24"/>
                <w:szCs w:val="24"/>
              </w:rPr>
              <w:t>Cali</w:t>
            </w:r>
          </w:p>
        </w:tc>
      </w:tr>
      <w:tr w:rsidR="00673816" w:rsidRPr="00444E7E" w14:paraId="090609F1" w14:textId="77777777" w:rsidTr="00A559EC">
        <w:trPr>
          <w:tblCellSpacing w:w="15" w:type="dxa"/>
        </w:trPr>
        <w:tc>
          <w:tcPr>
            <w:tcW w:w="0" w:type="auto"/>
            <w:vAlign w:val="center"/>
            <w:hideMark/>
          </w:tcPr>
          <w:p w14:paraId="5CAE4E82" w14:textId="77777777" w:rsidR="00673816" w:rsidRPr="00444E7E" w:rsidRDefault="00673816" w:rsidP="00673816">
            <w:pPr>
              <w:rPr>
                <w:rFonts w:ascii="Arial" w:hAnsi="Arial" w:cs="Arial"/>
                <w:sz w:val="24"/>
                <w:szCs w:val="24"/>
              </w:rPr>
            </w:pPr>
            <w:r w:rsidRPr="00444E7E">
              <w:rPr>
                <w:rFonts w:ascii="Arial" w:hAnsi="Arial" w:cs="Arial"/>
                <w:sz w:val="24"/>
                <w:szCs w:val="24"/>
              </w:rPr>
              <w:t>Estrato</w:t>
            </w:r>
          </w:p>
        </w:tc>
        <w:tc>
          <w:tcPr>
            <w:tcW w:w="0" w:type="auto"/>
            <w:vAlign w:val="center"/>
            <w:hideMark/>
          </w:tcPr>
          <w:p w14:paraId="2606B09D" w14:textId="77777777" w:rsidR="00673816" w:rsidRPr="00444E7E" w:rsidRDefault="00673816" w:rsidP="00673816">
            <w:pPr>
              <w:rPr>
                <w:rFonts w:ascii="Arial" w:hAnsi="Arial" w:cs="Arial"/>
                <w:sz w:val="24"/>
                <w:szCs w:val="24"/>
              </w:rPr>
            </w:pPr>
            <w:r w:rsidRPr="00444E7E">
              <w:rPr>
                <w:rFonts w:ascii="Arial" w:hAnsi="Arial" w:cs="Arial"/>
                <w:sz w:val="24"/>
                <w:szCs w:val="24"/>
              </w:rPr>
              <w:t>-0.0130</w:t>
            </w:r>
          </w:p>
        </w:tc>
        <w:tc>
          <w:tcPr>
            <w:tcW w:w="0" w:type="auto"/>
            <w:vAlign w:val="center"/>
            <w:hideMark/>
          </w:tcPr>
          <w:p w14:paraId="69B23346" w14:textId="77777777" w:rsidR="00673816" w:rsidRPr="00444E7E" w:rsidRDefault="00673816" w:rsidP="00673816">
            <w:pPr>
              <w:rPr>
                <w:rFonts w:ascii="Arial" w:hAnsi="Arial" w:cs="Arial"/>
                <w:sz w:val="24"/>
                <w:szCs w:val="24"/>
              </w:rPr>
            </w:pPr>
            <w:r w:rsidRPr="00444E7E">
              <w:rPr>
                <w:rFonts w:ascii="Arial" w:hAnsi="Arial" w:cs="Arial"/>
                <w:sz w:val="24"/>
                <w:szCs w:val="24"/>
              </w:rPr>
              <w:t>-0.0101</w:t>
            </w:r>
          </w:p>
        </w:tc>
        <w:tc>
          <w:tcPr>
            <w:tcW w:w="0" w:type="auto"/>
            <w:vAlign w:val="center"/>
            <w:hideMark/>
          </w:tcPr>
          <w:p w14:paraId="74660621" w14:textId="77777777" w:rsidR="00673816" w:rsidRPr="00444E7E" w:rsidRDefault="00673816" w:rsidP="00673816">
            <w:pPr>
              <w:rPr>
                <w:rFonts w:ascii="Arial" w:hAnsi="Arial" w:cs="Arial"/>
                <w:sz w:val="24"/>
                <w:szCs w:val="24"/>
              </w:rPr>
            </w:pPr>
            <w:r w:rsidRPr="00444E7E">
              <w:rPr>
                <w:rFonts w:ascii="Arial" w:hAnsi="Arial" w:cs="Arial"/>
                <w:sz w:val="24"/>
                <w:szCs w:val="24"/>
              </w:rPr>
              <w:t>-0.0089</w:t>
            </w:r>
          </w:p>
        </w:tc>
      </w:tr>
      <w:tr w:rsidR="00673816" w:rsidRPr="00444E7E" w14:paraId="189AADC4" w14:textId="77777777" w:rsidTr="00A559EC">
        <w:trPr>
          <w:tblCellSpacing w:w="15" w:type="dxa"/>
        </w:trPr>
        <w:tc>
          <w:tcPr>
            <w:tcW w:w="0" w:type="auto"/>
            <w:vAlign w:val="center"/>
            <w:hideMark/>
          </w:tcPr>
          <w:p w14:paraId="47B81008" w14:textId="77777777" w:rsidR="00673816" w:rsidRPr="00444E7E" w:rsidRDefault="00673816" w:rsidP="00673816">
            <w:pPr>
              <w:rPr>
                <w:rFonts w:ascii="Arial" w:hAnsi="Arial" w:cs="Arial"/>
                <w:sz w:val="24"/>
                <w:szCs w:val="24"/>
              </w:rPr>
            </w:pPr>
            <w:r w:rsidRPr="00444E7E">
              <w:rPr>
                <w:rFonts w:ascii="Arial" w:hAnsi="Arial" w:cs="Arial"/>
                <w:sz w:val="24"/>
                <w:szCs w:val="24"/>
              </w:rPr>
              <w:t>Hacinamiento</w:t>
            </w:r>
          </w:p>
        </w:tc>
        <w:tc>
          <w:tcPr>
            <w:tcW w:w="0" w:type="auto"/>
            <w:vAlign w:val="center"/>
            <w:hideMark/>
          </w:tcPr>
          <w:p w14:paraId="7B4BE68F" w14:textId="77777777" w:rsidR="00673816" w:rsidRPr="00444E7E" w:rsidRDefault="00673816" w:rsidP="00673816">
            <w:pPr>
              <w:rPr>
                <w:rFonts w:ascii="Arial" w:hAnsi="Arial" w:cs="Arial"/>
                <w:sz w:val="24"/>
                <w:szCs w:val="24"/>
              </w:rPr>
            </w:pPr>
            <w:r w:rsidRPr="00444E7E">
              <w:rPr>
                <w:rFonts w:ascii="Arial" w:hAnsi="Arial" w:cs="Arial"/>
                <w:sz w:val="24"/>
                <w:szCs w:val="24"/>
              </w:rPr>
              <w:t>0.0324</w:t>
            </w:r>
          </w:p>
        </w:tc>
        <w:tc>
          <w:tcPr>
            <w:tcW w:w="0" w:type="auto"/>
            <w:vAlign w:val="center"/>
            <w:hideMark/>
          </w:tcPr>
          <w:p w14:paraId="29D8EC1E" w14:textId="77777777" w:rsidR="00673816" w:rsidRPr="00444E7E" w:rsidRDefault="00673816" w:rsidP="00673816">
            <w:pPr>
              <w:rPr>
                <w:rFonts w:ascii="Arial" w:hAnsi="Arial" w:cs="Arial"/>
                <w:sz w:val="24"/>
                <w:szCs w:val="24"/>
              </w:rPr>
            </w:pPr>
            <w:r w:rsidRPr="00444E7E">
              <w:rPr>
                <w:rFonts w:ascii="Arial" w:hAnsi="Arial" w:cs="Arial"/>
                <w:sz w:val="24"/>
                <w:szCs w:val="24"/>
              </w:rPr>
              <w:t>0.0340</w:t>
            </w:r>
          </w:p>
        </w:tc>
        <w:tc>
          <w:tcPr>
            <w:tcW w:w="0" w:type="auto"/>
            <w:vAlign w:val="center"/>
            <w:hideMark/>
          </w:tcPr>
          <w:p w14:paraId="01E71198" w14:textId="77777777" w:rsidR="00673816" w:rsidRPr="00444E7E" w:rsidRDefault="00673816" w:rsidP="00673816">
            <w:pPr>
              <w:rPr>
                <w:rFonts w:ascii="Arial" w:hAnsi="Arial" w:cs="Arial"/>
                <w:sz w:val="24"/>
                <w:szCs w:val="24"/>
              </w:rPr>
            </w:pPr>
            <w:r w:rsidRPr="00444E7E">
              <w:rPr>
                <w:rFonts w:ascii="Arial" w:hAnsi="Arial" w:cs="Arial"/>
                <w:sz w:val="24"/>
                <w:szCs w:val="24"/>
              </w:rPr>
              <w:t>0.0228</w:t>
            </w:r>
          </w:p>
        </w:tc>
      </w:tr>
      <w:tr w:rsidR="00673816" w:rsidRPr="00444E7E" w14:paraId="434312AE" w14:textId="77777777" w:rsidTr="00A559EC">
        <w:trPr>
          <w:tblCellSpacing w:w="15" w:type="dxa"/>
        </w:trPr>
        <w:tc>
          <w:tcPr>
            <w:tcW w:w="0" w:type="auto"/>
            <w:vAlign w:val="center"/>
            <w:hideMark/>
          </w:tcPr>
          <w:p w14:paraId="0108FEDE" w14:textId="77777777" w:rsidR="00673816" w:rsidRPr="00444E7E" w:rsidRDefault="00673816" w:rsidP="00673816">
            <w:pPr>
              <w:rPr>
                <w:rFonts w:ascii="Arial" w:hAnsi="Arial" w:cs="Arial"/>
                <w:sz w:val="24"/>
                <w:szCs w:val="24"/>
              </w:rPr>
            </w:pPr>
            <w:r w:rsidRPr="00444E7E">
              <w:rPr>
                <w:rFonts w:ascii="Arial" w:hAnsi="Arial" w:cs="Arial"/>
                <w:sz w:val="24"/>
                <w:szCs w:val="24"/>
              </w:rPr>
              <w:t>Acueducto</w:t>
            </w:r>
          </w:p>
        </w:tc>
        <w:tc>
          <w:tcPr>
            <w:tcW w:w="0" w:type="auto"/>
            <w:vAlign w:val="center"/>
            <w:hideMark/>
          </w:tcPr>
          <w:p w14:paraId="512639C7" w14:textId="77777777" w:rsidR="00673816" w:rsidRPr="00444E7E" w:rsidRDefault="00673816" w:rsidP="00673816">
            <w:pPr>
              <w:rPr>
                <w:rFonts w:ascii="Arial" w:hAnsi="Arial" w:cs="Arial"/>
                <w:sz w:val="24"/>
                <w:szCs w:val="24"/>
              </w:rPr>
            </w:pPr>
            <w:r w:rsidRPr="00444E7E">
              <w:rPr>
                <w:rFonts w:ascii="Arial" w:hAnsi="Arial" w:cs="Arial"/>
                <w:sz w:val="24"/>
                <w:szCs w:val="24"/>
              </w:rPr>
              <w:t>-0.0010</w:t>
            </w:r>
          </w:p>
        </w:tc>
        <w:tc>
          <w:tcPr>
            <w:tcW w:w="0" w:type="auto"/>
            <w:vAlign w:val="center"/>
            <w:hideMark/>
          </w:tcPr>
          <w:p w14:paraId="42836ACD" w14:textId="77777777" w:rsidR="00673816" w:rsidRPr="00444E7E" w:rsidRDefault="00673816" w:rsidP="00673816">
            <w:pPr>
              <w:rPr>
                <w:rFonts w:ascii="Arial" w:hAnsi="Arial" w:cs="Arial"/>
                <w:sz w:val="24"/>
                <w:szCs w:val="24"/>
              </w:rPr>
            </w:pPr>
            <w:r w:rsidRPr="00444E7E">
              <w:rPr>
                <w:rFonts w:ascii="Arial" w:hAnsi="Arial" w:cs="Arial"/>
                <w:sz w:val="24"/>
                <w:szCs w:val="24"/>
              </w:rPr>
              <w:t>-0.0013</w:t>
            </w:r>
          </w:p>
        </w:tc>
        <w:tc>
          <w:tcPr>
            <w:tcW w:w="0" w:type="auto"/>
            <w:vAlign w:val="center"/>
            <w:hideMark/>
          </w:tcPr>
          <w:p w14:paraId="46A501CE" w14:textId="77777777" w:rsidR="00673816" w:rsidRPr="00444E7E" w:rsidRDefault="00673816" w:rsidP="00673816">
            <w:pPr>
              <w:rPr>
                <w:rFonts w:ascii="Arial" w:hAnsi="Arial" w:cs="Arial"/>
                <w:sz w:val="24"/>
                <w:szCs w:val="24"/>
              </w:rPr>
            </w:pPr>
            <w:r w:rsidRPr="00444E7E">
              <w:rPr>
                <w:rFonts w:ascii="Arial" w:hAnsi="Arial" w:cs="Arial"/>
                <w:sz w:val="24"/>
                <w:szCs w:val="24"/>
              </w:rPr>
              <w:t>-0.0007</w:t>
            </w:r>
          </w:p>
        </w:tc>
      </w:tr>
      <w:tr w:rsidR="00673816" w:rsidRPr="00444E7E" w14:paraId="2D46E7AC" w14:textId="77777777" w:rsidTr="00A559EC">
        <w:trPr>
          <w:tblCellSpacing w:w="15" w:type="dxa"/>
        </w:trPr>
        <w:tc>
          <w:tcPr>
            <w:tcW w:w="0" w:type="auto"/>
            <w:vAlign w:val="center"/>
            <w:hideMark/>
          </w:tcPr>
          <w:p w14:paraId="7F3064B0" w14:textId="77777777" w:rsidR="00673816" w:rsidRPr="00444E7E" w:rsidRDefault="00673816" w:rsidP="00673816">
            <w:pPr>
              <w:rPr>
                <w:rFonts w:ascii="Arial" w:hAnsi="Arial" w:cs="Arial"/>
                <w:sz w:val="24"/>
                <w:szCs w:val="24"/>
              </w:rPr>
            </w:pPr>
            <w:r w:rsidRPr="00444E7E">
              <w:rPr>
                <w:rFonts w:ascii="Arial" w:hAnsi="Arial" w:cs="Arial"/>
                <w:sz w:val="24"/>
                <w:szCs w:val="24"/>
              </w:rPr>
              <w:t>Alcantarillado</w:t>
            </w:r>
          </w:p>
        </w:tc>
        <w:tc>
          <w:tcPr>
            <w:tcW w:w="0" w:type="auto"/>
            <w:vAlign w:val="center"/>
            <w:hideMark/>
          </w:tcPr>
          <w:p w14:paraId="7E93BF13" w14:textId="77777777" w:rsidR="00673816" w:rsidRPr="00444E7E" w:rsidRDefault="00673816" w:rsidP="00673816">
            <w:pPr>
              <w:rPr>
                <w:rFonts w:ascii="Arial" w:hAnsi="Arial" w:cs="Arial"/>
                <w:sz w:val="24"/>
                <w:szCs w:val="24"/>
              </w:rPr>
            </w:pPr>
            <w:r w:rsidRPr="00444E7E">
              <w:rPr>
                <w:rFonts w:ascii="Arial" w:hAnsi="Arial" w:cs="Arial"/>
                <w:sz w:val="24"/>
                <w:szCs w:val="24"/>
              </w:rPr>
              <w:t>-0.0005</w:t>
            </w:r>
          </w:p>
        </w:tc>
        <w:tc>
          <w:tcPr>
            <w:tcW w:w="0" w:type="auto"/>
            <w:vAlign w:val="center"/>
            <w:hideMark/>
          </w:tcPr>
          <w:p w14:paraId="051647F2" w14:textId="77777777" w:rsidR="00673816" w:rsidRPr="00444E7E" w:rsidRDefault="00673816" w:rsidP="00673816">
            <w:pPr>
              <w:rPr>
                <w:rFonts w:ascii="Arial" w:hAnsi="Arial" w:cs="Arial"/>
                <w:sz w:val="24"/>
                <w:szCs w:val="24"/>
              </w:rPr>
            </w:pPr>
            <w:r w:rsidRPr="00444E7E">
              <w:rPr>
                <w:rFonts w:ascii="Arial" w:hAnsi="Arial" w:cs="Arial"/>
                <w:sz w:val="24"/>
                <w:szCs w:val="24"/>
              </w:rPr>
              <w:t>-0.0004</w:t>
            </w:r>
          </w:p>
        </w:tc>
        <w:tc>
          <w:tcPr>
            <w:tcW w:w="0" w:type="auto"/>
            <w:vAlign w:val="center"/>
            <w:hideMark/>
          </w:tcPr>
          <w:p w14:paraId="42D2D51F" w14:textId="77777777" w:rsidR="00673816" w:rsidRPr="00444E7E" w:rsidRDefault="00673816" w:rsidP="00673816">
            <w:pPr>
              <w:rPr>
                <w:rFonts w:ascii="Arial" w:hAnsi="Arial" w:cs="Arial"/>
                <w:sz w:val="24"/>
                <w:szCs w:val="24"/>
              </w:rPr>
            </w:pPr>
            <w:r w:rsidRPr="00444E7E">
              <w:rPr>
                <w:rFonts w:ascii="Arial" w:hAnsi="Arial" w:cs="Arial"/>
                <w:sz w:val="24"/>
                <w:szCs w:val="24"/>
              </w:rPr>
              <w:t>-0.0004</w:t>
            </w:r>
          </w:p>
        </w:tc>
      </w:tr>
      <w:tr w:rsidR="00673816" w:rsidRPr="00444E7E" w14:paraId="5093CA7F" w14:textId="77777777" w:rsidTr="00A559EC">
        <w:trPr>
          <w:tblCellSpacing w:w="15" w:type="dxa"/>
        </w:trPr>
        <w:tc>
          <w:tcPr>
            <w:tcW w:w="0" w:type="auto"/>
            <w:vAlign w:val="center"/>
            <w:hideMark/>
          </w:tcPr>
          <w:p w14:paraId="14326A0F" w14:textId="77777777" w:rsidR="00673816" w:rsidRPr="00444E7E" w:rsidRDefault="00673816" w:rsidP="00673816">
            <w:pPr>
              <w:rPr>
                <w:rFonts w:ascii="Arial" w:hAnsi="Arial" w:cs="Arial"/>
                <w:sz w:val="24"/>
                <w:szCs w:val="24"/>
              </w:rPr>
            </w:pPr>
            <w:r w:rsidRPr="00444E7E">
              <w:rPr>
                <w:rFonts w:ascii="Arial" w:hAnsi="Arial" w:cs="Arial"/>
                <w:sz w:val="24"/>
                <w:szCs w:val="24"/>
              </w:rPr>
              <w:lastRenderedPageBreak/>
              <w:t>Gas</w:t>
            </w:r>
          </w:p>
        </w:tc>
        <w:tc>
          <w:tcPr>
            <w:tcW w:w="0" w:type="auto"/>
            <w:vAlign w:val="center"/>
            <w:hideMark/>
          </w:tcPr>
          <w:p w14:paraId="6D1B7A3E" w14:textId="77777777" w:rsidR="00673816" w:rsidRPr="00444E7E" w:rsidRDefault="00673816" w:rsidP="00673816">
            <w:pPr>
              <w:rPr>
                <w:rFonts w:ascii="Arial" w:hAnsi="Arial" w:cs="Arial"/>
                <w:sz w:val="24"/>
                <w:szCs w:val="24"/>
              </w:rPr>
            </w:pPr>
            <w:r w:rsidRPr="00444E7E">
              <w:rPr>
                <w:rFonts w:ascii="Arial" w:hAnsi="Arial" w:cs="Arial"/>
                <w:sz w:val="24"/>
                <w:szCs w:val="24"/>
              </w:rPr>
              <w:t>-0.0008</w:t>
            </w:r>
          </w:p>
        </w:tc>
        <w:tc>
          <w:tcPr>
            <w:tcW w:w="0" w:type="auto"/>
            <w:vAlign w:val="center"/>
            <w:hideMark/>
          </w:tcPr>
          <w:p w14:paraId="522D9096" w14:textId="77777777" w:rsidR="00673816" w:rsidRPr="00444E7E" w:rsidRDefault="00673816" w:rsidP="00673816">
            <w:pPr>
              <w:rPr>
                <w:rFonts w:ascii="Arial" w:hAnsi="Arial" w:cs="Arial"/>
                <w:sz w:val="24"/>
                <w:szCs w:val="24"/>
              </w:rPr>
            </w:pPr>
            <w:r w:rsidRPr="00444E7E">
              <w:rPr>
                <w:rFonts w:ascii="Arial" w:hAnsi="Arial" w:cs="Arial"/>
                <w:sz w:val="24"/>
                <w:szCs w:val="24"/>
              </w:rPr>
              <w:t>-0.0007</w:t>
            </w:r>
          </w:p>
        </w:tc>
        <w:tc>
          <w:tcPr>
            <w:tcW w:w="0" w:type="auto"/>
            <w:vAlign w:val="center"/>
            <w:hideMark/>
          </w:tcPr>
          <w:p w14:paraId="3910B245" w14:textId="77777777" w:rsidR="00673816" w:rsidRPr="00444E7E" w:rsidRDefault="00673816" w:rsidP="00673816">
            <w:pPr>
              <w:rPr>
                <w:rFonts w:ascii="Arial" w:hAnsi="Arial" w:cs="Arial"/>
                <w:sz w:val="24"/>
                <w:szCs w:val="24"/>
              </w:rPr>
            </w:pPr>
            <w:r w:rsidRPr="00444E7E">
              <w:rPr>
                <w:rFonts w:ascii="Arial" w:hAnsi="Arial" w:cs="Arial"/>
                <w:sz w:val="24"/>
                <w:szCs w:val="24"/>
              </w:rPr>
              <w:t>-0.0005</w:t>
            </w:r>
          </w:p>
        </w:tc>
      </w:tr>
      <w:tr w:rsidR="00673816" w:rsidRPr="00444E7E" w14:paraId="4D34C146" w14:textId="77777777" w:rsidTr="00A559EC">
        <w:trPr>
          <w:tblCellSpacing w:w="15" w:type="dxa"/>
        </w:trPr>
        <w:tc>
          <w:tcPr>
            <w:tcW w:w="0" w:type="auto"/>
            <w:vAlign w:val="center"/>
            <w:hideMark/>
          </w:tcPr>
          <w:p w14:paraId="50CC4446" w14:textId="77777777" w:rsidR="00673816" w:rsidRPr="00444E7E" w:rsidRDefault="00673816" w:rsidP="00673816">
            <w:pPr>
              <w:rPr>
                <w:rFonts w:ascii="Arial" w:hAnsi="Arial" w:cs="Arial"/>
                <w:sz w:val="24"/>
                <w:szCs w:val="24"/>
              </w:rPr>
            </w:pPr>
            <w:r w:rsidRPr="00444E7E">
              <w:rPr>
                <w:rFonts w:ascii="Arial" w:hAnsi="Arial" w:cs="Arial"/>
                <w:sz w:val="24"/>
                <w:szCs w:val="24"/>
              </w:rPr>
              <w:t>Internet</w:t>
            </w:r>
          </w:p>
        </w:tc>
        <w:tc>
          <w:tcPr>
            <w:tcW w:w="0" w:type="auto"/>
            <w:vAlign w:val="center"/>
            <w:hideMark/>
          </w:tcPr>
          <w:p w14:paraId="47641EFA" w14:textId="77777777" w:rsidR="00673816" w:rsidRPr="00444E7E" w:rsidRDefault="00673816" w:rsidP="00673816">
            <w:pPr>
              <w:rPr>
                <w:rFonts w:ascii="Arial" w:hAnsi="Arial" w:cs="Arial"/>
                <w:sz w:val="24"/>
                <w:szCs w:val="24"/>
              </w:rPr>
            </w:pPr>
            <w:r w:rsidRPr="00444E7E">
              <w:rPr>
                <w:rFonts w:ascii="Arial" w:hAnsi="Arial" w:cs="Arial"/>
                <w:sz w:val="24"/>
                <w:szCs w:val="24"/>
              </w:rPr>
              <w:t>-0.0009</w:t>
            </w:r>
          </w:p>
        </w:tc>
        <w:tc>
          <w:tcPr>
            <w:tcW w:w="0" w:type="auto"/>
            <w:vAlign w:val="center"/>
            <w:hideMark/>
          </w:tcPr>
          <w:p w14:paraId="670525B9" w14:textId="77777777" w:rsidR="00673816" w:rsidRPr="00444E7E" w:rsidRDefault="00673816" w:rsidP="00673816">
            <w:pPr>
              <w:rPr>
                <w:rFonts w:ascii="Arial" w:hAnsi="Arial" w:cs="Arial"/>
                <w:sz w:val="24"/>
                <w:szCs w:val="24"/>
              </w:rPr>
            </w:pPr>
            <w:r w:rsidRPr="00444E7E">
              <w:rPr>
                <w:rFonts w:ascii="Arial" w:hAnsi="Arial" w:cs="Arial"/>
                <w:sz w:val="24"/>
                <w:szCs w:val="24"/>
              </w:rPr>
              <w:t>-0.0007</w:t>
            </w:r>
          </w:p>
        </w:tc>
        <w:tc>
          <w:tcPr>
            <w:tcW w:w="0" w:type="auto"/>
            <w:vAlign w:val="center"/>
            <w:hideMark/>
          </w:tcPr>
          <w:p w14:paraId="4B85204B" w14:textId="77777777" w:rsidR="00673816" w:rsidRPr="00444E7E" w:rsidRDefault="00673816" w:rsidP="00673816">
            <w:pPr>
              <w:rPr>
                <w:rFonts w:ascii="Arial" w:hAnsi="Arial" w:cs="Arial"/>
                <w:sz w:val="24"/>
                <w:szCs w:val="24"/>
              </w:rPr>
            </w:pPr>
            <w:r w:rsidRPr="00444E7E">
              <w:rPr>
                <w:rFonts w:ascii="Arial" w:hAnsi="Arial" w:cs="Arial"/>
                <w:sz w:val="24"/>
                <w:szCs w:val="24"/>
              </w:rPr>
              <w:t>-0.0009</w:t>
            </w:r>
          </w:p>
        </w:tc>
      </w:tr>
    </w:tbl>
    <w:p w14:paraId="4B1D0588" w14:textId="77777777" w:rsidR="00A559EC" w:rsidRDefault="00A559EC" w:rsidP="00673816">
      <w:pPr>
        <w:jc w:val="both"/>
        <w:rPr>
          <w:rFonts w:ascii="Arial" w:hAnsi="Arial" w:cs="Arial"/>
          <w:sz w:val="24"/>
          <w:szCs w:val="24"/>
        </w:rPr>
      </w:pPr>
    </w:p>
    <w:p w14:paraId="1D19027E" w14:textId="76CDAAC4" w:rsidR="00673816" w:rsidRPr="00444E7E" w:rsidRDefault="00673816" w:rsidP="00673816">
      <w:pPr>
        <w:jc w:val="both"/>
        <w:rPr>
          <w:rFonts w:ascii="Arial" w:hAnsi="Arial" w:cs="Arial"/>
          <w:sz w:val="24"/>
          <w:szCs w:val="24"/>
        </w:rPr>
      </w:pPr>
      <w:r w:rsidRPr="00444E7E">
        <w:rPr>
          <w:rFonts w:ascii="Arial" w:hAnsi="Arial" w:cs="Arial"/>
          <w:sz w:val="24"/>
          <w:szCs w:val="24"/>
        </w:rPr>
        <w:t>Los resultados muestran una alta consistencia en la dirección de los efectos entre ciudades. El estrato socioeconómico presenta un impacto negativo en todos los casos, confirmando su papel como principal determinante estructural de la pobreza. Por su parte, el hacinamiento muestra un efecto positivo robusto, lo que evidencia la importancia de las condiciones habitacionales.</w:t>
      </w:r>
    </w:p>
    <w:p w14:paraId="63814D4D" w14:textId="77777777" w:rsidR="00673816" w:rsidRPr="00444E7E" w:rsidRDefault="00673816" w:rsidP="00673816">
      <w:pPr>
        <w:jc w:val="both"/>
        <w:rPr>
          <w:rFonts w:ascii="Arial" w:hAnsi="Arial" w:cs="Arial"/>
          <w:sz w:val="24"/>
          <w:szCs w:val="24"/>
        </w:rPr>
      </w:pPr>
      <w:r w:rsidRPr="00444E7E">
        <w:rPr>
          <w:rFonts w:ascii="Arial" w:hAnsi="Arial" w:cs="Arial"/>
          <w:sz w:val="24"/>
          <w:szCs w:val="24"/>
        </w:rPr>
        <w:t>En cuanto a los servicios básicos, todos presentan efectos negativos, lo que refuerza la idea de que la infraestructura urbana constituye un factor clave en la reducción de la pobreza multidimensional.</w:t>
      </w:r>
    </w:p>
    <w:p w14:paraId="47E40C15" w14:textId="77777777" w:rsidR="00673816" w:rsidRPr="00444E7E" w:rsidRDefault="00673816" w:rsidP="00A67CFF">
      <w:pPr>
        <w:rPr>
          <w:rFonts w:ascii="Arial" w:hAnsi="Arial" w:cs="Arial"/>
          <w:b/>
          <w:bCs/>
          <w:sz w:val="24"/>
          <w:szCs w:val="24"/>
        </w:rPr>
      </w:pPr>
    </w:p>
    <w:p w14:paraId="22B913ED" w14:textId="03566449" w:rsidR="00A67CFF" w:rsidRPr="00444E7E" w:rsidRDefault="00A67CFF" w:rsidP="00A67CFF">
      <w:pPr>
        <w:rPr>
          <w:rFonts w:ascii="Arial" w:hAnsi="Arial" w:cs="Arial"/>
          <w:b/>
          <w:bCs/>
          <w:sz w:val="24"/>
          <w:szCs w:val="24"/>
        </w:rPr>
      </w:pPr>
      <w:r w:rsidRPr="00444E7E">
        <w:rPr>
          <w:rFonts w:ascii="Arial" w:hAnsi="Arial" w:cs="Arial"/>
          <w:b/>
          <w:bCs/>
          <w:sz w:val="24"/>
          <w:szCs w:val="24"/>
        </w:rPr>
        <w:t>Efectos espaciales e implicaciones territoriales</w:t>
      </w:r>
    </w:p>
    <w:p w14:paraId="313E40AB"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El modelo SAR permite identificar no solo efectos directos, sino también efectos indirectos (spillovers), los cuales capturan la influencia de una unidad geográfica sobre sus vecinas.</w:t>
      </w:r>
    </w:p>
    <w:p w14:paraId="3C43A43B"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En este análisis, se observa que variables como el estrato y el hacinamiento generan efectos que trascienden la unidad individual, afectando también las condiciones de las áreas circundantes. Esto implica que la pobreza no debe entenderse como un fenómeno aislado, sino como un proceso territorial interdependiente.</w:t>
      </w:r>
    </w:p>
    <w:p w14:paraId="0A00498C"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Esta evidencia complementa los resultados del clustering, ya que sugiere que los grupos identificados no solo comparten características similares, sino que también se encuentran espacialmente conectados.</w:t>
      </w:r>
    </w:p>
    <w:p w14:paraId="481238BB" w14:textId="2451E50A" w:rsidR="00A67CFF" w:rsidRPr="00444E7E" w:rsidRDefault="00A67CFF" w:rsidP="00A67CFF">
      <w:pPr>
        <w:rPr>
          <w:rFonts w:ascii="Arial" w:hAnsi="Arial" w:cs="Arial"/>
          <w:sz w:val="24"/>
          <w:szCs w:val="24"/>
        </w:rPr>
      </w:pPr>
    </w:p>
    <w:p w14:paraId="7E173299" w14:textId="1C728687" w:rsidR="00A67CFF" w:rsidRPr="00444E7E" w:rsidRDefault="00A67CFF" w:rsidP="00A67CFF">
      <w:pPr>
        <w:rPr>
          <w:rFonts w:ascii="Arial" w:hAnsi="Arial" w:cs="Arial"/>
          <w:b/>
          <w:bCs/>
          <w:sz w:val="24"/>
          <w:szCs w:val="24"/>
        </w:rPr>
      </w:pPr>
      <w:r w:rsidRPr="00444E7E">
        <w:rPr>
          <w:rFonts w:ascii="Arial" w:hAnsi="Arial" w:cs="Arial"/>
          <w:b/>
          <w:bCs/>
          <w:sz w:val="24"/>
          <w:szCs w:val="24"/>
        </w:rPr>
        <w:t>Relación con la validación multifuente (IPM y GEIH)</w:t>
      </w:r>
    </w:p>
    <w:p w14:paraId="5AFD2186"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La incorporación del análisis espacial permite reforzar las conclusiones obtenidas en las secciones anteriores del informe.</w:t>
      </w:r>
    </w:p>
    <w:p w14:paraId="3BFBFAF4"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En primer lugar, la coherencia observada entre el clustering y el IPM en dimensiones como servicios y pobreza multidimensional se ve respaldada por la existencia de patrones espaciales significativos, lo que indica que estas dimensiones no solo son consistentes en términos estadísticos, sino también en términos territoriales.</w:t>
      </w:r>
    </w:p>
    <w:p w14:paraId="4CD74459"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lastRenderedPageBreak/>
        <w:t>En segundo lugar, la validación con la GEIH en las dimensiones educativa y laboral se ve complementada por los resultados del modelo SAR, los cuales muestran que estas variables, aunque con diferencias metodológicas, contribuyen de manera consistente a la explicación de la pobreza dentro de un contexto espacial.</w:t>
      </w:r>
    </w:p>
    <w:p w14:paraId="7965DEC6" w14:textId="77777777" w:rsidR="00A67CFF" w:rsidRPr="00444E7E" w:rsidRDefault="00A67CFF" w:rsidP="00A67CFF">
      <w:pPr>
        <w:rPr>
          <w:rFonts w:ascii="Arial" w:hAnsi="Arial" w:cs="Arial"/>
          <w:sz w:val="24"/>
          <w:szCs w:val="24"/>
        </w:rPr>
      </w:pPr>
      <w:r w:rsidRPr="00444E7E">
        <w:rPr>
          <w:rFonts w:ascii="Arial" w:hAnsi="Arial" w:cs="Arial"/>
          <w:sz w:val="24"/>
          <w:szCs w:val="24"/>
        </w:rPr>
        <w:t>En conjunto, estos resultados refuerzan la validez del modelo desde tres perspectivas:</w:t>
      </w:r>
    </w:p>
    <w:p w14:paraId="542046F7" w14:textId="77777777" w:rsidR="00A67CFF" w:rsidRPr="00444E7E" w:rsidRDefault="00A67CFF" w:rsidP="00A67CFF">
      <w:pPr>
        <w:numPr>
          <w:ilvl w:val="0"/>
          <w:numId w:val="7"/>
        </w:numPr>
        <w:rPr>
          <w:rFonts w:ascii="Arial" w:hAnsi="Arial" w:cs="Arial"/>
          <w:sz w:val="24"/>
          <w:szCs w:val="24"/>
        </w:rPr>
      </w:pPr>
      <w:r w:rsidRPr="00444E7E">
        <w:rPr>
          <w:rFonts w:ascii="Arial" w:hAnsi="Arial" w:cs="Arial"/>
          <w:sz w:val="24"/>
          <w:szCs w:val="24"/>
        </w:rPr>
        <w:t xml:space="preserve">Estructural (IPM): coherencia en la organización territorial </w:t>
      </w:r>
    </w:p>
    <w:p w14:paraId="754F6771" w14:textId="77777777" w:rsidR="00A67CFF" w:rsidRPr="00444E7E" w:rsidRDefault="00A67CFF" w:rsidP="00A67CFF">
      <w:pPr>
        <w:numPr>
          <w:ilvl w:val="0"/>
          <w:numId w:val="7"/>
        </w:numPr>
        <w:rPr>
          <w:rFonts w:ascii="Arial" w:hAnsi="Arial" w:cs="Arial"/>
          <w:sz w:val="24"/>
          <w:szCs w:val="24"/>
        </w:rPr>
      </w:pPr>
      <w:r w:rsidRPr="00444E7E">
        <w:rPr>
          <w:rFonts w:ascii="Arial" w:hAnsi="Arial" w:cs="Arial"/>
          <w:sz w:val="24"/>
          <w:szCs w:val="24"/>
        </w:rPr>
        <w:t xml:space="preserve">Socioeconómica (GEIH): consistencia en dinámicas urbanas </w:t>
      </w:r>
    </w:p>
    <w:p w14:paraId="0240419B" w14:textId="77777777" w:rsidR="00A67CFF" w:rsidRDefault="00A67CFF" w:rsidP="00A67CFF">
      <w:pPr>
        <w:numPr>
          <w:ilvl w:val="0"/>
          <w:numId w:val="7"/>
        </w:numPr>
        <w:rPr>
          <w:rFonts w:ascii="Arial" w:hAnsi="Arial" w:cs="Arial"/>
          <w:sz w:val="24"/>
          <w:szCs w:val="24"/>
        </w:rPr>
      </w:pPr>
      <w:r w:rsidRPr="00444E7E">
        <w:rPr>
          <w:rFonts w:ascii="Arial" w:hAnsi="Arial" w:cs="Arial"/>
          <w:sz w:val="24"/>
          <w:szCs w:val="24"/>
        </w:rPr>
        <w:t xml:space="preserve">Espacial (SAR): existencia de dependencia territorial </w:t>
      </w:r>
    </w:p>
    <w:p w14:paraId="106AC63A" w14:textId="77777777" w:rsidR="00E06EA1" w:rsidRDefault="00E06EA1" w:rsidP="00E06EA1">
      <w:pPr>
        <w:rPr>
          <w:rFonts w:ascii="Arial" w:hAnsi="Arial" w:cs="Arial"/>
          <w:sz w:val="24"/>
          <w:szCs w:val="24"/>
        </w:rPr>
      </w:pPr>
    </w:p>
    <w:p w14:paraId="0F8C2480" w14:textId="25191859" w:rsidR="00E06EA1" w:rsidRDefault="004E78E3" w:rsidP="00E06EA1">
      <w:pPr>
        <w:rPr>
          <w:rFonts w:ascii="Arial" w:hAnsi="Arial" w:cs="Arial"/>
          <w:sz w:val="24"/>
          <w:szCs w:val="24"/>
        </w:rPr>
      </w:pPr>
      <w:r w:rsidRPr="004E78E3">
        <w:rPr>
          <w:rFonts w:ascii="Arial" w:hAnsi="Arial" w:cs="Arial"/>
          <w:sz w:val="24"/>
          <w:szCs w:val="24"/>
        </w:rPr>
        <w:t>La Tabla 8 integra los resultados de validación obtenidos mediante clustering, IPM, GEIH y SAR. Esta síntesis permite observar qué dimensiones fueron respaldadas por cada fuente y cuál fue el resultado general de la comparación.</w:t>
      </w:r>
    </w:p>
    <w:p w14:paraId="76218BFB" w14:textId="26ACB46B" w:rsidR="00A67CFF" w:rsidRPr="00E06EA1" w:rsidRDefault="00E06EA1" w:rsidP="00E06EA1">
      <w:pPr>
        <w:pStyle w:val="Descripcin"/>
        <w:rPr>
          <w:rFonts w:ascii="Arial" w:hAnsi="Arial" w:cs="Arial"/>
          <w:sz w:val="24"/>
          <w:szCs w:val="24"/>
        </w:rPr>
      </w:pPr>
      <w:bookmarkStart w:id="10" w:name="_Toc227517150"/>
      <w:r>
        <w:t xml:space="preserve">Tabla </w:t>
      </w:r>
      <w:fldSimple w:instr=" SEQ Tabla \* ARABIC ">
        <w:r>
          <w:rPr>
            <w:noProof/>
          </w:rPr>
          <w:t>8</w:t>
        </w:r>
      </w:fldSimple>
      <w:r>
        <w:t>: Resultados de comparación multifuente</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1267"/>
        <w:gridCol w:w="507"/>
        <w:gridCol w:w="667"/>
        <w:gridCol w:w="587"/>
        <w:gridCol w:w="3070"/>
      </w:tblGrid>
      <w:tr w:rsidR="005A1145" w:rsidRPr="00444E7E" w14:paraId="2BD6C361" w14:textId="77777777" w:rsidTr="007614A1">
        <w:trPr>
          <w:tblHeader/>
          <w:tblCellSpacing w:w="15" w:type="dxa"/>
        </w:trPr>
        <w:tc>
          <w:tcPr>
            <w:tcW w:w="0" w:type="auto"/>
            <w:vAlign w:val="center"/>
            <w:hideMark/>
          </w:tcPr>
          <w:p w14:paraId="416669C7"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Dimensión</w:t>
            </w:r>
          </w:p>
        </w:tc>
        <w:tc>
          <w:tcPr>
            <w:tcW w:w="0" w:type="auto"/>
            <w:vAlign w:val="center"/>
            <w:hideMark/>
          </w:tcPr>
          <w:p w14:paraId="10F4D93A"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Clustering</w:t>
            </w:r>
          </w:p>
        </w:tc>
        <w:tc>
          <w:tcPr>
            <w:tcW w:w="0" w:type="auto"/>
            <w:vAlign w:val="center"/>
            <w:hideMark/>
          </w:tcPr>
          <w:p w14:paraId="1C3E490F"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IPM</w:t>
            </w:r>
          </w:p>
        </w:tc>
        <w:tc>
          <w:tcPr>
            <w:tcW w:w="0" w:type="auto"/>
            <w:vAlign w:val="center"/>
            <w:hideMark/>
          </w:tcPr>
          <w:p w14:paraId="1C8586C3"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GEIH</w:t>
            </w:r>
          </w:p>
        </w:tc>
        <w:tc>
          <w:tcPr>
            <w:tcW w:w="0" w:type="auto"/>
            <w:vAlign w:val="center"/>
            <w:hideMark/>
          </w:tcPr>
          <w:p w14:paraId="498FB72A"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SAR</w:t>
            </w:r>
          </w:p>
        </w:tc>
        <w:tc>
          <w:tcPr>
            <w:tcW w:w="0" w:type="auto"/>
            <w:vAlign w:val="center"/>
            <w:hideMark/>
          </w:tcPr>
          <w:p w14:paraId="2972954F"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Resultado</w:t>
            </w:r>
          </w:p>
        </w:tc>
      </w:tr>
      <w:tr w:rsidR="005A1145" w:rsidRPr="00444E7E" w14:paraId="34F29977" w14:textId="77777777" w:rsidTr="007614A1">
        <w:trPr>
          <w:tblCellSpacing w:w="15" w:type="dxa"/>
        </w:trPr>
        <w:tc>
          <w:tcPr>
            <w:tcW w:w="0" w:type="auto"/>
            <w:vAlign w:val="center"/>
            <w:hideMark/>
          </w:tcPr>
          <w:p w14:paraId="6912253F" w14:textId="77777777" w:rsidR="005A1145" w:rsidRPr="00444E7E" w:rsidRDefault="005A1145" w:rsidP="005A1145">
            <w:pPr>
              <w:rPr>
                <w:rFonts w:ascii="Arial" w:hAnsi="Arial" w:cs="Arial"/>
                <w:sz w:val="24"/>
                <w:szCs w:val="24"/>
              </w:rPr>
            </w:pPr>
            <w:r w:rsidRPr="00444E7E">
              <w:rPr>
                <w:rFonts w:ascii="Arial" w:hAnsi="Arial" w:cs="Arial"/>
                <w:sz w:val="24"/>
                <w:szCs w:val="24"/>
              </w:rPr>
              <w:t>Servicios</w:t>
            </w:r>
          </w:p>
        </w:tc>
        <w:tc>
          <w:tcPr>
            <w:tcW w:w="0" w:type="auto"/>
            <w:vAlign w:val="center"/>
            <w:hideMark/>
          </w:tcPr>
          <w:p w14:paraId="782BC6E3"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4279ECF9"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5A84E5B2" w14:textId="425AF478" w:rsidR="005A1145" w:rsidRPr="00444E7E" w:rsidRDefault="00086F9A" w:rsidP="005A1145">
            <w:pPr>
              <w:rPr>
                <w:rFonts w:ascii="Arial" w:hAnsi="Arial" w:cs="Arial"/>
                <w:sz w:val="24"/>
                <w:szCs w:val="24"/>
              </w:rPr>
            </w:pPr>
            <w:r>
              <w:rPr>
                <w:rFonts w:ascii="Arial" w:hAnsi="Arial" w:cs="Arial"/>
                <w:sz w:val="24"/>
                <w:szCs w:val="24"/>
              </w:rPr>
              <w:t>X</w:t>
            </w:r>
          </w:p>
        </w:tc>
        <w:tc>
          <w:tcPr>
            <w:tcW w:w="0" w:type="auto"/>
            <w:vAlign w:val="center"/>
            <w:hideMark/>
          </w:tcPr>
          <w:p w14:paraId="376CC451"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62B42B6B" w14:textId="77777777" w:rsidR="005A1145" w:rsidRPr="00444E7E" w:rsidRDefault="005A1145" w:rsidP="005A1145">
            <w:pPr>
              <w:rPr>
                <w:rFonts w:ascii="Arial" w:hAnsi="Arial" w:cs="Arial"/>
                <w:sz w:val="24"/>
                <w:szCs w:val="24"/>
              </w:rPr>
            </w:pPr>
            <w:r w:rsidRPr="00444E7E">
              <w:rPr>
                <w:rFonts w:ascii="Arial" w:hAnsi="Arial" w:cs="Arial"/>
                <w:sz w:val="24"/>
                <w:szCs w:val="24"/>
              </w:rPr>
              <w:t>Alta consistencia</w:t>
            </w:r>
          </w:p>
        </w:tc>
      </w:tr>
      <w:tr w:rsidR="005A1145" w:rsidRPr="00444E7E" w14:paraId="7B451C1B" w14:textId="77777777" w:rsidTr="007614A1">
        <w:trPr>
          <w:tblCellSpacing w:w="15" w:type="dxa"/>
        </w:trPr>
        <w:tc>
          <w:tcPr>
            <w:tcW w:w="0" w:type="auto"/>
            <w:vAlign w:val="center"/>
            <w:hideMark/>
          </w:tcPr>
          <w:p w14:paraId="59F62BCB" w14:textId="77777777" w:rsidR="005A1145" w:rsidRPr="00444E7E" w:rsidRDefault="005A1145" w:rsidP="005A1145">
            <w:pPr>
              <w:rPr>
                <w:rFonts w:ascii="Arial" w:hAnsi="Arial" w:cs="Arial"/>
                <w:sz w:val="24"/>
                <w:szCs w:val="24"/>
              </w:rPr>
            </w:pPr>
            <w:r w:rsidRPr="00444E7E">
              <w:rPr>
                <w:rFonts w:ascii="Arial" w:hAnsi="Arial" w:cs="Arial"/>
                <w:sz w:val="24"/>
                <w:szCs w:val="24"/>
              </w:rPr>
              <w:t>Multidimensional</w:t>
            </w:r>
          </w:p>
        </w:tc>
        <w:tc>
          <w:tcPr>
            <w:tcW w:w="0" w:type="auto"/>
            <w:vAlign w:val="center"/>
            <w:hideMark/>
          </w:tcPr>
          <w:p w14:paraId="53FAE21D"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5AC1446E"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436B1E41" w14:textId="41DAB1FE" w:rsidR="005A1145" w:rsidRPr="00444E7E" w:rsidRDefault="00086F9A" w:rsidP="005A1145">
            <w:pPr>
              <w:rPr>
                <w:rFonts w:ascii="Arial" w:hAnsi="Arial" w:cs="Arial"/>
                <w:sz w:val="24"/>
                <w:szCs w:val="24"/>
              </w:rPr>
            </w:pPr>
            <w:r>
              <w:rPr>
                <w:rFonts w:ascii="Arial" w:hAnsi="Arial" w:cs="Arial"/>
                <w:sz w:val="24"/>
                <w:szCs w:val="24"/>
              </w:rPr>
              <w:t>X</w:t>
            </w:r>
          </w:p>
        </w:tc>
        <w:tc>
          <w:tcPr>
            <w:tcW w:w="0" w:type="auto"/>
            <w:vAlign w:val="center"/>
            <w:hideMark/>
          </w:tcPr>
          <w:p w14:paraId="7F748BD6"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352583FC" w14:textId="77777777" w:rsidR="005A1145" w:rsidRPr="00444E7E" w:rsidRDefault="005A1145" w:rsidP="005A1145">
            <w:pPr>
              <w:rPr>
                <w:rFonts w:ascii="Arial" w:hAnsi="Arial" w:cs="Arial"/>
                <w:sz w:val="24"/>
                <w:szCs w:val="24"/>
              </w:rPr>
            </w:pPr>
            <w:r w:rsidRPr="00444E7E">
              <w:rPr>
                <w:rFonts w:ascii="Arial" w:hAnsi="Arial" w:cs="Arial"/>
                <w:sz w:val="24"/>
                <w:szCs w:val="24"/>
              </w:rPr>
              <w:t>Validación completa</w:t>
            </w:r>
          </w:p>
        </w:tc>
      </w:tr>
      <w:tr w:rsidR="005A1145" w:rsidRPr="00444E7E" w14:paraId="5D841B25" w14:textId="77777777" w:rsidTr="007614A1">
        <w:trPr>
          <w:tblCellSpacing w:w="15" w:type="dxa"/>
        </w:trPr>
        <w:tc>
          <w:tcPr>
            <w:tcW w:w="0" w:type="auto"/>
            <w:vAlign w:val="center"/>
            <w:hideMark/>
          </w:tcPr>
          <w:p w14:paraId="2554358A" w14:textId="77777777" w:rsidR="005A1145" w:rsidRPr="00444E7E" w:rsidRDefault="005A1145" w:rsidP="005A1145">
            <w:pPr>
              <w:rPr>
                <w:rFonts w:ascii="Arial" w:hAnsi="Arial" w:cs="Arial"/>
                <w:sz w:val="24"/>
                <w:szCs w:val="24"/>
              </w:rPr>
            </w:pPr>
            <w:r w:rsidRPr="00444E7E">
              <w:rPr>
                <w:rFonts w:ascii="Arial" w:hAnsi="Arial" w:cs="Arial"/>
                <w:sz w:val="24"/>
                <w:szCs w:val="24"/>
              </w:rPr>
              <w:t>Educación</w:t>
            </w:r>
          </w:p>
        </w:tc>
        <w:tc>
          <w:tcPr>
            <w:tcW w:w="0" w:type="auto"/>
            <w:vAlign w:val="center"/>
            <w:hideMark/>
          </w:tcPr>
          <w:p w14:paraId="2A96C12E"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747DD793" w14:textId="1CA8E8BA" w:rsidR="005A1145" w:rsidRPr="00444E7E" w:rsidRDefault="00086F9A" w:rsidP="005A1145">
            <w:pPr>
              <w:rPr>
                <w:rFonts w:ascii="Arial" w:hAnsi="Arial" w:cs="Arial"/>
                <w:sz w:val="24"/>
                <w:szCs w:val="24"/>
              </w:rPr>
            </w:pPr>
            <w:r>
              <w:rPr>
                <w:rFonts w:ascii="Arial" w:hAnsi="Arial" w:cs="Arial"/>
                <w:sz w:val="24"/>
                <w:szCs w:val="24"/>
              </w:rPr>
              <w:t>X</w:t>
            </w:r>
          </w:p>
        </w:tc>
        <w:tc>
          <w:tcPr>
            <w:tcW w:w="0" w:type="auto"/>
            <w:vAlign w:val="center"/>
            <w:hideMark/>
          </w:tcPr>
          <w:p w14:paraId="1AC428C0"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725C1B73"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5295F27A" w14:textId="06BBF986" w:rsidR="005A1145" w:rsidRPr="00444E7E" w:rsidRDefault="00086F9A" w:rsidP="005A1145">
            <w:pPr>
              <w:rPr>
                <w:rFonts w:ascii="Arial" w:hAnsi="Arial" w:cs="Arial"/>
                <w:sz w:val="24"/>
                <w:szCs w:val="24"/>
              </w:rPr>
            </w:pPr>
            <w:r>
              <w:rPr>
                <w:rFonts w:ascii="Arial" w:hAnsi="Arial" w:cs="Arial"/>
                <w:sz w:val="24"/>
                <w:szCs w:val="24"/>
              </w:rPr>
              <w:t>Alta c</w:t>
            </w:r>
            <w:r w:rsidR="005A1145" w:rsidRPr="00444E7E">
              <w:rPr>
                <w:rFonts w:ascii="Arial" w:hAnsi="Arial" w:cs="Arial"/>
                <w:sz w:val="24"/>
                <w:szCs w:val="24"/>
              </w:rPr>
              <w:t>onsistencia tras ajuste</w:t>
            </w:r>
          </w:p>
        </w:tc>
      </w:tr>
      <w:tr w:rsidR="005A1145" w:rsidRPr="00444E7E" w14:paraId="0F44EC65" w14:textId="77777777" w:rsidTr="007614A1">
        <w:trPr>
          <w:tblCellSpacing w:w="15" w:type="dxa"/>
        </w:trPr>
        <w:tc>
          <w:tcPr>
            <w:tcW w:w="0" w:type="auto"/>
            <w:vAlign w:val="center"/>
            <w:hideMark/>
          </w:tcPr>
          <w:p w14:paraId="301238B4" w14:textId="77777777" w:rsidR="005A1145" w:rsidRPr="00444E7E" w:rsidRDefault="005A1145" w:rsidP="005A1145">
            <w:pPr>
              <w:rPr>
                <w:rFonts w:ascii="Arial" w:hAnsi="Arial" w:cs="Arial"/>
                <w:sz w:val="24"/>
                <w:szCs w:val="24"/>
              </w:rPr>
            </w:pPr>
            <w:r w:rsidRPr="00444E7E">
              <w:rPr>
                <w:rFonts w:ascii="Arial" w:hAnsi="Arial" w:cs="Arial"/>
                <w:sz w:val="24"/>
                <w:szCs w:val="24"/>
              </w:rPr>
              <w:t>Laboral</w:t>
            </w:r>
          </w:p>
        </w:tc>
        <w:tc>
          <w:tcPr>
            <w:tcW w:w="0" w:type="auto"/>
            <w:vAlign w:val="center"/>
            <w:hideMark/>
          </w:tcPr>
          <w:p w14:paraId="46161833"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58AB28F4" w14:textId="4AA6AB7B" w:rsidR="005A1145" w:rsidRPr="00444E7E" w:rsidRDefault="00086F9A" w:rsidP="005A1145">
            <w:pPr>
              <w:rPr>
                <w:rFonts w:ascii="Arial" w:hAnsi="Arial" w:cs="Arial"/>
                <w:sz w:val="24"/>
                <w:szCs w:val="24"/>
              </w:rPr>
            </w:pPr>
            <w:r>
              <w:rPr>
                <w:rFonts w:ascii="Arial" w:hAnsi="Arial" w:cs="Arial"/>
                <w:sz w:val="24"/>
                <w:szCs w:val="24"/>
              </w:rPr>
              <w:t>X</w:t>
            </w:r>
          </w:p>
        </w:tc>
        <w:tc>
          <w:tcPr>
            <w:tcW w:w="0" w:type="auto"/>
            <w:vAlign w:val="center"/>
            <w:hideMark/>
          </w:tcPr>
          <w:p w14:paraId="394EFCF8"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264B9840"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3D1CA724" w14:textId="2217BC46" w:rsidR="005A1145" w:rsidRPr="00444E7E" w:rsidRDefault="00086F9A" w:rsidP="005A1145">
            <w:pPr>
              <w:rPr>
                <w:rFonts w:ascii="Arial" w:hAnsi="Arial" w:cs="Arial"/>
                <w:sz w:val="24"/>
                <w:szCs w:val="24"/>
              </w:rPr>
            </w:pPr>
            <w:r>
              <w:rPr>
                <w:rFonts w:ascii="Arial" w:hAnsi="Arial" w:cs="Arial"/>
                <w:sz w:val="24"/>
                <w:szCs w:val="24"/>
              </w:rPr>
              <w:t>Consistente</w:t>
            </w:r>
          </w:p>
        </w:tc>
      </w:tr>
      <w:tr w:rsidR="005A1145" w:rsidRPr="00444E7E" w14:paraId="244C2D26" w14:textId="77777777" w:rsidTr="007614A1">
        <w:trPr>
          <w:tblCellSpacing w:w="15" w:type="dxa"/>
        </w:trPr>
        <w:tc>
          <w:tcPr>
            <w:tcW w:w="0" w:type="auto"/>
            <w:vAlign w:val="center"/>
            <w:hideMark/>
          </w:tcPr>
          <w:p w14:paraId="622D89C6" w14:textId="77777777" w:rsidR="005A1145" w:rsidRPr="00444E7E" w:rsidRDefault="005A1145" w:rsidP="005A1145">
            <w:pPr>
              <w:rPr>
                <w:rFonts w:ascii="Arial" w:hAnsi="Arial" w:cs="Arial"/>
                <w:sz w:val="24"/>
                <w:szCs w:val="24"/>
              </w:rPr>
            </w:pPr>
            <w:r w:rsidRPr="00444E7E">
              <w:rPr>
                <w:rFonts w:ascii="Arial" w:hAnsi="Arial" w:cs="Arial"/>
                <w:sz w:val="24"/>
                <w:szCs w:val="24"/>
              </w:rPr>
              <w:t>Habitacional</w:t>
            </w:r>
          </w:p>
        </w:tc>
        <w:tc>
          <w:tcPr>
            <w:tcW w:w="0" w:type="auto"/>
            <w:vAlign w:val="center"/>
            <w:hideMark/>
          </w:tcPr>
          <w:p w14:paraId="080B5BC8"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36CCBBE2"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675097BA" w14:textId="568EA544" w:rsidR="005A1145" w:rsidRPr="00444E7E" w:rsidRDefault="00086F9A" w:rsidP="005A1145">
            <w:pPr>
              <w:rPr>
                <w:rFonts w:ascii="Arial" w:hAnsi="Arial" w:cs="Arial"/>
                <w:sz w:val="24"/>
                <w:szCs w:val="24"/>
              </w:rPr>
            </w:pPr>
            <w:r>
              <w:rPr>
                <w:rFonts w:ascii="Arial" w:hAnsi="Arial" w:cs="Arial"/>
                <w:sz w:val="24"/>
                <w:szCs w:val="24"/>
              </w:rPr>
              <w:t>X</w:t>
            </w:r>
          </w:p>
        </w:tc>
        <w:tc>
          <w:tcPr>
            <w:tcW w:w="0" w:type="auto"/>
            <w:vAlign w:val="center"/>
            <w:hideMark/>
          </w:tcPr>
          <w:p w14:paraId="19D9B77A"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5060954B" w14:textId="16F83A6D" w:rsidR="005A1145" w:rsidRPr="00444E7E" w:rsidRDefault="00086F9A" w:rsidP="005A1145">
            <w:pPr>
              <w:rPr>
                <w:rFonts w:ascii="Arial" w:hAnsi="Arial" w:cs="Arial"/>
                <w:sz w:val="24"/>
                <w:szCs w:val="24"/>
              </w:rPr>
            </w:pPr>
            <w:r>
              <w:rPr>
                <w:rFonts w:ascii="Arial" w:hAnsi="Arial" w:cs="Arial"/>
                <w:sz w:val="24"/>
                <w:szCs w:val="24"/>
              </w:rPr>
              <w:t>Consistente</w:t>
            </w:r>
          </w:p>
        </w:tc>
      </w:tr>
    </w:tbl>
    <w:p w14:paraId="0DAFECF8" w14:textId="77777777" w:rsidR="005A1145" w:rsidRPr="00444E7E" w:rsidRDefault="005A1145" w:rsidP="00A67CFF">
      <w:pPr>
        <w:rPr>
          <w:rFonts w:ascii="Arial" w:hAnsi="Arial" w:cs="Arial"/>
          <w:sz w:val="24"/>
          <w:szCs w:val="24"/>
        </w:rPr>
      </w:pPr>
    </w:p>
    <w:p w14:paraId="23637F44" w14:textId="2D1464C5" w:rsidR="005A1145" w:rsidRPr="00444E7E" w:rsidRDefault="005A1145" w:rsidP="00A67CFF">
      <w:pPr>
        <w:rPr>
          <w:rFonts w:ascii="Arial" w:hAnsi="Arial" w:cs="Arial"/>
          <w:sz w:val="24"/>
          <w:szCs w:val="24"/>
        </w:rPr>
      </w:pPr>
      <w:r w:rsidRPr="00444E7E">
        <w:rPr>
          <w:rFonts w:ascii="Arial" w:hAnsi="Arial" w:cs="Arial"/>
          <w:sz w:val="24"/>
          <w:szCs w:val="24"/>
        </w:rPr>
        <w:t>La integración de resultados muestra que el modelo presenta una validación robusta en múltiples dimensiones. Mientras que el IPM valida la estructura general del territorio y la GEIH valida las dinámicas urbanas, el modelo SAR confirma la existencia de patrones espaciales, consolidando así un proceso de validación integral.</w:t>
      </w:r>
    </w:p>
    <w:p w14:paraId="4A1C66E6" w14:textId="77777777" w:rsidR="005A1145" w:rsidRPr="00444E7E" w:rsidRDefault="005A1145" w:rsidP="00A67CFF">
      <w:pPr>
        <w:rPr>
          <w:rFonts w:ascii="Arial" w:hAnsi="Arial" w:cs="Arial"/>
          <w:b/>
          <w:bCs/>
          <w:sz w:val="24"/>
          <w:szCs w:val="24"/>
        </w:rPr>
      </w:pPr>
    </w:p>
    <w:p w14:paraId="000410A1" w14:textId="00871B49" w:rsidR="00A67CFF" w:rsidRPr="00444E7E" w:rsidRDefault="00A67CFF" w:rsidP="00A67CFF">
      <w:pPr>
        <w:rPr>
          <w:rFonts w:ascii="Arial" w:hAnsi="Arial" w:cs="Arial"/>
          <w:b/>
          <w:bCs/>
          <w:sz w:val="24"/>
          <w:szCs w:val="24"/>
        </w:rPr>
      </w:pPr>
      <w:r w:rsidRPr="00444E7E">
        <w:rPr>
          <w:rFonts w:ascii="Arial" w:hAnsi="Arial" w:cs="Arial"/>
          <w:b/>
          <w:bCs/>
          <w:sz w:val="24"/>
          <w:szCs w:val="24"/>
        </w:rPr>
        <w:t>Análisis de correlaciones</w:t>
      </w:r>
    </w:p>
    <w:p w14:paraId="36FE9F05"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 xml:space="preserve">Las matrices de correlación presentadas anteriormente muestran relaciones consistentes entre las variables utilizadas en el modelo. En particular, se evidencia </w:t>
      </w:r>
      <w:r w:rsidRPr="00444E7E">
        <w:rPr>
          <w:rFonts w:ascii="Arial" w:hAnsi="Arial" w:cs="Arial"/>
          <w:sz w:val="24"/>
          <w:szCs w:val="24"/>
        </w:rPr>
        <w:lastRenderedPageBreak/>
        <w:t>una alta correlación entre las variables de acceso a servicios básicos, lo que sugiere la existencia de un componente estructural asociado a la infraestructura urbana.</w:t>
      </w:r>
    </w:p>
    <w:p w14:paraId="164DE130" w14:textId="1E71E724" w:rsidR="00E06EA1" w:rsidRPr="00383771" w:rsidRDefault="00A67CFF" w:rsidP="00383771">
      <w:pPr>
        <w:jc w:val="both"/>
        <w:rPr>
          <w:rFonts w:ascii="Arial" w:hAnsi="Arial" w:cs="Arial"/>
          <w:sz w:val="24"/>
          <w:szCs w:val="24"/>
        </w:rPr>
      </w:pPr>
      <w:r w:rsidRPr="00444E7E">
        <w:rPr>
          <w:rFonts w:ascii="Arial" w:hAnsi="Arial" w:cs="Arial"/>
          <w:sz w:val="24"/>
          <w:szCs w:val="24"/>
        </w:rPr>
        <w:t>Asimismo, se observa una relación negativa entre el estrato socioeconómico y el hacinamiento, lo cual es coherente con los resultados del modelo SAR y con la literatura sobre desigualdad urbana.</w:t>
      </w:r>
    </w:p>
    <w:p w14:paraId="456D8C39" w14:textId="565E87EF" w:rsidR="00E06EA1" w:rsidRPr="004E78E3" w:rsidRDefault="004E78E3" w:rsidP="004E78E3">
      <w:pPr>
        <w:jc w:val="both"/>
        <w:rPr>
          <w:rFonts w:ascii="Arial" w:hAnsi="Arial" w:cs="Arial"/>
          <w:sz w:val="24"/>
          <w:szCs w:val="24"/>
        </w:rPr>
      </w:pPr>
      <w:r w:rsidRPr="004E78E3">
        <w:rPr>
          <w:rFonts w:ascii="Arial" w:hAnsi="Arial" w:cs="Arial"/>
          <w:sz w:val="24"/>
          <w:szCs w:val="24"/>
        </w:rPr>
        <w:t xml:space="preserve">La Ilustración </w:t>
      </w:r>
      <w:r>
        <w:rPr>
          <w:rFonts w:ascii="Arial" w:hAnsi="Arial" w:cs="Arial"/>
          <w:sz w:val="24"/>
          <w:szCs w:val="24"/>
        </w:rPr>
        <w:t>5</w:t>
      </w:r>
      <w:r w:rsidRPr="004E78E3">
        <w:rPr>
          <w:rFonts w:ascii="Arial" w:hAnsi="Arial" w:cs="Arial"/>
          <w:sz w:val="24"/>
          <w:szCs w:val="24"/>
        </w:rPr>
        <w:t xml:space="preserve"> presenta la matriz de correlación de las variables utilizadas en el modelo para Cali. Esta visualización permite identificar asociaciones entre condiciones socioeconómicas, habitacionales y de acceso a servicios.</w:t>
      </w:r>
    </w:p>
    <w:p w14:paraId="755729E7" w14:textId="6127230D" w:rsidR="006C2945" w:rsidRDefault="006C2945" w:rsidP="00A67CFF">
      <w:pPr>
        <w:rPr>
          <w:rFonts w:ascii="Arial" w:hAnsi="Arial" w:cs="Arial"/>
          <w:b/>
          <w:bCs/>
          <w:sz w:val="24"/>
          <w:szCs w:val="24"/>
        </w:rPr>
      </w:pPr>
      <w:r w:rsidRPr="00444E7E">
        <w:rPr>
          <w:rFonts w:ascii="Arial" w:hAnsi="Arial" w:cs="Arial"/>
          <w:b/>
          <w:bCs/>
          <w:noProof/>
          <w:sz w:val="24"/>
          <w:szCs w:val="24"/>
        </w:rPr>
        <w:drawing>
          <wp:inline distT="0" distB="0" distL="0" distR="0" wp14:anchorId="357887C2" wp14:editId="70489FE6">
            <wp:extent cx="5499100" cy="5074130"/>
            <wp:effectExtent l="0" t="0" r="6350" b="0"/>
            <wp:docPr id="456698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98522" name=""/>
                    <pic:cNvPicPr/>
                  </pic:nvPicPr>
                  <pic:blipFill>
                    <a:blip r:embed="rId10"/>
                    <a:stretch>
                      <a:fillRect/>
                    </a:stretch>
                  </pic:blipFill>
                  <pic:spPr>
                    <a:xfrm>
                      <a:off x="0" y="0"/>
                      <a:ext cx="5532543" cy="5104989"/>
                    </a:xfrm>
                    <a:prstGeom prst="rect">
                      <a:avLst/>
                    </a:prstGeom>
                  </pic:spPr>
                </pic:pic>
              </a:graphicData>
            </a:graphic>
          </wp:inline>
        </w:drawing>
      </w:r>
    </w:p>
    <w:p w14:paraId="16ED35BC" w14:textId="2B3F4DBC" w:rsidR="004C4A6B" w:rsidRPr="00444E7E" w:rsidRDefault="004C4A6B" w:rsidP="004C4A6B">
      <w:pPr>
        <w:pStyle w:val="Descripcin"/>
        <w:rPr>
          <w:rFonts w:ascii="Arial" w:hAnsi="Arial" w:cs="Arial"/>
          <w:b/>
          <w:bCs/>
          <w:sz w:val="24"/>
          <w:szCs w:val="24"/>
        </w:rPr>
      </w:pPr>
      <w:bookmarkStart w:id="11" w:name="_Toc227517116"/>
      <w:r>
        <w:t xml:space="preserve">Ilustración </w:t>
      </w:r>
      <w:r>
        <w:fldChar w:fldCharType="begin"/>
      </w:r>
      <w:r>
        <w:instrText xml:space="preserve"> SEQ Ilustración \* ARABIC </w:instrText>
      </w:r>
      <w:r>
        <w:fldChar w:fldCharType="separate"/>
      </w:r>
      <w:r>
        <w:rPr>
          <w:noProof/>
        </w:rPr>
        <w:t>5</w:t>
      </w:r>
      <w:r>
        <w:rPr>
          <w:noProof/>
        </w:rPr>
        <w:fldChar w:fldCharType="end"/>
      </w:r>
      <w:r>
        <w:t xml:space="preserve">: </w:t>
      </w:r>
      <w:r>
        <w:t>Matriz</w:t>
      </w:r>
      <w:r>
        <w:t xml:space="preserve"> de correlación espacial de Cali</w:t>
      </w:r>
      <w:bookmarkEnd w:id="11"/>
    </w:p>
    <w:p w14:paraId="6CD0895C" w14:textId="77777777" w:rsidR="00383771" w:rsidRDefault="00383771" w:rsidP="00A67CFF">
      <w:pPr>
        <w:rPr>
          <w:rFonts w:ascii="Arial" w:hAnsi="Arial" w:cs="Arial"/>
          <w:b/>
          <w:bCs/>
          <w:sz w:val="24"/>
          <w:szCs w:val="24"/>
        </w:rPr>
      </w:pPr>
    </w:p>
    <w:p w14:paraId="09FAFD6D" w14:textId="77777777" w:rsidR="00383771" w:rsidRDefault="00383771" w:rsidP="00A67CFF">
      <w:pPr>
        <w:rPr>
          <w:rFonts w:ascii="Arial" w:hAnsi="Arial" w:cs="Arial"/>
          <w:b/>
          <w:bCs/>
          <w:sz w:val="24"/>
          <w:szCs w:val="24"/>
        </w:rPr>
      </w:pPr>
    </w:p>
    <w:p w14:paraId="2772CF9B" w14:textId="77777777" w:rsidR="00383771" w:rsidRPr="00444E7E" w:rsidRDefault="00383771" w:rsidP="00A67CFF">
      <w:pPr>
        <w:rPr>
          <w:rFonts w:ascii="Arial" w:hAnsi="Arial" w:cs="Arial"/>
          <w:b/>
          <w:bCs/>
          <w:sz w:val="24"/>
          <w:szCs w:val="24"/>
        </w:rPr>
      </w:pPr>
    </w:p>
    <w:p w14:paraId="17FB8BC6" w14:textId="47500A13" w:rsidR="00A67CFF" w:rsidRPr="00444E7E" w:rsidRDefault="00A67CFF" w:rsidP="00A67CFF">
      <w:pPr>
        <w:rPr>
          <w:rFonts w:ascii="Arial" w:hAnsi="Arial" w:cs="Arial"/>
          <w:b/>
          <w:bCs/>
          <w:sz w:val="24"/>
          <w:szCs w:val="24"/>
        </w:rPr>
      </w:pPr>
      <w:r w:rsidRPr="00444E7E">
        <w:rPr>
          <w:rFonts w:ascii="Arial" w:hAnsi="Arial" w:cs="Arial"/>
          <w:b/>
          <w:bCs/>
          <w:sz w:val="24"/>
          <w:szCs w:val="24"/>
        </w:rPr>
        <w:lastRenderedPageBreak/>
        <w:t>Integración final de resultados</w:t>
      </w:r>
    </w:p>
    <w:p w14:paraId="282DDA5C"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La incorporación del modelo SAR permite cerrar el análisis de manera integral, conectando las diferentes fuentes de información utilizadas a lo largo del estudio.</w:t>
      </w:r>
    </w:p>
    <w:p w14:paraId="021ED471"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En este sentido, el flujo completo del análisis puede resumirse de la siguiente manera:</w:t>
      </w:r>
    </w:p>
    <w:p w14:paraId="73C89E6E" w14:textId="77777777" w:rsidR="00A67CFF" w:rsidRPr="00444E7E" w:rsidRDefault="00A67CFF" w:rsidP="00A67CFF">
      <w:pPr>
        <w:numPr>
          <w:ilvl w:val="0"/>
          <w:numId w:val="8"/>
        </w:numPr>
        <w:jc w:val="both"/>
        <w:rPr>
          <w:rFonts w:ascii="Arial" w:hAnsi="Arial" w:cs="Arial"/>
          <w:sz w:val="24"/>
          <w:szCs w:val="24"/>
        </w:rPr>
      </w:pPr>
      <w:r w:rsidRPr="00444E7E">
        <w:rPr>
          <w:rFonts w:ascii="Arial" w:hAnsi="Arial" w:cs="Arial"/>
          <w:sz w:val="24"/>
          <w:szCs w:val="24"/>
        </w:rPr>
        <w:t xml:space="preserve">El clustering permitió identificar patrones y tipologías socioeconómicas a nivel de manzana </w:t>
      </w:r>
    </w:p>
    <w:p w14:paraId="7272E8AE" w14:textId="77777777" w:rsidR="00A67CFF" w:rsidRPr="00444E7E" w:rsidRDefault="00A67CFF" w:rsidP="00A67CFF">
      <w:pPr>
        <w:numPr>
          <w:ilvl w:val="0"/>
          <w:numId w:val="8"/>
        </w:numPr>
        <w:jc w:val="both"/>
        <w:rPr>
          <w:rFonts w:ascii="Arial" w:hAnsi="Arial" w:cs="Arial"/>
          <w:sz w:val="24"/>
          <w:szCs w:val="24"/>
        </w:rPr>
      </w:pPr>
      <w:r w:rsidRPr="00444E7E">
        <w:rPr>
          <w:rFonts w:ascii="Arial" w:hAnsi="Arial" w:cs="Arial"/>
          <w:sz w:val="24"/>
          <w:szCs w:val="24"/>
        </w:rPr>
        <w:t xml:space="preserve">El IPM permitió validar la estructura general del territorio </w:t>
      </w:r>
    </w:p>
    <w:p w14:paraId="3D5562C2" w14:textId="77777777" w:rsidR="00A67CFF" w:rsidRPr="00444E7E" w:rsidRDefault="00A67CFF" w:rsidP="00A67CFF">
      <w:pPr>
        <w:numPr>
          <w:ilvl w:val="0"/>
          <w:numId w:val="8"/>
        </w:numPr>
        <w:jc w:val="both"/>
        <w:rPr>
          <w:rFonts w:ascii="Arial" w:hAnsi="Arial" w:cs="Arial"/>
          <w:sz w:val="24"/>
          <w:szCs w:val="24"/>
        </w:rPr>
      </w:pPr>
      <w:r w:rsidRPr="00444E7E">
        <w:rPr>
          <w:rFonts w:ascii="Arial" w:hAnsi="Arial" w:cs="Arial"/>
          <w:sz w:val="24"/>
          <w:szCs w:val="24"/>
        </w:rPr>
        <w:t xml:space="preserve">La GEIH permitió validar las dinámicas urbanas específicas </w:t>
      </w:r>
    </w:p>
    <w:p w14:paraId="0FBA7695" w14:textId="77777777" w:rsidR="00A67CFF" w:rsidRPr="00444E7E" w:rsidRDefault="00A67CFF" w:rsidP="00A67CFF">
      <w:pPr>
        <w:numPr>
          <w:ilvl w:val="0"/>
          <w:numId w:val="8"/>
        </w:numPr>
        <w:jc w:val="both"/>
        <w:rPr>
          <w:rFonts w:ascii="Arial" w:hAnsi="Arial" w:cs="Arial"/>
          <w:sz w:val="24"/>
          <w:szCs w:val="24"/>
        </w:rPr>
      </w:pPr>
      <w:r w:rsidRPr="00444E7E">
        <w:rPr>
          <w:rFonts w:ascii="Arial" w:hAnsi="Arial" w:cs="Arial"/>
          <w:sz w:val="24"/>
          <w:szCs w:val="24"/>
        </w:rPr>
        <w:t xml:space="preserve">El modelo SAR permitió confirmar que estos patrones presentan una estructura espacial significativa </w:t>
      </w:r>
    </w:p>
    <w:p w14:paraId="3A1DF26F" w14:textId="414F8B75" w:rsidR="00A67CFF" w:rsidRPr="00444E7E" w:rsidRDefault="00FA0BD2" w:rsidP="00A67CFF">
      <w:pPr>
        <w:rPr>
          <w:rFonts w:ascii="Arial" w:hAnsi="Arial" w:cs="Arial"/>
          <w:sz w:val="24"/>
          <w:szCs w:val="24"/>
        </w:rPr>
      </w:pPr>
      <w:r w:rsidRPr="00FA0BD2">
        <w:rPr>
          <w:rFonts w:ascii="Arial" w:hAnsi="Arial" w:cs="Arial"/>
          <w:sz w:val="24"/>
          <w:szCs w:val="24"/>
        </w:rPr>
        <w:t>La comparación entre fuentes fortalece la lectura de los resultados, porque permite verificar si los patrones identificados por el clustering también aparecen en indicadores oficiales y en el comportamiento espacial de las ciudades.</w:t>
      </w:r>
    </w:p>
    <w:p w14:paraId="29EA58AE" w14:textId="4DBD4E5B" w:rsidR="00A67CFF" w:rsidRPr="00444E7E" w:rsidRDefault="0066137B" w:rsidP="00A67CFF">
      <w:pPr>
        <w:rPr>
          <w:rFonts w:ascii="Arial" w:hAnsi="Arial" w:cs="Arial"/>
          <w:b/>
          <w:bCs/>
          <w:sz w:val="24"/>
          <w:szCs w:val="24"/>
        </w:rPr>
      </w:pPr>
      <w:r w:rsidRPr="00444E7E">
        <w:rPr>
          <w:rFonts w:ascii="Arial" w:hAnsi="Arial" w:cs="Arial"/>
          <w:b/>
          <w:bCs/>
          <w:sz w:val="24"/>
          <w:szCs w:val="24"/>
        </w:rPr>
        <w:t>Conclusiones generales</w:t>
      </w:r>
      <w:r w:rsidR="00A67CFF" w:rsidRPr="00444E7E">
        <w:rPr>
          <w:rFonts w:ascii="Arial" w:hAnsi="Arial" w:cs="Arial"/>
          <w:b/>
          <w:bCs/>
          <w:sz w:val="24"/>
          <w:szCs w:val="24"/>
        </w:rPr>
        <w:t xml:space="preserve"> de la fase</w:t>
      </w:r>
    </w:p>
    <w:p w14:paraId="1E58C236"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Los resultados del análisis espacial evidencian que la pobreza multidimensional en las ciudades estudiadas presenta una estructura territorial definida, caracterizada por la existencia de dependencia espacial entre unidades geográficas.</w:t>
      </w:r>
    </w:p>
    <w:p w14:paraId="4E1F5188"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La consistencia entre los resultados del clustering, el IPM, la GEIH y el modelo SAR confirma que los patrones identificados no son producto del azar, sino que responden a dinámicas socioeconómicas reales.</w:t>
      </w:r>
    </w:p>
    <w:p w14:paraId="2287A5ED" w14:textId="77777777" w:rsidR="00A67CFF" w:rsidRDefault="00A67CFF" w:rsidP="00A67CFF">
      <w:pPr>
        <w:jc w:val="both"/>
        <w:rPr>
          <w:rFonts w:ascii="Arial" w:hAnsi="Arial" w:cs="Arial"/>
          <w:sz w:val="24"/>
          <w:szCs w:val="24"/>
        </w:rPr>
      </w:pPr>
      <w:r w:rsidRPr="00444E7E">
        <w:rPr>
          <w:rFonts w:ascii="Arial" w:hAnsi="Arial" w:cs="Arial"/>
          <w:sz w:val="24"/>
          <w:szCs w:val="24"/>
        </w:rPr>
        <w:t>En conjunto, el análisis demuestra que la combinación de técnicas de aprendizaje no supervisado, validación multifuente y modelos espaciales constituye un enfoque robusto para el estudio de la desigualdad territorial.</w:t>
      </w:r>
    </w:p>
    <w:p w14:paraId="73C37769" w14:textId="734E3C21" w:rsidR="00AF6A27" w:rsidRPr="00444E7E" w:rsidRDefault="00AF6A27" w:rsidP="00A67CFF">
      <w:pPr>
        <w:jc w:val="both"/>
        <w:rPr>
          <w:rFonts w:ascii="Arial" w:hAnsi="Arial" w:cs="Arial"/>
          <w:sz w:val="24"/>
          <w:szCs w:val="24"/>
        </w:rPr>
      </w:pPr>
      <w:r w:rsidRPr="00AF6A27">
        <w:rPr>
          <w:rFonts w:ascii="Arial" w:hAnsi="Arial" w:cs="Arial"/>
          <w:sz w:val="24"/>
          <w:szCs w:val="24"/>
        </w:rPr>
        <w:t>Esta combinación metodológica permite articular técnicas de clasificación, análisis socioeconómico y dependencia espacial, fortaleciendo la comprensión territorial de fenómenos complejos como la pobreza y la desigualdad</w:t>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ADDIN ZOTERO_ITEM CSL_CITATION {"citationID":"RapnJcs7","properties":{"unsorted":false,"formattedCitation":"[6], [7], [8]","plainCitation":"[6], [7], [8]","noteIndex":0},"citationItems":[{"id":13,"uris":["http://zotero.org/users/20296599/items/YZE8RR9J"],"itemData":{"id":13,"type":"book","abstract":"'Designing and Conducting Mixed Methods Research' offers a practical, how-to guide for designing a mixed methods study. The text incorporates activities and exercises for classroom use or for use by the researcher in preparing designs.","ISBN":"978-1-4129-2792-5","language":"en","number-of-pages":"297","publisher":"SAGE","source":"Google Books","title":"Designing and Conducting Mixed Methods Research","author":[{"family":"Creswell","given":"John W."},{"family":"Clark","given":"Vicki L. Plano"}],"issued":{"date-parts":[["2007"]]}}},{"id":16,"uris":["http://zotero.org/users/20296599/items/FDNFIJ86"],"itemData":{"id":16,"type":"book","abstract":"Although interest in spatial regression models has surged in recent years, a comprehensive, up-to-date text on these approaches does not exist. Filling this void, Introduction to Spatial Econometrics presents a variety of regression methods used to analyze spatial data samples that violate the traditional assumption of independence between observat","DOI":"10.1201/9781420064254","ISBN":"978-0-429-13808-9","number-of-pages":"340","publisher":"Chapman and Hall/CRC","publisher-place":"New York","title":"Introduction to Spatial Econometrics","author":[{"family":"LeSage","given":"James"},{"family":"Pace","given":"Robert Kelley"}],"issued":{"date-parts":[["2009",1,19]]}}},{"id":15,"uris":["http://zotero.org/users/20296599/items/5ZMSSGDX"],"itemData":{"id":15,"type":"book","collection-title":"Studies in Operational Regional Science","DOI":"10.1007/978-94-015-7799-1","ISBN":"978-90-481-8311-1","license":"http://www.springer.com/tdm","publisher":"Springer Netherlands","publisher-place":"Dordrecht","source":"DOI.org (Crossref)","title":"Spatial Econometrics: Methods and Models","title-short":"Spatial Econometrics","URL":"http://link.springer.com/10.1007/978-94-015-7799-1","volume":"4","author":[{"family":"Anselin","given":"Luc"}],"accessed":{"date-parts":[["2026",4,18]]},"issued":{"date-parts":[["1988"]]}}}],"schema":"https://github.com/citation-style-language/schema/raw/master/csl-citation.json"} </w:instrText>
      </w:r>
      <w:r>
        <w:rPr>
          <w:rFonts w:ascii="Arial" w:hAnsi="Arial" w:cs="Arial"/>
          <w:sz w:val="24"/>
          <w:szCs w:val="24"/>
        </w:rPr>
        <w:fldChar w:fldCharType="separate"/>
      </w:r>
      <w:r w:rsidRPr="00AF6A27">
        <w:rPr>
          <w:rFonts w:ascii="Aptos" w:hAnsi="Aptos"/>
          <w:sz w:val="24"/>
        </w:rPr>
        <w:t>[6], [7], [8]</w:t>
      </w:r>
      <w:r>
        <w:rPr>
          <w:rFonts w:ascii="Arial" w:hAnsi="Arial" w:cs="Arial"/>
          <w:sz w:val="24"/>
          <w:szCs w:val="24"/>
        </w:rPr>
        <w:fldChar w:fldCharType="end"/>
      </w:r>
    </w:p>
    <w:p w14:paraId="48F52E91" w14:textId="118610E3" w:rsidR="00A67CFF" w:rsidRPr="00444E7E" w:rsidRDefault="00FA0BD2" w:rsidP="00A67CFF">
      <w:pPr>
        <w:jc w:val="both"/>
        <w:rPr>
          <w:rFonts w:ascii="Arial" w:hAnsi="Arial" w:cs="Arial"/>
          <w:sz w:val="24"/>
          <w:szCs w:val="24"/>
        </w:rPr>
      </w:pPr>
      <w:r w:rsidRPr="00FA0BD2">
        <w:rPr>
          <w:rFonts w:ascii="Arial" w:hAnsi="Arial" w:cs="Arial"/>
          <w:sz w:val="24"/>
          <w:szCs w:val="24"/>
        </w:rPr>
        <w:t>De esta manera, el análisis no se limita a ubicar dónde se concentran las condiciones de pobreza, sino que también ayuda a entender cómo estas se relacionan con factores como el hacinamiento, el estrato, los servicios públicos y la cercanía entre manzanas</w:t>
      </w:r>
      <w:r w:rsidR="00A67CFF" w:rsidRPr="00444E7E">
        <w:rPr>
          <w:rFonts w:ascii="Arial" w:hAnsi="Arial" w:cs="Arial"/>
          <w:sz w:val="24"/>
          <w:szCs w:val="24"/>
        </w:rPr>
        <w:t>, aportando herramientas relevantes para el diseño de políticas públicas orientadas a la reducción de la desigualdad.</w:t>
      </w:r>
    </w:p>
    <w:p w14:paraId="0938CF4D" w14:textId="77777777" w:rsidR="009E4D26" w:rsidRDefault="009E4D26" w:rsidP="00A9131E">
      <w:pPr>
        <w:rPr>
          <w:b/>
          <w:bCs/>
        </w:rPr>
      </w:pPr>
    </w:p>
    <w:p w14:paraId="48B36151" w14:textId="77777777" w:rsidR="002A29E7" w:rsidRPr="002A29E7" w:rsidRDefault="002A29E7" w:rsidP="002A29E7">
      <w:pPr>
        <w:pStyle w:val="Bibliografa"/>
      </w:pPr>
      <w:r>
        <w:rPr>
          <w:b/>
          <w:bCs/>
        </w:rPr>
        <w:lastRenderedPageBreak/>
        <w:fldChar w:fldCharType="begin"/>
      </w:r>
      <w:r>
        <w:rPr>
          <w:b/>
          <w:bCs/>
        </w:rPr>
        <w:instrText xml:space="preserve"> ADDIN ZOTERO_BIBL {"uncited":[],"omitted":[],"custom":[]} CSL_BIBLIOGRAPHY </w:instrText>
      </w:r>
      <w:r>
        <w:rPr>
          <w:b/>
          <w:bCs/>
        </w:rPr>
        <w:fldChar w:fldCharType="separate"/>
      </w:r>
      <w:r w:rsidRPr="002A29E7">
        <w:t>[1]</w:t>
      </w:r>
      <w:r w:rsidRPr="002A29E7">
        <w:tab/>
        <w:t>«DANE - Censo Nacional de Población y Vivienda 2018». Accedido: 18 de abril de 2026. [En línea]. Disponible en: https://www.dane.gov.co/index.php/estadisticas-por-tema/demografia-y-poblacion/censo-nacional-de-poblacion-y-vivenda-2018</w:t>
      </w:r>
    </w:p>
    <w:p w14:paraId="24A94B5A" w14:textId="77777777" w:rsidR="002A29E7" w:rsidRPr="002A29E7" w:rsidRDefault="002A29E7" w:rsidP="002A29E7">
      <w:pPr>
        <w:pStyle w:val="Bibliografa"/>
      </w:pPr>
      <w:r w:rsidRPr="002A29E7">
        <w:t>[2]</w:t>
      </w:r>
      <w:r w:rsidRPr="002A29E7">
        <w:tab/>
        <w:t>«DANE - Gran Encuesta Integrada de Hogares -GEIH- Históricos». Accedido: 18 de abril de 2026. [En línea]. Disponible en: https://www.dane.gov.co/index.php/estadisticas-por-tema/mercado-laboral/empleo-y-desempleo/geih-historicos</w:t>
      </w:r>
    </w:p>
    <w:p w14:paraId="0DBC76E4" w14:textId="77777777" w:rsidR="002A29E7" w:rsidRPr="002A29E7" w:rsidRDefault="002A29E7" w:rsidP="002A29E7">
      <w:pPr>
        <w:pStyle w:val="Bibliografa"/>
      </w:pPr>
      <w:r w:rsidRPr="002A29E7">
        <w:t>[3]</w:t>
      </w:r>
      <w:r w:rsidRPr="002A29E7">
        <w:tab/>
        <w:t>«DANE - Pobreza multidimensional». Accedido: 18 de abril de 2026. [En línea]. Disponible en: https://www.dane.gov.co/index.php/estadisticas-por-tema/pobreza-y-condiciones-de-vida/pobreza-multidimensional</w:t>
      </w:r>
    </w:p>
    <w:p w14:paraId="1229CF57" w14:textId="77777777" w:rsidR="002A29E7" w:rsidRPr="002A29E7" w:rsidRDefault="002A29E7" w:rsidP="002A29E7">
      <w:pPr>
        <w:pStyle w:val="Bibliografa"/>
      </w:pPr>
      <w:r w:rsidRPr="002A29E7">
        <w:t>[4]</w:t>
      </w:r>
      <w:r w:rsidRPr="002A29E7">
        <w:tab/>
        <w:t xml:space="preserve">N. K. Denzin, </w:t>
      </w:r>
      <w:r w:rsidRPr="002A29E7">
        <w:rPr>
          <w:i/>
          <w:iCs/>
        </w:rPr>
        <w:t>The Research Act: A Theoretical Introduction to Sociological Methods</w:t>
      </w:r>
      <w:r w:rsidRPr="002A29E7">
        <w:t>. New York: Routledge, 2017. doi: 10.4324/9781315134543.</w:t>
      </w:r>
    </w:p>
    <w:p w14:paraId="6903ED28" w14:textId="77777777" w:rsidR="002A29E7" w:rsidRPr="002A29E7" w:rsidRDefault="002A29E7" w:rsidP="002A29E7">
      <w:pPr>
        <w:pStyle w:val="Bibliografa"/>
      </w:pPr>
      <w:r w:rsidRPr="002A29E7">
        <w:t>[5]</w:t>
      </w:r>
      <w:r w:rsidRPr="002A29E7">
        <w:tab/>
        <w:t>OECD, E. Union, y J. R. C. European Commission, «Handbook on Constructing Composite Indicators: Methodology and User Guide», OECD. Accedido: 18 de abril de 2026. [En línea]. Disponible en: https://www.oecd.org/en/publications/handbook-on-constructing-composite-indicators-methodology-and-user-guide_9789264043466-en.html</w:t>
      </w:r>
    </w:p>
    <w:p w14:paraId="56AE0C58" w14:textId="77777777" w:rsidR="002A29E7" w:rsidRPr="002A29E7" w:rsidRDefault="002A29E7" w:rsidP="002A29E7">
      <w:pPr>
        <w:pStyle w:val="Bibliografa"/>
      </w:pPr>
      <w:r w:rsidRPr="002A29E7">
        <w:t>[6]</w:t>
      </w:r>
      <w:r w:rsidRPr="002A29E7">
        <w:tab/>
        <w:t xml:space="preserve">J. W. Creswell y V. L. P. Clark, </w:t>
      </w:r>
      <w:r w:rsidRPr="002A29E7">
        <w:rPr>
          <w:i/>
          <w:iCs/>
        </w:rPr>
        <w:t>Designing and Conducting Mixed Methods Research</w:t>
      </w:r>
      <w:r w:rsidRPr="002A29E7">
        <w:t>. SAGE, 2007.</w:t>
      </w:r>
    </w:p>
    <w:p w14:paraId="6E1C6CA0" w14:textId="77777777" w:rsidR="002A29E7" w:rsidRPr="002A29E7" w:rsidRDefault="002A29E7" w:rsidP="002A29E7">
      <w:pPr>
        <w:pStyle w:val="Bibliografa"/>
      </w:pPr>
      <w:r w:rsidRPr="002A29E7">
        <w:t>[7]</w:t>
      </w:r>
      <w:r w:rsidRPr="002A29E7">
        <w:tab/>
        <w:t xml:space="preserve">J. LeSage y R. K. Pace, </w:t>
      </w:r>
      <w:r w:rsidRPr="002A29E7">
        <w:rPr>
          <w:i/>
          <w:iCs/>
        </w:rPr>
        <w:t>Introduction to Spatial Econometrics</w:t>
      </w:r>
      <w:r w:rsidRPr="002A29E7">
        <w:t>. New York: Chapman and Hall/CRC, 2009. doi: 10.1201/9781420064254.</w:t>
      </w:r>
    </w:p>
    <w:p w14:paraId="53801C1A" w14:textId="77777777" w:rsidR="002A29E7" w:rsidRPr="002A29E7" w:rsidRDefault="002A29E7" w:rsidP="002A29E7">
      <w:pPr>
        <w:pStyle w:val="Bibliografa"/>
      </w:pPr>
      <w:r w:rsidRPr="002A29E7">
        <w:t>[8]</w:t>
      </w:r>
      <w:r w:rsidRPr="002A29E7">
        <w:tab/>
        <w:t xml:space="preserve">L. Anselin, </w:t>
      </w:r>
      <w:r w:rsidRPr="002A29E7">
        <w:rPr>
          <w:i/>
          <w:iCs/>
        </w:rPr>
        <w:t>Spatial Econometrics: Methods and Models</w:t>
      </w:r>
      <w:r w:rsidRPr="002A29E7">
        <w:t>, vol. 4. en Studies in Operational Regional Science, vol. 4. Dordrecht: Springer Netherlands, 1988. doi: 10.1007/978-94-015-7799-1.</w:t>
      </w:r>
    </w:p>
    <w:p w14:paraId="74C2F386" w14:textId="77777777" w:rsidR="002A29E7" w:rsidRPr="002A29E7" w:rsidRDefault="002A29E7" w:rsidP="002A29E7">
      <w:pPr>
        <w:pStyle w:val="Bibliografa"/>
      </w:pPr>
      <w:r w:rsidRPr="002A29E7">
        <w:t>[9]</w:t>
      </w:r>
      <w:r w:rsidRPr="002A29E7">
        <w:tab/>
        <w:t xml:space="preserve">H. Akaike, «A new look at the statistical model identification», </w:t>
      </w:r>
      <w:r w:rsidRPr="002A29E7">
        <w:rPr>
          <w:i/>
          <w:iCs/>
        </w:rPr>
        <w:t>IEEE Trans. Autom. Control</w:t>
      </w:r>
      <w:r w:rsidRPr="002A29E7">
        <w:t>, vol. 19, n.</w:t>
      </w:r>
      <w:r w:rsidRPr="002A29E7">
        <w:rPr>
          <w:vertAlign w:val="superscript"/>
        </w:rPr>
        <w:t>o</w:t>
      </w:r>
      <w:r w:rsidRPr="002A29E7">
        <w:t xml:space="preserve"> 6, pp. 716-723, dic. 1974, doi: 10.1109/TAC.1974.1100705.</w:t>
      </w:r>
    </w:p>
    <w:p w14:paraId="3B9D9792" w14:textId="29C25268" w:rsidR="002A29E7" w:rsidRPr="00A9131E" w:rsidRDefault="002A29E7" w:rsidP="00A9131E">
      <w:pPr>
        <w:rPr>
          <w:b/>
          <w:bCs/>
        </w:rPr>
      </w:pPr>
      <w:r>
        <w:rPr>
          <w:b/>
          <w:bCs/>
        </w:rPr>
        <w:fldChar w:fldCharType="end"/>
      </w:r>
    </w:p>
    <w:sectPr w:rsidR="002A29E7" w:rsidRPr="00A913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2F13"/>
    <w:multiLevelType w:val="multilevel"/>
    <w:tmpl w:val="59B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20C63"/>
    <w:multiLevelType w:val="multilevel"/>
    <w:tmpl w:val="E26E5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51823"/>
    <w:multiLevelType w:val="multilevel"/>
    <w:tmpl w:val="34BC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142B4"/>
    <w:multiLevelType w:val="multilevel"/>
    <w:tmpl w:val="47EA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A5051"/>
    <w:multiLevelType w:val="multilevel"/>
    <w:tmpl w:val="D6F6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439BE"/>
    <w:multiLevelType w:val="multilevel"/>
    <w:tmpl w:val="F146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166CF"/>
    <w:multiLevelType w:val="multilevel"/>
    <w:tmpl w:val="D968E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F12F86"/>
    <w:multiLevelType w:val="multilevel"/>
    <w:tmpl w:val="A3F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914375">
    <w:abstractNumId w:val="5"/>
  </w:num>
  <w:num w:numId="2" w16cid:durableId="719403108">
    <w:abstractNumId w:val="6"/>
  </w:num>
  <w:num w:numId="3" w16cid:durableId="201867150">
    <w:abstractNumId w:val="1"/>
  </w:num>
  <w:num w:numId="4" w16cid:durableId="1106079834">
    <w:abstractNumId w:val="7"/>
  </w:num>
  <w:num w:numId="5" w16cid:durableId="1245917811">
    <w:abstractNumId w:val="0"/>
  </w:num>
  <w:num w:numId="6" w16cid:durableId="954097262">
    <w:abstractNumId w:val="2"/>
  </w:num>
  <w:num w:numId="7" w16cid:durableId="466972080">
    <w:abstractNumId w:val="3"/>
  </w:num>
  <w:num w:numId="8" w16cid:durableId="8282565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31E"/>
    <w:rsid w:val="00010EB6"/>
    <w:rsid w:val="0002186D"/>
    <w:rsid w:val="00043490"/>
    <w:rsid w:val="00085434"/>
    <w:rsid w:val="00086F9A"/>
    <w:rsid w:val="000D0630"/>
    <w:rsid w:val="00154B6E"/>
    <w:rsid w:val="00193D5E"/>
    <w:rsid w:val="0021735B"/>
    <w:rsid w:val="00225FCC"/>
    <w:rsid w:val="002659E3"/>
    <w:rsid w:val="002A29E7"/>
    <w:rsid w:val="002C1BBB"/>
    <w:rsid w:val="00383771"/>
    <w:rsid w:val="00444E7E"/>
    <w:rsid w:val="004572C3"/>
    <w:rsid w:val="004C4A6B"/>
    <w:rsid w:val="004D5622"/>
    <w:rsid w:val="004D6D18"/>
    <w:rsid w:val="004E78E3"/>
    <w:rsid w:val="004F4DAF"/>
    <w:rsid w:val="00523FF9"/>
    <w:rsid w:val="00533F57"/>
    <w:rsid w:val="005A1145"/>
    <w:rsid w:val="006212A6"/>
    <w:rsid w:val="0066137B"/>
    <w:rsid w:val="00673816"/>
    <w:rsid w:val="006C2945"/>
    <w:rsid w:val="007614A1"/>
    <w:rsid w:val="0076326D"/>
    <w:rsid w:val="00775839"/>
    <w:rsid w:val="007828FA"/>
    <w:rsid w:val="007C2B25"/>
    <w:rsid w:val="0082576A"/>
    <w:rsid w:val="008F5EC8"/>
    <w:rsid w:val="00985CCB"/>
    <w:rsid w:val="009E4D26"/>
    <w:rsid w:val="00A2715C"/>
    <w:rsid w:val="00A559EC"/>
    <w:rsid w:val="00A67CFF"/>
    <w:rsid w:val="00A9131E"/>
    <w:rsid w:val="00AA1590"/>
    <w:rsid w:val="00AF6A27"/>
    <w:rsid w:val="00B24883"/>
    <w:rsid w:val="00B564FA"/>
    <w:rsid w:val="00B648B0"/>
    <w:rsid w:val="00B7476D"/>
    <w:rsid w:val="00B96463"/>
    <w:rsid w:val="00C838BA"/>
    <w:rsid w:val="00CC56B1"/>
    <w:rsid w:val="00D22600"/>
    <w:rsid w:val="00D8108B"/>
    <w:rsid w:val="00DF4190"/>
    <w:rsid w:val="00E06EA1"/>
    <w:rsid w:val="00F068E7"/>
    <w:rsid w:val="00F91F46"/>
    <w:rsid w:val="00F97135"/>
    <w:rsid w:val="00FA0B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1291"/>
  <w15:chartTrackingRefBased/>
  <w15:docId w15:val="{9A45CA3C-8E2E-47FD-B672-B40C0618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1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1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13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13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13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13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13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13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13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13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13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13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13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13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13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13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13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131E"/>
    <w:rPr>
      <w:rFonts w:eastAsiaTheme="majorEastAsia" w:cstheme="majorBidi"/>
      <w:color w:val="272727" w:themeColor="text1" w:themeTint="D8"/>
    </w:rPr>
  </w:style>
  <w:style w:type="paragraph" w:styleId="Ttulo">
    <w:name w:val="Title"/>
    <w:basedOn w:val="Normal"/>
    <w:next w:val="Normal"/>
    <w:link w:val="TtuloCar"/>
    <w:uiPriority w:val="10"/>
    <w:qFormat/>
    <w:rsid w:val="00A91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13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13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13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131E"/>
    <w:pPr>
      <w:spacing w:before="160"/>
      <w:jc w:val="center"/>
    </w:pPr>
    <w:rPr>
      <w:i/>
      <w:iCs/>
      <w:color w:val="404040" w:themeColor="text1" w:themeTint="BF"/>
    </w:rPr>
  </w:style>
  <w:style w:type="character" w:customStyle="1" w:styleId="CitaCar">
    <w:name w:val="Cita Car"/>
    <w:basedOn w:val="Fuentedeprrafopredeter"/>
    <w:link w:val="Cita"/>
    <w:uiPriority w:val="29"/>
    <w:rsid w:val="00A9131E"/>
    <w:rPr>
      <w:i/>
      <w:iCs/>
      <w:color w:val="404040" w:themeColor="text1" w:themeTint="BF"/>
    </w:rPr>
  </w:style>
  <w:style w:type="paragraph" w:styleId="Prrafodelista">
    <w:name w:val="List Paragraph"/>
    <w:basedOn w:val="Normal"/>
    <w:uiPriority w:val="34"/>
    <w:qFormat/>
    <w:rsid w:val="00A9131E"/>
    <w:pPr>
      <w:ind w:left="720"/>
      <w:contextualSpacing/>
    </w:pPr>
  </w:style>
  <w:style w:type="character" w:styleId="nfasisintenso">
    <w:name w:val="Intense Emphasis"/>
    <w:basedOn w:val="Fuentedeprrafopredeter"/>
    <w:uiPriority w:val="21"/>
    <w:qFormat/>
    <w:rsid w:val="00A9131E"/>
    <w:rPr>
      <w:i/>
      <w:iCs/>
      <w:color w:val="0F4761" w:themeColor="accent1" w:themeShade="BF"/>
    </w:rPr>
  </w:style>
  <w:style w:type="paragraph" w:styleId="Citadestacada">
    <w:name w:val="Intense Quote"/>
    <w:basedOn w:val="Normal"/>
    <w:next w:val="Normal"/>
    <w:link w:val="CitadestacadaCar"/>
    <w:uiPriority w:val="30"/>
    <w:qFormat/>
    <w:rsid w:val="00A91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131E"/>
    <w:rPr>
      <w:i/>
      <w:iCs/>
      <w:color w:val="0F4761" w:themeColor="accent1" w:themeShade="BF"/>
    </w:rPr>
  </w:style>
  <w:style w:type="character" w:styleId="Referenciaintensa">
    <w:name w:val="Intense Reference"/>
    <w:basedOn w:val="Fuentedeprrafopredeter"/>
    <w:uiPriority w:val="32"/>
    <w:qFormat/>
    <w:rsid w:val="00A9131E"/>
    <w:rPr>
      <w:b/>
      <w:bCs/>
      <w:smallCaps/>
      <w:color w:val="0F4761" w:themeColor="accent1" w:themeShade="BF"/>
      <w:spacing w:val="5"/>
    </w:rPr>
  </w:style>
  <w:style w:type="paragraph" w:styleId="Descripcin">
    <w:name w:val="caption"/>
    <w:basedOn w:val="Normal"/>
    <w:next w:val="Normal"/>
    <w:uiPriority w:val="35"/>
    <w:unhideWhenUsed/>
    <w:qFormat/>
    <w:rsid w:val="00AA1590"/>
    <w:pPr>
      <w:spacing w:after="200" w:line="240" w:lineRule="auto"/>
    </w:pPr>
    <w:rPr>
      <w:i/>
      <w:iCs/>
      <w:color w:val="0E2841" w:themeColor="text2"/>
      <w:sz w:val="18"/>
      <w:szCs w:val="18"/>
    </w:rPr>
  </w:style>
  <w:style w:type="paragraph" w:styleId="Bibliografa">
    <w:name w:val="Bibliography"/>
    <w:basedOn w:val="Normal"/>
    <w:next w:val="Normal"/>
    <w:uiPriority w:val="37"/>
    <w:unhideWhenUsed/>
    <w:rsid w:val="002A29E7"/>
    <w:pPr>
      <w:tabs>
        <w:tab w:val="left" w:pos="384"/>
      </w:tabs>
      <w:spacing w:after="0" w:line="240" w:lineRule="auto"/>
      <w:ind w:left="384" w:hanging="384"/>
    </w:pPr>
  </w:style>
  <w:style w:type="paragraph" w:styleId="TtuloTDC">
    <w:name w:val="TOC Heading"/>
    <w:basedOn w:val="Ttulo1"/>
    <w:next w:val="Normal"/>
    <w:uiPriority w:val="39"/>
    <w:unhideWhenUsed/>
    <w:qFormat/>
    <w:rsid w:val="00043490"/>
    <w:pPr>
      <w:spacing w:before="240" w:after="0"/>
      <w:outlineLvl w:val="9"/>
    </w:pPr>
    <w:rPr>
      <w:kern w:val="0"/>
      <w:sz w:val="32"/>
      <w:szCs w:val="32"/>
      <w:lang w:eastAsia="es-CO"/>
      <w14:ligatures w14:val="none"/>
    </w:rPr>
  </w:style>
  <w:style w:type="paragraph" w:styleId="TDC2">
    <w:name w:val="toc 2"/>
    <w:basedOn w:val="Normal"/>
    <w:next w:val="Normal"/>
    <w:autoRedefine/>
    <w:uiPriority w:val="39"/>
    <w:unhideWhenUsed/>
    <w:rsid w:val="00043490"/>
    <w:pPr>
      <w:spacing w:after="100"/>
      <w:ind w:left="220"/>
    </w:pPr>
    <w:rPr>
      <w:rFonts w:eastAsiaTheme="minorEastAsia" w:cs="Times New Roman"/>
      <w:kern w:val="0"/>
      <w:lang w:eastAsia="es-CO"/>
      <w14:ligatures w14:val="none"/>
    </w:rPr>
  </w:style>
  <w:style w:type="paragraph" w:styleId="TDC1">
    <w:name w:val="toc 1"/>
    <w:basedOn w:val="Normal"/>
    <w:next w:val="Normal"/>
    <w:autoRedefine/>
    <w:uiPriority w:val="39"/>
    <w:unhideWhenUsed/>
    <w:rsid w:val="00043490"/>
    <w:pPr>
      <w:spacing w:after="100"/>
    </w:pPr>
    <w:rPr>
      <w:rFonts w:eastAsiaTheme="minorEastAsia" w:cs="Times New Roman"/>
      <w:kern w:val="0"/>
      <w:lang w:eastAsia="es-CO"/>
      <w14:ligatures w14:val="none"/>
    </w:rPr>
  </w:style>
  <w:style w:type="paragraph" w:styleId="TDC3">
    <w:name w:val="toc 3"/>
    <w:basedOn w:val="Normal"/>
    <w:next w:val="Normal"/>
    <w:autoRedefine/>
    <w:uiPriority w:val="39"/>
    <w:unhideWhenUsed/>
    <w:rsid w:val="00043490"/>
    <w:pPr>
      <w:spacing w:after="100"/>
      <w:ind w:left="440"/>
    </w:pPr>
    <w:rPr>
      <w:rFonts w:eastAsiaTheme="minorEastAsia" w:cs="Times New Roman"/>
      <w:kern w:val="0"/>
      <w:lang w:eastAsia="es-CO"/>
      <w14:ligatures w14:val="none"/>
    </w:rPr>
  </w:style>
  <w:style w:type="paragraph" w:styleId="Tabladeilustraciones">
    <w:name w:val="table of figures"/>
    <w:basedOn w:val="Normal"/>
    <w:next w:val="Normal"/>
    <w:uiPriority w:val="99"/>
    <w:unhideWhenUsed/>
    <w:rsid w:val="00A2715C"/>
    <w:pPr>
      <w:spacing w:after="0"/>
    </w:pPr>
  </w:style>
  <w:style w:type="character" w:styleId="Hipervnculo">
    <w:name w:val="Hyperlink"/>
    <w:basedOn w:val="Fuentedeprrafopredeter"/>
    <w:uiPriority w:val="99"/>
    <w:unhideWhenUsed/>
    <w:rsid w:val="00A271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CCD37-B0F4-4367-9ECF-D7B741A67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21</Pages>
  <Words>7637</Words>
  <Characters>42007</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 PRADO CAICEDO</dc:creator>
  <cp:keywords/>
  <dc:description/>
  <cp:lastModifiedBy>DAVID J PRADO CAICEDO</cp:lastModifiedBy>
  <cp:revision>24</cp:revision>
  <dcterms:created xsi:type="dcterms:W3CDTF">2026-04-19T00:07:00Z</dcterms:created>
  <dcterms:modified xsi:type="dcterms:W3CDTF">2026-04-20T02:26:00Z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cb32a6-42be-419f-8d6c-e004b006daae_Enabled">
    <vt:lpwstr>true</vt:lpwstr>
  </property>
  <property fmtid="{D5CDD505-2E9C-101B-9397-08002B2CF9AE}" pid="3" name="MSIP_Label_70cb32a6-42be-419f-8d6c-e004b006daae_SetDate">
    <vt:lpwstr>2026-04-12T19:50:12Z</vt:lpwstr>
  </property>
  <property fmtid="{D5CDD505-2E9C-101B-9397-08002B2CF9AE}" pid="4" name="MSIP_Label_70cb32a6-42be-419f-8d6c-e004b006daae_Method">
    <vt:lpwstr>Standard</vt:lpwstr>
  </property>
  <property fmtid="{D5CDD505-2E9C-101B-9397-08002B2CF9AE}" pid="5" name="MSIP_Label_70cb32a6-42be-419f-8d6c-e004b006daae_Name">
    <vt:lpwstr>70cb32a6-42be-419f-8d6c-e004b006daae</vt:lpwstr>
  </property>
  <property fmtid="{D5CDD505-2E9C-101B-9397-08002B2CF9AE}" pid="6" name="MSIP_Label_70cb32a6-42be-419f-8d6c-e004b006daae_SiteId">
    <vt:lpwstr>0cb501d9-65f6-43a5-85cf-0058bde67d53</vt:lpwstr>
  </property>
  <property fmtid="{D5CDD505-2E9C-101B-9397-08002B2CF9AE}" pid="7" name="MSIP_Label_70cb32a6-42be-419f-8d6c-e004b006daae_ActionId">
    <vt:lpwstr>3eae456d-54fd-4f27-b654-7f659447b074</vt:lpwstr>
  </property>
  <property fmtid="{D5CDD505-2E9C-101B-9397-08002B2CF9AE}" pid="8" name="MSIP_Label_70cb32a6-42be-419f-8d6c-e004b006daae_ContentBits">
    <vt:lpwstr>0</vt:lpwstr>
  </property>
  <property fmtid="{D5CDD505-2E9C-101B-9397-08002B2CF9AE}" pid="9" name="MSIP_Label_70cb32a6-42be-419f-8d6c-e004b006daae_Tag">
    <vt:lpwstr>10, 3, 0, 1</vt:lpwstr>
  </property>
  <property fmtid="{D5CDD505-2E9C-101B-9397-08002B2CF9AE}" pid="10" name="ZOTERO_PREF_1">
    <vt:lpwstr>&lt;data data-version="3" zotero-version="9.0"&gt;&lt;session id="hhTsrrC2"/&gt;&lt;style id="http://www.zotero.org/styles/ieee" locale="es-ES" hasBibliography="1" bibliographyStyleHasBeenSet="1"/&gt;&lt;prefs&gt;&lt;pref name="fieldType" value="Field"/&gt;&lt;pref name="automaticJournal</vt:lpwstr>
  </property>
  <property fmtid="{D5CDD505-2E9C-101B-9397-08002B2CF9AE}" pid="11" name="ZOTERO_PREF_2">
    <vt:lpwstr>Abbreviations" value="true"/&gt;&lt;/prefs&gt;&lt;/data&gt;</vt:lpwstr>
  </property>
</Properties>
</file>