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4E77" w14:textId="663090CF" w:rsidR="00A9131E" w:rsidRPr="00444E7E" w:rsidRDefault="00A9131E" w:rsidP="00A9131E">
      <w:pPr>
        <w:jc w:val="both"/>
        <w:rPr>
          <w:rFonts w:ascii="Arial" w:hAnsi="Arial" w:cs="Arial"/>
          <w:sz w:val="24"/>
          <w:szCs w:val="24"/>
        </w:rPr>
      </w:pPr>
      <w:r w:rsidRPr="00444E7E">
        <w:rPr>
          <w:rFonts w:ascii="Arial" w:hAnsi="Arial" w:cs="Arial"/>
          <w:sz w:val="24"/>
          <w:szCs w:val="24"/>
        </w:rPr>
        <w:t xml:space="preserve">El análisis de la desigualdad socioeconómica requiere la integración de múltiples fuentes de información que permitan capturar tanto la estructura territorial como las condiciones específicas de la población. </w:t>
      </w:r>
      <w:r w:rsidR="00F91F46">
        <w:rPr>
          <w:rFonts w:ascii="Arial" w:hAnsi="Arial" w:cs="Arial"/>
          <w:sz w:val="24"/>
          <w:szCs w:val="24"/>
        </w:rPr>
        <w:t>Teniendo esto en cuenta,</w:t>
      </w:r>
      <w:r w:rsidRPr="00444E7E">
        <w:rPr>
          <w:rFonts w:ascii="Arial" w:hAnsi="Arial" w:cs="Arial"/>
          <w:sz w:val="24"/>
          <w:szCs w:val="24"/>
        </w:rPr>
        <w:t xml:space="preserve"> el presente estudio compara los resultados obtenidos a partir de</w:t>
      </w:r>
      <w:r w:rsidR="00F91F46">
        <w:rPr>
          <w:rFonts w:ascii="Arial" w:hAnsi="Arial" w:cs="Arial"/>
          <w:sz w:val="24"/>
          <w:szCs w:val="24"/>
        </w:rPr>
        <w:t>l</w:t>
      </w:r>
      <w:r w:rsidRPr="00444E7E">
        <w:rPr>
          <w:rFonts w:ascii="Arial" w:hAnsi="Arial" w:cs="Arial"/>
          <w:sz w:val="24"/>
          <w:szCs w:val="24"/>
        </w:rPr>
        <w:t xml:space="preserve"> modelo de clustering </w:t>
      </w:r>
      <w:r w:rsidR="00F91F46">
        <w:rPr>
          <w:rFonts w:ascii="Arial" w:hAnsi="Arial" w:cs="Arial"/>
          <w:sz w:val="24"/>
          <w:szCs w:val="24"/>
        </w:rPr>
        <w:t xml:space="preserve">creado con los datos de censo DANE 2018 </w:t>
      </w:r>
      <w:r w:rsidRPr="00444E7E">
        <w:rPr>
          <w:rFonts w:ascii="Arial" w:hAnsi="Arial" w:cs="Arial"/>
          <w:sz w:val="24"/>
          <w:szCs w:val="24"/>
        </w:rPr>
        <w:t>con</w:t>
      </w:r>
      <w:r w:rsidR="00F91F46">
        <w:rPr>
          <w:rFonts w:ascii="Arial" w:hAnsi="Arial" w:cs="Arial"/>
          <w:sz w:val="24"/>
          <w:szCs w:val="24"/>
        </w:rPr>
        <w:t xml:space="preserve"> los</w:t>
      </w:r>
      <w:r w:rsidRPr="00444E7E">
        <w:rPr>
          <w:rFonts w:ascii="Arial" w:hAnsi="Arial" w:cs="Arial"/>
          <w:sz w:val="24"/>
          <w:szCs w:val="24"/>
        </w:rPr>
        <w:t xml:space="preserve"> indicadores </w:t>
      </w:r>
      <w:r w:rsidR="00F91F46">
        <w:rPr>
          <w:rFonts w:ascii="Arial" w:hAnsi="Arial" w:cs="Arial"/>
          <w:sz w:val="24"/>
          <w:szCs w:val="24"/>
        </w:rPr>
        <w:t xml:space="preserve">nacionales </w:t>
      </w:r>
      <w:r w:rsidRPr="00444E7E">
        <w:rPr>
          <w:rFonts w:ascii="Arial" w:hAnsi="Arial" w:cs="Arial"/>
          <w:sz w:val="24"/>
          <w:szCs w:val="24"/>
        </w:rPr>
        <w:t>del Índice de Pobreza Multidimensional (IPM) y la Gran Encuesta Integrada de Hogares (GEIH).</w:t>
      </w:r>
    </w:p>
    <w:p w14:paraId="3A65D87D" w14:textId="77777777" w:rsidR="00A9131E" w:rsidRPr="00444E7E" w:rsidRDefault="00A9131E" w:rsidP="00A9131E">
      <w:pPr>
        <w:jc w:val="both"/>
        <w:rPr>
          <w:rFonts w:ascii="Arial" w:hAnsi="Arial" w:cs="Arial"/>
          <w:sz w:val="24"/>
          <w:szCs w:val="24"/>
        </w:rPr>
      </w:pPr>
      <w:r w:rsidRPr="00444E7E">
        <w:rPr>
          <w:rFonts w:ascii="Arial" w:hAnsi="Arial" w:cs="Arial"/>
          <w:sz w:val="24"/>
          <w:szCs w:val="24"/>
        </w:rPr>
        <w:t>El objetivo principal es evaluar la consistencia de los patrones identificados en el modelo de clustering, contrastándolos con fuentes oficiales tanto de carácter censal como muestral, a diferentes niveles de agregación territorial.</w:t>
      </w:r>
    </w:p>
    <w:p w14:paraId="4F532014" w14:textId="77777777" w:rsidR="00A9131E" w:rsidRPr="00444E7E" w:rsidRDefault="00A9131E" w:rsidP="00A9131E">
      <w:pPr>
        <w:jc w:val="both"/>
        <w:rPr>
          <w:rFonts w:ascii="Arial" w:hAnsi="Arial" w:cs="Arial"/>
          <w:sz w:val="24"/>
          <w:szCs w:val="24"/>
        </w:rPr>
      </w:pPr>
    </w:p>
    <w:p w14:paraId="79DCD14C"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Fuentes de información</w:t>
      </w:r>
    </w:p>
    <w:p w14:paraId="2756392C" w14:textId="1F5A3078" w:rsidR="00A9131E" w:rsidRPr="00444E7E" w:rsidRDefault="00A9131E" w:rsidP="00A9131E">
      <w:pPr>
        <w:rPr>
          <w:rFonts w:ascii="Arial" w:hAnsi="Arial" w:cs="Arial"/>
          <w:b/>
          <w:bCs/>
          <w:sz w:val="24"/>
          <w:szCs w:val="24"/>
        </w:rPr>
      </w:pPr>
      <w:r w:rsidRPr="00444E7E">
        <w:rPr>
          <w:rFonts w:ascii="Arial" w:hAnsi="Arial" w:cs="Arial"/>
          <w:b/>
          <w:bCs/>
          <w:sz w:val="24"/>
          <w:szCs w:val="24"/>
        </w:rPr>
        <w:t>Censo DANE 2018 (Clusters)</w:t>
      </w:r>
    </w:p>
    <w:p w14:paraId="31DC2613"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Nivel: </w:t>
      </w:r>
      <w:r w:rsidRPr="00444E7E">
        <w:rPr>
          <w:rFonts w:ascii="Arial" w:hAnsi="Arial" w:cs="Arial"/>
          <w:b/>
          <w:bCs/>
          <w:sz w:val="24"/>
          <w:szCs w:val="24"/>
        </w:rPr>
        <w:t>Manzana</w:t>
      </w:r>
      <w:r w:rsidRPr="00444E7E">
        <w:rPr>
          <w:rFonts w:ascii="Arial" w:hAnsi="Arial" w:cs="Arial"/>
          <w:sz w:val="24"/>
          <w:szCs w:val="24"/>
        </w:rPr>
        <w:t xml:space="preserve"> </w:t>
      </w:r>
    </w:p>
    <w:p w14:paraId="65AD7F9E"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Tipo: </w:t>
      </w:r>
      <w:r w:rsidRPr="00444E7E">
        <w:rPr>
          <w:rFonts w:ascii="Arial" w:hAnsi="Arial" w:cs="Arial"/>
          <w:b/>
          <w:bCs/>
          <w:sz w:val="24"/>
          <w:szCs w:val="24"/>
        </w:rPr>
        <w:t>Censal (universo)</w:t>
      </w:r>
      <w:r w:rsidRPr="00444E7E">
        <w:rPr>
          <w:rFonts w:ascii="Arial" w:hAnsi="Arial" w:cs="Arial"/>
          <w:sz w:val="24"/>
          <w:szCs w:val="24"/>
        </w:rPr>
        <w:t xml:space="preserve"> </w:t>
      </w:r>
    </w:p>
    <w:p w14:paraId="4C05ACA2"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Uso: Construcción del modelo de clustering </w:t>
      </w:r>
    </w:p>
    <w:p w14:paraId="10BCB3B2" w14:textId="77777777" w:rsidR="00A9131E" w:rsidRPr="00444E7E" w:rsidRDefault="00A9131E" w:rsidP="00A9131E">
      <w:pPr>
        <w:numPr>
          <w:ilvl w:val="0"/>
          <w:numId w:val="1"/>
        </w:numPr>
        <w:rPr>
          <w:rFonts w:ascii="Arial" w:hAnsi="Arial" w:cs="Arial"/>
          <w:sz w:val="24"/>
          <w:szCs w:val="24"/>
        </w:rPr>
      </w:pPr>
      <w:r w:rsidRPr="00444E7E">
        <w:rPr>
          <w:rFonts w:ascii="Arial" w:hAnsi="Arial" w:cs="Arial"/>
          <w:sz w:val="24"/>
          <w:szCs w:val="24"/>
        </w:rPr>
        <w:t xml:space="preserve">Cobertura: Total población </w:t>
      </w:r>
    </w:p>
    <w:p w14:paraId="32467C45"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2.2 Índice de Pobreza Multidimensional (IPM)</w:t>
      </w:r>
    </w:p>
    <w:p w14:paraId="551A3D47"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Nivel: </w:t>
      </w:r>
      <w:r w:rsidRPr="00444E7E">
        <w:rPr>
          <w:rFonts w:ascii="Arial" w:hAnsi="Arial" w:cs="Arial"/>
          <w:b/>
          <w:bCs/>
          <w:sz w:val="24"/>
          <w:szCs w:val="24"/>
        </w:rPr>
        <w:t>Departamento</w:t>
      </w:r>
      <w:r w:rsidRPr="00444E7E">
        <w:rPr>
          <w:rFonts w:ascii="Arial" w:hAnsi="Arial" w:cs="Arial"/>
          <w:sz w:val="24"/>
          <w:szCs w:val="24"/>
        </w:rPr>
        <w:t xml:space="preserve"> </w:t>
      </w:r>
    </w:p>
    <w:p w14:paraId="6AADC14E"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Tipo: </w:t>
      </w:r>
      <w:r w:rsidRPr="00444E7E">
        <w:rPr>
          <w:rFonts w:ascii="Arial" w:hAnsi="Arial" w:cs="Arial"/>
          <w:b/>
          <w:bCs/>
          <w:sz w:val="24"/>
          <w:szCs w:val="24"/>
        </w:rPr>
        <w:t>Agregado oficial</w:t>
      </w:r>
      <w:r w:rsidRPr="00444E7E">
        <w:rPr>
          <w:rFonts w:ascii="Arial" w:hAnsi="Arial" w:cs="Arial"/>
          <w:sz w:val="24"/>
          <w:szCs w:val="24"/>
        </w:rPr>
        <w:t xml:space="preserve"> </w:t>
      </w:r>
    </w:p>
    <w:p w14:paraId="26DDB87C"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Uso: Validación estructural </w:t>
      </w:r>
    </w:p>
    <w:p w14:paraId="22FB3D26" w14:textId="77777777" w:rsidR="00A9131E" w:rsidRPr="00444E7E" w:rsidRDefault="00A9131E" w:rsidP="00A9131E">
      <w:pPr>
        <w:numPr>
          <w:ilvl w:val="0"/>
          <w:numId w:val="2"/>
        </w:numPr>
        <w:rPr>
          <w:rFonts w:ascii="Arial" w:hAnsi="Arial" w:cs="Arial"/>
          <w:sz w:val="24"/>
          <w:szCs w:val="24"/>
        </w:rPr>
      </w:pPr>
      <w:r w:rsidRPr="00444E7E">
        <w:rPr>
          <w:rFonts w:ascii="Arial" w:hAnsi="Arial" w:cs="Arial"/>
          <w:sz w:val="24"/>
          <w:szCs w:val="24"/>
        </w:rPr>
        <w:t xml:space="preserve">Dimensiones: </w:t>
      </w:r>
    </w:p>
    <w:p w14:paraId="1B6594F4"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Educación </w:t>
      </w:r>
    </w:p>
    <w:p w14:paraId="23100652"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Salud </w:t>
      </w:r>
    </w:p>
    <w:p w14:paraId="38CF3BAD"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Trabajo </w:t>
      </w:r>
    </w:p>
    <w:p w14:paraId="0131250F"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Condiciones de vivienda </w:t>
      </w:r>
    </w:p>
    <w:p w14:paraId="55674F52" w14:textId="77777777" w:rsidR="00A9131E" w:rsidRPr="00444E7E" w:rsidRDefault="00A9131E" w:rsidP="00A9131E">
      <w:pPr>
        <w:numPr>
          <w:ilvl w:val="1"/>
          <w:numId w:val="2"/>
        </w:numPr>
        <w:rPr>
          <w:rFonts w:ascii="Arial" w:hAnsi="Arial" w:cs="Arial"/>
          <w:sz w:val="24"/>
          <w:szCs w:val="24"/>
        </w:rPr>
      </w:pPr>
      <w:r w:rsidRPr="00444E7E">
        <w:rPr>
          <w:rFonts w:ascii="Arial" w:hAnsi="Arial" w:cs="Arial"/>
          <w:sz w:val="24"/>
          <w:szCs w:val="24"/>
        </w:rPr>
        <w:t xml:space="preserve">Servicios públicos </w:t>
      </w:r>
    </w:p>
    <w:p w14:paraId="775AD055"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2.3 GEIH 2018</w:t>
      </w:r>
    </w:p>
    <w:p w14:paraId="71F7467C"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Nivel: </w:t>
      </w:r>
      <w:r w:rsidRPr="00444E7E">
        <w:rPr>
          <w:rFonts w:ascii="Arial" w:hAnsi="Arial" w:cs="Arial"/>
          <w:b/>
          <w:bCs/>
          <w:sz w:val="24"/>
          <w:szCs w:val="24"/>
        </w:rPr>
        <w:t>Ciudad (cabecera)</w:t>
      </w:r>
      <w:r w:rsidRPr="00444E7E">
        <w:rPr>
          <w:rFonts w:ascii="Arial" w:hAnsi="Arial" w:cs="Arial"/>
          <w:sz w:val="24"/>
          <w:szCs w:val="24"/>
        </w:rPr>
        <w:t xml:space="preserve"> </w:t>
      </w:r>
    </w:p>
    <w:p w14:paraId="3657FBC2"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Tipo: </w:t>
      </w:r>
      <w:r w:rsidRPr="00444E7E">
        <w:rPr>
          <w:rFonts w:ascii="Arial" w:hAnsi="Arial" w:cs="Arial"/>
          <w:b/>
          <w:bCs/>
          <w:sz w:val="24"/>
          <w:szCs w:val="24"/>
        </w:rPr>
        <w:t>Muestral</w:t>
      </w:r>
      <w:r w:rsidRPr="00444E7E">
        <w:rPr>
          <w:rFonts w:ascii="Arial" w:hAnsi="Arial" w:cs="Arial"/>
          <w:sz w:val="24"/>
          <w:szCs w:val="24"/>
        </w:rPr>
        <w:t xml:space="preserve"> </w:t>
      </w:r>
    </w:p>
    <w:p w14:paraId="68620CED"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Uso: Validación socioeconómica </w:t>
      </w:r>
    </w:p>
    <w:p w14:paraId="1496DCEE" w14:textId="77777777" w:rsidR="00A9131E" w:rsidRPr="00444E7E" w:rsidRDefault="00A9131E" w:rsidP="00A9131E">
      <w:pPr>
        <w:numPr>
          <w:ilvl w:val="0"/>
          <w:numId w:val="3"/>
        </w:numPr>
        <w:rPr>
          <w:rFonts w:ascii="Arial" w:hAnsi="Arial" w:cs="Arial"/>
          <w:sz w:val="24"/>
          <w:szCs w:val="24"/>
        </w:rPr>
      </w:pPr>
      <w:r w:rsidRPr="00444E7E">
        <w:rPr>
          <w:rFonts w:ascii="Arial" w:hAnsi="Arial" w:cs="Arial"/>
          <w:sz w:val="24"/>
          <w:szCs w:val="24"/>
        </w:rPr>
        <w:t xml:space="preserve">Fortalezas: </w:t>
      </w:r>
    </w:p>
    <w:p w14:paraId="7AA66176" w14:textId="77777777" w:rsidR="00A9131E" w:rsidRPr="00444E7E" w:rsidRDefault="00A9131E" w:rsidP="00A9131E">
      <w:pPr>
        <w:numPr>
          <w:ilvl w:val="1"/>
          <w:numId w:val="3"/>
        </w:numPr>
        <w:rPr>
          <w:rFonts w:ascii="Arial" w:hAnsi="Arial" w:cs="Arial"/>
          <w:sz w:val="24"/>
          <w:szCs w:val="24"/>
        </w:rPr>
      </w:pPr>
      <w:r w:rsidRPr="00444E7E">
        <w:rPr>
          <w:rFonts w:ascii="Arial" w:hAnsi="Arial" w:cs="Arial"/>
          <w:sz w:val="24"/>
          <w:szCs w:val="24"/>
        </w:rPr>
        <w:lastRenderedPageBreak/>
        <w:t xml:space="preserve">Mercado laboral </w:t>
      </w:r>
    </w:p>
    <w:p w14:paraId="5BF5E540" w14:textId="77777777" w:rsidR="00A9131E" w:rsidRPr="00444E7E" w:rsidRDefault="00A9131E" w:rsidP="00A9131E">
      <w:pPr>
        <w:numPr>
          <w:ilvl w:val="1"/>
          <w:numId w:val="3"/>
        </w:numPr>
        <w:rPr>
          <w:rFonts w:ascii="Arial" w:hAnsi="Arial" w:cs="Arial"/>
          <w:sz w:val="24"/>
          <w:szCs w:val="24"/>
        </w:rPr>
      </w:pPr>
      <w:r w:rsidRPr="00444E7E">
        <w:rPr>
          <w:rFonts w:ascii="Arial" w:hAnsi="Arial" w:cs="Arial"/>
          <w:sz w:val="24"/>
          <w:szCs w:val="24"/>
        </w:rPr>
        <w:t>Educación</w:t>
      </w:r>
    </w:p>
    <w:p w14:paraId="040ABE7D" w14:textId="77777777" w:rsidR="00F91F46" w:rsidRDefault="00F91F46" w:rsidP="00A9131E">
      <w:pPr>
        <w:rPr>
          <w:rFonts w:ascii="Arial" w:hAnsi="Arial" w:cs="Arial"/>
          <w:b/>
          <w:bCs/>
          <w:sz w:val="24"/>
          <w:szCs w:val="24"/>
        </w:rPr>
      </w:pPr>
    </w:p>
    <w:p w14:paraId="0F353E9A" w14:textId="70303268" w:rsidR="00B564FA" w:rsidRPr="00444E7E" w:rsidRDefault="00A9131E" w:rsidP="00A9131E">
      <w:pPr>
        <w:rPr>
          <w:rFonts w:ascii="Arial" w:hAnsi="Arial" w:cs="Arial"/>
          <w:b/>
          <w:bCs/>
          <w:sz w:val="24"/>
          <w:szCs w:val="24"/>
        </w:rPr>
      </w:pPr>
      <w:r w:rsidRPr="00444E7E">
        <w:rPr>
          <w:rFonts w:ascii="Arial" w:hAnsi="Arial" w:cs="Arial"/>
          <w:b/>
          <w:bCs/>
          <w:sz w:val="24"/>
          <w:szCs w:val="24"/>
        </w:rPr>
        <w:t>Diferencias metodológicas entre fuentes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2001"/>
        <w:gridCol w:w="2357"/>
        <w:gridCol w:w="1999"/>
      </w:tblGrid>
      <w:tr w:rsidR="00A9131E" w:rsidRPr="00444E7E" w14:paraId="5DE480A3" w14:textId="77777777" w:rsidTr="007614A1">
        <w:trPr>
          <w:tblHeader/>
          <w:tblCellSpacing w:w="15" w:type="dxa"/>
        </w:trPr>
        <w:tc>
          <w:tcPr>
            <w:tcW w:w="0" w:type="auto"/>
            <w:vAlign w:val="center"/>
            <w:hideMark/>
          </w:tcPr>
          <w:p w14:paraId="71A47F93"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Característica</w:t>
            </w:r>
          </w:p>
        </w:tc>
        <w:tc>
          <w:tcPr>
            <w:tcW w:w="0" w:type="auto"/>
            <w:vAlign w:val="center"/>
            <w:hideMark/>
          </w:tcPr>
          <w:p w14:paraId="4EBF182C"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Clusters (Censo)</w:t>
            </w:r>
          </w:p>
        </w:tc>
        <w:tc>
          <w:tcPr>
            <w:tcW w:w="0" w:type="auto"/>
            <w:vAlign w:val="center"/>
            <w:hideMark/>
          </w:tcPr>
          <w:p w14:paraId="140F2DDF"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IPM</w:t>
            </w:r>
          </w:p>
        </w:tc>
        <w:tc>
          <w:tcPr>
            <w:tcW w:w="0" w:type="auto"/>
            <w:vAlign w:val="center"/>
            <w:hideMark/>
          </w:tcPr>
          <w:p w14:paraId="255F8E58"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GEIH</w:t>
            </w:r>
          </w:p>
        </w:tc>
      </w:tr>
      <w:tr w:rsidR="00A9131E" w:rsidRPr="00444E7E" w14:paraId="36E53290" w14:textId="77777777" w:rsidTr="007614A1">
        <w:trPr>
          <w:tblCellSpacing w:w="15" w:type="dxa"/>
        </w:trPr>
        <w:tc>
          <w:tcPr>
            <w:tcW w:w="0" w:type="auto"/>
            <w:vAlign w:val="center"/>
            <w:hideMark/>
          </w:tcPr>
          <w:p w14:paraId="2227CFAC" w14:textId="77777777" w:rsidR="00A9131E" w:rsidRPr="00444E7E" w:rsidRDefault="00A9131E" w:rsidP="00A9131E">
            <w:pPr>
              <w:rPr>
                <w:rFonts w:ascii="Arial" w:hAnsi="Arial" w:cs="Arial"/>
                <w:sz w:val="24"/>
                <w:szCs w:val="24"/>
              </w:rPr>
            </w:pPr>
            <w:r w:rsidRPr="00444E7E">
              <w:rPr>
                <w:rFonts w:ascii="Arial" w:hAnsi="Arial" w:cs="Arial"/>
                <w:sz w:val="24"/>
                <w:szCs w:val="24"/>
              </w:rPr>
              <w:t>Tipo de dato</w:t>
            </w:r>
          </w:p>
        </w:tc>
        <w:tc>
          <w:tcPr>
            <w:tcW w:w="0" w:type="auto"/>
            <w:vAlign w:val="center"/>
            <w:hideMark/>
          </w:tcPr>
          <w:p w14:paraId="6C56C6E2" w14:textId="77777777" w:rsidR="00A9131E" w:rsidRPr="00444E7E" w:rsidRDefault="00A9131E" w:rsidP="00A9131E">
            <w:pPr>
              <w:rPr>
                <w:rFonts w:ascii="Arial" w:hAnsi="Arial" w:cs="Arial"/>
                <w:sz w:val="24"/>
                <w:szCs w:val="24"/>
              </w:rPr>
            </w:pPr>
            <w:r w:rsidRPr="00444E7E">
              <w:rPr>
                <w:rFonts w:ascii="Arial" w:hAnsi="Arial" w:cs="Arial"/>
                <w:sz w:val="24"/>
                <w:szCs w:val="24"/>
              </w:rPr>
              <w:t>Censal</w:t>
            </w:r>
          </w:p>
        </w:tc>
        <w:tc>
          <w:tcPr>
            <w:tcW w:w="0" w:type="auto"/>
            <w:vAlign w:val="center"/>
            <w:hideMark/>
          </w:tcPr>
          <w:p w14:paraId="5818BE4B" w14:textId="77777777" w:rsidR="00A9131E" w:rsidRPr="00444E7E" w:rsidRDefault="00A9131E" w:rsidP="00A9131E">
            <w:pPr>
              <w:rPr>
                <w:rFonts w:ascii="Arial" w:hAnsi="Arial" w:cs="Arial"/>
                <w:sz w:val="24"/>
                <w:szCs w:val="24"/>
              </w:rPr>
            </w:pPr>
            <w:r w:rsidRPr="00444E7E">
              <w:rPr>
                <w:rFonts w:ascii="Arial" w:hAnsi="Arial" w:cs="Arial"/>
                <w:sz w:val="24"/>
                <w:szCs w:val="24"/>
              </w:rPr>
              <w:t>Agregado</w:t>
            </w:r>
          </w:p>
        </w:tc>
        <w:tc>
          <w:tcPr>
            <w:tcW w:w="0" w:type="auto"/>
            <w:vAlign w:val="center"/>
            <w:hideMark/>
          </w:tcPr>
          <w:p w14:paraId="48491631" w14:textId="77777777" w:rsidR="00A9131E" w:rsidRPr="00444E7E" w:rsidRDefault="00A9131E" w:rsidP="00A9131E">
            <w:pPr>
              <w:rPr>
                <w:rFonts w:ascii="Arial" w:hAnsi="Arial" w:cs="Arial"/>
                <w:sz w:val="24"/>
                <w:szCs w:val="24"/>
              </w:rPr>
            </w:pPr>
            <w:r w:rsidRPr="00444E7E">
              <w:rPr>
                <w:rFonts w:ascii="Arial" w:hAnsi="Arial" w:cs="Arial"/>
                <w:sz w:val="24"/>
                <w:szCs w:val="24"/>
              </w:rPr>
              <w:t>Muestral</w:t>
            </w:r>
          </w:p>
        </w:tc>
      </w:tr>
      <w:tr w:rsidR="00A9131E" w:rsidRPr="00444E7E" w14:paraId="0B91B130" w14:textId="77777777" w:rsidTr="007614A1">
        <w:trPr>
          <w:tblCellSpacing w:w="15" w:type="dxa"/>
        </w:trPr>
        <w:tc>
          <w:tcPr>
            <w:tcW w:w="0" w:type="auto"/>
            <w:vAlign w:val="center"/>
            <w:hideMark/>
          </w:tcPr>
          <w:p w14:paraId="11D19336" w14:textId="77777777" w:rsidR="00A9131E" w:rsidRPr="00444E7E" w:rsidRDefault="00A9131E" w:rsidP="00A9131E">
            <w:pPr>
              <w:rPr>
                <w:rFonts w:ascii="Arial" w:hAnsi="Arial" w:cs="Arial"/>
                <w:sz w:val="24"/>
                <w:szCs w:val="24"/>
              </w:rPr>
            </w:pPr>
            <w:r w:rsidRPr="00444E7E">
              <w:rPr>
                <w:rFonts w:ascii="Arial" w:hAnsi="Arial" w:cs="Arial"/>
                <w:sz w:val="24"/>
                <w:szCs w:val="24"/>
              </w:rPr>
              <w:t>Nivel espacial</w:t>
            </w:r>
          </w:p>
        </w:tc>
        <w:tc>
          <w:tcPr>
            <w:tcW w:w="0" w:type="auto"/>
            <w:vAlign w:val="center"/>
            <w:hideMark/>
          </w:tcPr>
          <w:p w14:paraId="30092A60" w14:textId="77777777" w:rsidR="00A9131E" w:rsidRPr="00444E7E" w:rsidRDefault="00A9131E" w:rsidP="00A9131E">
            <w:pPr>
              <w:rPr>
                <w:rFonts w:ascii="Arial" w:hAnsi="Arial" w:cs="Arial"/>
                <w:sz w:val="24"/>
                <w:szCs w:val="24"/>
              </w:rPr>
            </w:pPr>
            <w:r w:rsidRPr="00444E7E">
              <w:rPr>
                <w:rFonts w:ascii="Arial" w:hAnsi="Arial" w:cs="Arial"/>
                <w:sz w:val="24"/>
                <w:szCs w:val="24"/>
              </w:rPr>
              <w:t>Manzana</w:t>
            </w:r>
          </w:p>
        </w:tc>
        <w:tc>
          <w:tcPr>
            <w:tcW w:w="0" w:type="auto"/>
            <w:vAlign w:val="center"/>
            <w:hideMark/>
          </w:tcPr>
          <w:p w14:paraId="6AAB81B5" w14:textId="77777777" w:rsidR="00A9131E" w:rsidRPr="00444E7E" w:rsidRDefault="00A9131E" w:rsidP="00A9131E">
            <w:pPr>
              <w:rPr>
                <w:rFonts w:ascii="Arial" w:hAnsi="Arial" w:cs="Arial"/>
                <w:sz w:val="24"/>
                <w:szCs w:val="24"/>
              </w:rPr>
            </w:pPr>
            <w:r w:rsidRPr="00444E7E">
              <w:rPr>
                <w:rFonts w:ascii="Arial" w:hAnsi="Arial" w:cs="Arial"/>
                <w:sz w:val="24"/>
                <w:szCs w:val="24"/>
              </w:rPr>
              <w:t>Departamento</w:t>
            </w:r>
          </w:p>
        </w:tc>
        <w:tc>
          <w:tcPr>
            <w:tcW w:w="0" w:type="auto"/>
            <w:vAlign w:val="center"/>
            <w:hideMark/>
          </w:tcPr>
          <w:p w14:paraId="509BFEFB" w14:textId="77777777" w:rsidR="00A9131E" w:rsidRPr="00444E7E" w:rsidRDefault="00A9131E" w:rsidP="00A9131E">
            <w:pPr>
              <w:rPr>
                <w:rFonts w:ascii="Arial" w:hAnsi="Arial" w:cs="Arial"/>
                <w:sz w:val="24"/>
                <w:szCs w:val="24"/>
              </w:rPr>
            </w:pPr>
            <w:r w:rsidRPr="00444E7E">
              <w:rPr>
                <w:rFonts w:ascii="Arial" w:hAnsi="Arial" w:cs="Arial"/>
                <w:sz w:val="24"/>
                <w:szCs w:val="24"/>
              </w:rPr>
              <w:t>Ciudad</w:t>
            </w:r>
          </w:p>
        </w:tc>
      </w:tr>
      <w:tr w:rsidR="00A9131E" w:rsidRPr="00444E7E" w14:paraId="59557A62" w14:textId="77777777" w:rsidTr="007614A1">
        <w:trPr>
          <w:tblCellSpacing w:w="15" w:type="dxa"/>
        </w:trPr>
        <w:tc>
          <w:tcPr>
            <w:tcW w:w="0" w:type="auto"/>
            <w:vAlign w:val="center"/>
            <w:hideMark/>
          </w:tcPr>
          <w:p w14:paraId="6F473548" w14:textId="77777777" w:rsidR="00A9131E" w:rsidRPr="00444E7E" w:rsidRDefault="00A9131E" w:rsidP="00A9131E">
            <w:pPr>
              <w:rPr>
                <w:rFonts w:ascii="Arial" w:hAnsi="Arial" w:cs="Arial"/>
                <w:sz w:val="24"/>
                <w:szCs w:val="24"/>
              </w:rPr>
            </w:pPr>
            <w:r w:rsidRPr="00444E7E">
              <w:rPr>
                <w:rFonts w:ascii="Arial" w:hAnsi="Arial" w:cs="Arial"/>
                <w:sz w:val="24"/>
                <w:szCs w:val="24"/>
              </w:rPr>
              <w:t>Precisión espacial</w:t>
            </w:r>
          </w:p>
        </w:tc>
        <w:tc>
          <w:tcPr>
            <w:tcW w:w="0" w:type="auto"/>
            <w:vAlign w:val="center"/>
            <w:hideMark/>
          </w:tcPr>
          <w:p w14:paraId="19D409DD" w14:textId="77777777" w:rsidR="00A9131E" w:rsidRPr="00444E7E" w:rsidRDefault="00A9131E" w:rsidP="00A9131E">
            <w:pPr>
              <w:rPr>
                <w:rFonts w:ascii="Arial" w:hAnsi="Arial" w:cs="Arial"/>
                <w:sz w:val="24"/>
                <w:szCs w:val="24"/>
              </w:rPr>
            </w:pPr>
            <w:r w:rsidRPr="00444E7E">
              <w:rPr>
                <w:rFonts w:ascii="Arial" w:hAnsi="Arial" w:cs="Arial"/>
                <w:sz w:val="24"/>
                <w:szCs w:val="24"/>
              </w:rPr>
              <w:t>Alta</w:t>
            </w:r>
          </w:p>
        </w:tc>
        <w:tc>
          <w:tcPr>
            <w:tcW w:w="0" w:type="auto"/>
            <w:vAlign w:val="center"/>
            <w:hideMark/>
          </w:tcPr>
          <w:p w14:paraId="768B1CC1" w14:textId="77777777" w:rsidR="00A9131E" w:rsidRPr="00444E7E" w:rsidRDefault="00A9131E" w:rsidP="00A9131E">
            <w:pPr>
              <w:rPr>
                <w:rFonts w:ascii="Arial" w:hAnsi="Arial" w:cs="Arial"/>
                <w:sz w:val="24"/>
                <w:szCs w:val="24"/>
              </w:rPr>
            </w:pPr>
            <w:r w:rsidRPr="00444E7E">
              <w:rPr>
                <w:rFonts w:ascii="Arial" w:hAnsi="Arial" w:cs="Arial"/>
                <w:sz w:val="24"/>
                <w:szCs w:val="24"/>
              </w:rPr>
              <w:t>Media</w:t>
            </w:r>
          </w:p>
        </w:tc>
        <w:tc>
          <w:tcPr>
            <w:tcW w:w="0" w:type="auto"/>
            <w:vAlign w:val="center"/>
            <w:hideMark/>
          </w:tcPr>
          <w:p w14:paraId="51DAFE2A" w14:textId="77777777" w:rsidR="00A9131E" w:rsidRPr="00444E7E" w:rsidRDefault="00A9131E" w:rsidP="00A9131E">
            <w:pPr>
              <w:rPr>
                <w:rFonts w:ascii="Arial" w:hAnsi="Arial" w:cs="Arial"/>
                <w:sz w:val="24"/>
                <w:szCs w:val="24"/>
              </w:rPr>
            </w:pPr>
            <w:r w:rsidRPr="00444E7E">
              <w:rPr>
                <w:rFonts w:ascii="Arial" w:hAnsi="Arial" w:cs="Arial"/>
                <w:sz w:val="24"/>
                <w:szCs w:val="24"/>
              </w:rPr>
              <w:t>Baja</w:t>
            </w:r>
          </w:p>
        </w:tc>
      </w:tr>
      <w:tr w:rsidR="00A9131E" w:rsidRPr="00444E7E" w14:paraId="2191C811" w14:textId="77777777" w:rsidTr="007614A1">
        <w:trPr>
          <w:tblCellSpacing w:w="15" w:type="dxa"/>
        </w:trPr>
        <w:tc>
          <w:tcPr>
            <w:tcW w:w="0" w:type="auto"/>
            <w:vAlign w:val="center"/>
            <w:hideMark/>
          </w:tcPr>
          <w:p w14:paraId="3F44D55F" w14:textId="77777777" w:rsidR="00A9131E" w:rsidRPr="00444E7E" w:rsidRDefault="00A9131E" w:rsidP="00A9131E">
            <w:pPr>
              <w:rPr>
                <w:rFonts w:ascii="Arial" w:hAnsi="Arial" w:cs="Arial"/>
                <w:sz w:val="24"/>
                <w:szCs w:val="24"/>
              </w:rPr>
            </w:pPr>
            <w:r w:rsidRPr="00444E7E">
              <w:rPr>
                <w:rFonts w:ascii="Arial" w:hAnsi="Arial" w:cs="Arial"/>
                <w:sz w:val="24"/>
                <w:szCs w:val="24"/>
              </w:rPr>
              <w:t>Enfoque</w:t>
            </w:r>
          </w:p>
        </w:tc>
        <w:tc>
          <w:tcPr>
            <w:tcW w:w="0" w:type="auto"/>
            <w:vAlign w:val="center"/>
            <w:hideMark/>
          </w:tcPr>
          <w:p w14:paraId="4EBA7A33" w14:textId="77777777" w:rsidR="00A9131E" w:rsidRPr="00444E7E" w:rsidRDefault="00A9131E" w:rsidP="00A9131E">
            <w:pPr>
              <w:rPr>
                <w:rFonts w:ascii="Arial" w:hAnsi="Arial" w:cs="Arial"/>
                <w:sz w:val="24"/>
                <w:szCs w:val="24"/>
              </w:rPr>
            </w:pPr>
            <w:r w:rsidRPr="00444E7E">
              <w:rPr>
                <w:rFonts w:ascii="Arial" w:hAnsi="Arial" w:cs="Arial"/>
                <w:sz w:val="24"/>
                <w:szCs w:val="24"/>
              </w:rPr>
              <w:t>Multidimensional</w:t>
            </w:r>
          </w:p>
        </w:tc>
        <w:tc>
          <w:tcPr>
            <w:tcW w:w="0" w:type="auto"/>
            <w:vAlign w:val="center"/>
            <w:hideMark/>
          </w:tcPr>
          <w:p w14:paraId="62EEC473" w14:textId="77777777" w:rsidR="00A9131E" w:rsidRPr="00444E7E" w:rsidRDefault="00A9131E" w:rsidP="00A9131E">
            <w:pPr>
              <w:rPr>
                <w:rFonts w:ascii="Arial" w:hAnsi="Arial" w:cs="Arial"/>
                <w:sz w:val="24"/>
                <w:szCs w:val="24"/>
              </w:rPr>
            </w:pPr>
            <w:r w:rsidRPr="00444E7E">
              <w:rPr>
                <w:rFonts w:ascii="Arial" w:hAnsi="Arial" w:cs="Arial"/>
                <w:sz w:val="24"/>
                <w:szCs w:val="24"/>
              </w:rPr>
              <w:t>Pobreza</w:t>
            </w:r>
          </w:p>
        </w:tc>
        <w:tc>
          <w:tcPr>
            <w:tcW w:w="0" w:type="auto"/>
            <w:vAlign w:val="center"/>
            <w:hideMark/>
          </w:tcPr>
          <w:p w14:paraId="7CF36C61" w14:textId="77777777" w:rsidR="00A9131E" w:rsidRPr="00444E7E" w:rsidRDefault="00A9131E" w:rsidP="00A9131E">
            <w:pPr>
              <w:rPr>
                <w:rFonts w:ascii="Arial" w:hAnsi="Arial" w:cs="Arial"/>
                <w:sz w:val="24"/>
                <w:szCs w:val="24"/>
              </w:rPr>
            </w:pPr>
            <w:r w:rsidRPr="00444E7E">
              <w:rPr>
                <w:rFonts w:ascii="Arial" w:hAnsi="Arial" w:cs="Arial"/>
                <w:sz w:val="24"/>
                <w:szCs w:val="24"/>
              </w:rPr>
              <w:t>Socioeconómico</w:t>
            </w:r>
          </w:p>
        </w:tc>
      </w:tr>
      <w:tr w:rsidR="00A9131E" w:rsidRPr="00444E7E" w14:paraId="31E662DD" w14:textId="77777777" w:rsidTr="007614A1">
        <w:trPr>
          <w:tblCellSpacing w:w="15" w:type="dxa"/>
        </w:trPr>
        <w:tc>
          <w:tcPr>
            <w:tcW w:w="0" w:type="auto"/>
            <w:vAlign w:val="center"/>
            <w:hideMark/>
          </w:tcPr>
          <w:p w14:paraId="70B4ED58" w14:textId="77777777" w:rsidR="00A9131E" w:rsidRPr="00444E7E" w:rsidRDefault="00A9131E" w:rsidP="00A9131E">
            <w:pPr>
              <w:rPr>
                <w:rFonts w:ascii="Arial" w:hAnsi="Arial" w:cs="Arial"/>
                <w:sz w:val="24"/>
                <w:szCs w:val="24"/>
              </w:rPr>
            </w:pPr>
            <w:r w:rsidRPr="00444E7E">
              <w:rPr>
                <w:rFonts w:ascii="Arial" w:hAnsi="Arial" w:cs="Arial"/>
                <w:sz w:val="24"/>
                <w:szCs w:val="24"/>
              </w:rPr>
              <w:t>Uso principal</w:t>
            </w:r>
          </w:p>
        </w:tc>
        <w:tc>
          <w:tcPr>
            <w:tcW w:w="0" w:type="auto"/>
            <w:vAlign w:val="center"/>
            <w:hideMark/>
          </w:tcPr>
          <w:p w14:paraId="68023982" w14:textId="77777777" w:rsidR="00A9131E" w:rsidRPr="00444E7E" w:rsidRDefault="00A9131E" w:rsidP="00A9131E">
            <w:pPr>
              <w:rPr>
                <w:rFonts w:ascii="Arial" w:hAnsi="Arial" w:cs="Arial"/>
                <w:sz w:val="24"/>
                <w:szCs w:val="24"/>
              </w:rPr>
            </w:pPr>
            <w:r w:rsidRPr="00444E7E">
              <w:rPr>
                <w:rFonts w:ascii="Arial" w:hAnsi="Arial" w:cs="Arial"/>
                <w:sz w:val="24"/>
                <w:szCs w:val="24"/>
              </w:rPr>
              <w:t>Segmentación</w:t>
            </w:r>
          </w:p>
        </w:tc>
        <w:tc>
          <w:tcPr>
            <w:tcW w:w="0" w:type="auto"/>
            <w:vAlign w:val="center"/>
            <w:hideMark/>
          </w:tcPr>
          <w:p w14:paraId="386529D6" w14:textId="77777777" w:rsidR="00A9131E" w:rsidRPr="00444E7E" w:rsidRDefault="00A9131E" w:rsidP="00A9131E">
            <w:pPr>
              <w:rPr>
                <w:rFonts w:ascii="Arial" w:hAnsi="Arial" w:cs="Arial"/>
                <w:sz w:val="24"/>
                <w:szCs w:val="24"/>
              </w:rPr>
            </w:pPr>
            <w:r w:rsidRPr="00444E7E">
              <w:rPr>
                <w:rFonts w:ascii="Arial" w:hAnsi="Arial" w:cs="Arial"/>
                <w:sz w:val="24"/>
                <w:szCs w:val="24"/>
              </w:rPr>
              <w:t>Validación estructural</w:t>
            </w:r>
          </w:p>
        </w:tc>
        <w:tc>
          <w:tcPr>
            <w:tcW w:w="0" w:type="auto"/>
            <w:vAlign w:val="center"/>
            <w:hideMark/>
          </w:tcPr>
          <w:p w14:paraId="1C02C904" w14:textId="77777777" w:rsidR="00A9131E" w:rsidRPr="00444E7E" w:rsidRDefault="00A9131E" w:rsidP="00A9131E">
            <w:pPr>
              <w:rPr>
                <w:rFonts w:ascii="Arial" w:hAnsi="Arial" w:cs="Arial"/>
                <w:sz w:val="24"/>
                <w:szCs w:val="24"/>
              </w:rPr>
            </w:pPr>
            <w:r w:rsidRPr="00444E7E">
              <w:rPr>
                <w:rFonts w:ascii="Arial" w:hAnsi="Arial" w:cs="Arial"/>
                <w:sz w:val="24"/>
                <w:szCs w:val="24"/>
              </w:rPr>
              <w:t>Validación urbana</w:t>
            </w:r>
          </w:p>
        </w:tc>
      </w:tr>
    </w:tbl>
    <w:p w14:paraId="6AFE4CBE" w14:textId="77777777" w:rsidR="00A9131E" w:rsidRPr="00444E7E" w:rsidRDefault="00A9131E" w:rsidP="00A9131E">
      <w:pPr>
        <w:rPr>
          <w:rFonts w:ascii="Arial" w:hAnsi="Arial" w:cs="Arial"/>
          <w:b/>
          <w:bCs/>
          <w:sz w:val="24"/>
          <w:szCs w:val="24"/>
        </w:rPr>
      </w:pPr>
    </w:p>
    <w:p w14:paraId="7D7E6154" w14:textId="77777777" w:rsidR="00A9131E" w:rsidRPr="00444E7E" w:rsidRDefault="00A9131E" w:rsidP="00A9131E">
      <w:pPr>
        <w:rPr>
          <w:rFonts w:ascii="Arial" w:hAnsi="Arial" w:cs="Arial"/>
          <w:b/>
          <w:bCs/>
          <w:sz w:val="24"/>
          <w:szCs w:val="24"/>
        </w:rPr>
      </w:pPr>
      <w:r w:rsidRPr="00444E7E">
        <w:rPr>
          <w:rFonts w:ascii="Arial" w:hAnsi="Arial" w:cs="Arial"/>
          <w:b/>
          <w:bCs/>
          <w:sz w:val="24"/>
          <w:szCs w:val="24"/>
        </w:rPr>
        <w:t>Construcción de indicadores</w:t>
      </w:r>
    </w:p>
    <w:p w14:paraId="7D88EFCA" w14:textId="77777777" w:rsidR="00F91F46" w:rsidRDefault="00F91F46" w:rsidP="00A9131E">
      <w:pPr>
        <w:rPr>
          <w:rFonts w:ascii="Arial" w:hAnsi="Arial" w:cs="Arial"/>
          <w:b/>
          <w:bCs/>
          <w:sz w:val="24"/>
          <w:szCs w:val="24"/>
        </w:rPr>
      </w:pPr>
    </w:p>
    <w:p w14:paraId="7468C6C1" w14:textId="2207C9B2" w:rsidR="00A9131E" w:rsidRPr="00444E7E" w:rsidRDefault="00A9131E" w:rsidP="00A9131E">
      <w:pPr>
        <w:rPr>
          <w:rFonts w:ascii="Arial" w:hAnsi="Arial" w:cs="Arial"/>
          <w:b/>
          <w:bCs/>
          <w:sz w:val="24"/>
          <w:szCs w:val="24"/>
        </w:rPr>
      </w:pPr>
      <w:r w:rsidRPr="00444E7E">
        <w:rPr>
          <w:rFonts w:ascii="Arial" w:hAnsi="Arial" w:cs="Arial"/>
          <w:b/>
          <w:bCs/>
          <w:sz w:val="24"/>
          <w:szCs w:val="24"/>
        </w:rPr>
        <w:t>Indicadores del clustering</w:t>
      </w:r>
      <w:r w:rsidR="00F91F46">
        <w:rPr>
          <w:rFonts w:ascii="Arial" w:hAnsi="Arial" w:cs="Arial"/>
          <w:b/>
          <w:bCs/>
          <w:sz w:val="24"/>
          <w:szCs w:val="24"/>
        </w:rPr>
        <w:t xml:space="preserve"> de la fase previa</w:t>
      </w:r>
    </w:p>
    <w:p w14:paraId="729DC209" w14:textId="7C6CCC80" w:rsidR="00A9131E" w:rsidRPr="00444E7E" w:rsidRDefault="00F91F46" w:rsidP="00A9131E">
      <w:pPr>
        <w:rPr>
          <w:rFonts w:ascii="Arial" w:hAnsi="Arial" w:cs="Arial"/>
          <w:sz w:val="24"/>
          <w:szCs w:val="24"/>
        </w:rPr>
      </w:pPr>
      <w:r>
        <w:rPr>
          <w:rFonts w:ascii="Arial" w:hAnsi="Arial" w:cs="Arial"/>
          <w:sz w:val="24"/>
          <w:szCs w:val="24"/>
        </w:rPr>
        <w:t>I</w:t>
      </w:r>
      <w:r w:rsidR="00A9131E" w:rsidRPr="00444E7E">
        <w:rPr>
          <w:rFonts w:ascii="Arial" w:hAnsi="Arial" w:cs="Arial"/>
          <w:sz w:val="24"/>
          <w:szCs w:val="24"/>
        </w:rPr>
        <w:t>ndicadores agregados a partir de variables censales:</w:t>
      </w:r>
    </w:p>
    <w:p w14:paraId="2929D113"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Servicios: acceso a acueducto, alcantarillado </w:t>
      </w:r>
    </w:p>
    <w:p w14:paraId="44469ED8"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Educación: asistencia, alfabetismo, años de estudio </w:t>
      </w:r>
    </w:p>
    <w:p w14:paraId="64488F3F"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Laboral: proporción de población ocupada </w:t>
      </w:r>
    </w:p>
    <w:p w14:paraId="4EAC485D" w14:textId="77777777" w:rsidR="00A9131E" w:rsidRPr="00444E7E" w:rsidRDefault="00A9131E" w:rsidP="00A9131E">
      <w:pPr>
        <w:numPr>
          <w:ilvl w:val="0"/>
          <w:numId w:val="4"/>
        </w:numPr>
        <w:rPr>
          <w:rFonts w:ascii="Arial" w:hAnsi="Arial" w:cs="Arial"/>
          <w:sz w:val="24"/>
          <w:szCs w:val="24"/>
        </w:rPr>
      </w:pPr>
      <w:r w:rsidRPr="00444E7E">
        <w:rPr>
          <w:rFonts w:ascii="Arial" w:hAnsi="Arial" w:cs="Arial"/>
          <w:sz w:val="24"/>
          <w:szCs w:val="24"/>
        </w:rPr>
        <w:t xml:space="preserve">Habitacional: hacinamiento, materiales </w:t>
      </w:r>
    </w:p>
    <w:p w14:paraId="426107E1" w14:textId="1BEA505F" w:rsidR="00A9131E" w:rsidRPr="00444E7E" w:rsidRDefault="00A9131E" w:rsidP="00A9131E">
      <w:pPr>
        <w:rPr>
          <w:rFonts w:ascii="Arial" w:hAnsi="Arial" w:cs="Arial"/>
          <w:b/>
          <w:bCs/>
          <w:sz w:val="24"/>
          <w:szCs w:val="24"/>
        </w:rPr>
      </w:pPr>
    </w:p>
    <w:p w14:paraId="1F781264" w14:textId="42F6EE06" w:rsidR="00A9131E" w:rsidRPr="00444E7E" w:rsidRDefault="00A9131E" w:rsidP="00A9131E">
      <w:pPr>
        <w:rPr>
          <w:rFonts w:ascii="Arial" w:hAnsi="Arial" w:cs="Arial"/>
          <w:b/>
          <w:bCs/>
          <w:sz w:val="24"/>
          <w:szCs w:val="24"/>
        </w:rPr>
      </w:pPr>
      <w:r w:rsidRPr="00444E7E">
        <w:rPr>
          <w:rFonts w:ascii="Arial" w:hAnsi="Arial" w:cs="Arial"/>
          <w:b/>
          <w:bCs/>
          <w:sz w:val="24"/>
          <w:szCs w:val="24"/>
        </w:rPr>
        <w:t>Indicadores del IPM</w:t>
      </w:r>
    </w:p>
    <w:p w14:paraId="5C663D06" w14:textId="77777777" w:rsidR="00A9131E" w:rsidRPr="00444E7E" w:rsidRDefault="00A9131E" w:rsidP="00A9131E">
      <w:pPr>
        <w:rPr>
          <w:rFonts w:ascii="Arial" w:hAnsi="Arial" w:cs="Arial"/>
          <w:sz w:val="24"/>
          <w:szCs w:val="24"/>
        </w:rPr>
      </w:pPr>
      <w:r w:rsidRPr="00444E7E">
        <w:rPr>
          <w:rFonts w:ascii="Arial" w:hAnsi="Arial" w:cs="Arial"/>
          <w:sz w:val="24"/>
          <w:szCs w:val="24"/>
        </w:rPr>
        <w:t>El IPM se compone de indicadores de privación en:</w:t>
      </w:r>
    </w:p>
    <w:p w14:paraId="593FFFF2"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Educación (inasistencia, rezago) </w:t>
      </w:r>
    </w:p>
    <w:p w14:paraId="074ACEEB"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Trabajo (informalidad) </w:t>
      </w:r>
    </w:p>
    <w:p w14:paraId="5BF0C557"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Vivienda (hacinamiento) </w:t>
      </w:r>
    </w:p>
    <w:p w14:paraId="3ECF8EBF" w14:textId="77777777" w:rsidR="00A9131E" w:rsidRPr="00444E7E" w:rsidRDefault="00A9131E" w:rsidP="00A9131E">
      <w:pPr>
        <w:numPr>
          <w:ilvl w:val="0"/>
          <w:numId w:val="5"/>
        </w:numPr>
        <w:rPr>
          <w:rFonts w:ascii="Arial" w:hAnsi="Arial" w:cs="Arial"/>
          <w:sz w:val="24"/>
          <w:szCs w:val="24"/>
        </w:rPr>
      </w:pPr>
      <w:r w:rsidRPr="00444E7E">
        <w:rPr>
          <w:rFonts w:ascii="Arial" w:hAnsi="Arial" w:cs="Arial"/>
          <w:sz w:val="24"/>
          <w:szCs w:val="24"/>
        </w:rPr>
        <w:t xml:space="preserve">Servicios </w:t>
      </w:r>
    </w:p>
    <w:p w14:paraId="3BA3FDB1" w14:textId="071A1486" w:rsidR="00A9131E" w:rsidRPr="00444E7E" w:rsidRDefault="00A9131E" w:rsidP="00A9131E">
      <w:pPr>
        <w:rPr>
          <w:rFonts w:ascii="Arial" w:hAnsi="Arial" w:cs="Arial"/>
          <w:b/>
          <w:bCs/>
          <w:sz w:val="24"/>
          <w:szCs w:val="24"/>
        </w:rPr>
      </w:pPr>
    </w:p>
    <w:p w14:paraId="40E29625" w14:textId="77777777" w:rsidR="00A9131E" w:rsidRPr="00444E7E" w:rsidRDefault="00A9131E" w:rsidP="00A9131E">
      <w:pPr>
        <w:rPr>
          <w:rFonts w:ascii="Arial" w:hAnsi="Arial" w:cs="Arial"/>
          <w:b/>
          <w:bCs/>
          <w:sz w:val="24"/>
          <w:szCs w:val="24"/>
        </w:rPr>
      </w:pPr>
    </w:p>
    <w:p w14:paraId="4FFFB79D" w14:textId="77777777" w:rsidR="00A9131E" w:rsidRPr="00444E7E" w:rsidRDefault="00A9131E" w:rsidP="00A9131E">
      <w:pPr>
        <w:rPr>
          <w:rFonts w:ascii="Arial" w:hAnsi="Arial" w:cs="Arial"/>
          <w:b/>
          <w:bCs/>
          <w:sz w:val="24"/>
          <w:szCs w:val="24"/>
        </w:rPr>
      </w:pPr>
    </w:p>
    <w:p w14:paraId="1D485402" w14:textId="4FA6E082" w:rsidR="00A9131E" w:rsidRPr="00444E7E" w:rsidRDefault="00A9131E" w:rsidP="00A9131E">
      <w:pPr>
        <w:rPr>
          <w:rFonts w:ascii="Arial" w:hAnsi="Arial" w:cs="Arial"/>
          <w:b/>
          <w:bCs/>
          <w:sz w:val="24"/>
          <w:szCs w:val="24"/>
        </w:rPr>
      </w:pPr>
      <w:r w:rsidRPr="00444E7E">
        <w:rPr>
          <w:rFonts w:ascii="Arial" w:hAnsi="Arial" w:cs="Arial"/>
          <w:b/>
          <w:bCs/>
          <w:sz w:val="24"/>
          <w:szCs w:val="24"/>
        </w:rPr>
        <w:t>Indicadores GEIH</w:t>
      </w:r>
    </w:p>
    <w:p w14:paraId="7ACB88FF" w14:textId="77777777" w:rsidR="00A9131E" w:rsidRPr="00444E7E" w:rsidRDefault="00A9131E" w:rsidP="00A9131E">
      <w:pPr>
        <w:rPr>
          <w:rFonts w:ascii="Arial" w:hAnsi="Arial" w:cs="Arial"/>
          <w:sz w:val="24"/>
          <w:szCs w:val="24"/>
        </w:rPr>
      </w:pPr>
      <w:r w:rsidRPr="00444E7E">
        <w:rPr>
          <w:rFonts w:ascii="Arial" w:hAnsi="Arial" w:cs="Arial"/>
          <w:sz w:val="24"/>
          <w:szCs w:val="24"/>
        </w:rPr>
        <w:t>Se construyeron indicadores a partir de microdatos:</w:t>
      </w:r>
    </w:p>
    <w:p w14:paraId="6D538848"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 xml:space="preserve">Tasa de ocupación </w:t>
      </w:r>
    </w:p>
    <w:p w14:paraId="38A036DB"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 xml:space="preserve">Tasa de desempleo </w:t>
      </w:r>
    </w:p>
    <w:p w14:paraId="75653D68"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 xml:space="preserve">Asistencia escolar </w:t>
      </w:r>
    </w:p>
    <w:p w14:paraId="47F1B46B" w14:textId="77777777" w:rsidR="00A9131E" w:rsidRPr="00444E7E" w:rsidRDefault="00A9131E" w:rsidP="00A9131E">
      <w:pPr>
        <w:numPr>
          <w:ilvl w:val="0"/>
          <w:numId w:val="6"/>
        </w:numPr>
        <w:rPr>
          <w:rFonts w:ascii="Arial" w:hAnsi="Arial" w:cs="Arial"/>
          <w:sz w:val="24"/>
          <w:szCs w:val="24"/>
        </w:rPr>
      </w:pPr>
      <w:r w:rsidRPr="00444E7E">
        <w:rPr>
          <w:rFonts w:ascii="Arial" w:hAnsi="Arial" w:cs="Arial"/>
          <w:sz w:val="24"/>
          <w:szCs w:val="24"/>
        </w:rPr>
        <w:t>Nivel educativo</w:t>
      </w:r>
    </w:p>
    <w:p w14:paraId="73D407F6" w14:textId="77777777" w:rsidR="00A9131E" w:rsidRPr="00444E7E" w:rsidRDefault="00A9131E" w:rsidP="00A9131E">
      <w:pPr>
        <w:rPr>
          <w:rFonts w:ascii="Arial" w:hAnsi="Arial" w:cs="Arial"/>
          <w:b/>
          <w:bCs/>
          <w:sz w:val="24"/>
          <w:szCs w:val="24"/>
        </w:rPr>
      </w:pPr>
    </w:p>
    <w:p w14:paraId="31B5AC00" w14:textId="0AF5F0CF" w:rsidR="00B24883" w:rsidRPr="00444E7E" w:rsidRDefault="00B24883" w:rsidP="00A9131E">
      <w:pPr>
        <w:rPr>
          <w:rFonts w:ascii="Arial" w:hAnsi="Arial" w:cs="Arial"/>
          <w:b/>
          <w:bCs/>
          <w:sz w:val="24"/>
          <w:szCs w:val="24"/>
        </w:rPr>
      </w:pPr>
      <w:r w:rsidRPr="00444E7E">
        <w:rPr>
          <w:rFonts w:ascii="Arial" w:hAnsi="Arial" w:cs="Arial"/>
          <w:b/>
          <w:bCs/>
          <w:sz w:val="24"/>
          <w:szCs w:val="24"/>
        </w:rPr>
        <w:t>Comparación de resultados con el Índice de Pobreza Multidimensional (IPM)</w:t>
      </w:r>
    </w:p>
    <w:p w14:paraId="2BF8B6B6" w14:textId="377DE421" w:rsidR="00B24883" w:rsidRPr="00444E7E" w:rsidRDefault="00B24883" w:rsidP="00B24883">
      <w:pPr>
        <w:jc w:val="both"/>
        <w:rPr>
          <w:rFonts w:ascii="Arial" w:hAnsi="Arial" w:cs="Arial"/>
          <w:sz w:val="24"/>
          <w:szCs w:val="24"/>
        </w:rPr>
      </w:pPr>
      <w:r w:rsidRPr="00444E7E">
        <w:rPr>
          <w:rFonts w:ascii="Arial" w:hAnsi="Arial" w:cs="Arial"/>
          <w:sz w:val="24"/>
          <w:szCs w:val="24"/>
        </w:rPr>
        <w:t>A partir de los datos analizados para las ciudades, se identifican patrones consistentes en varias dimensiones, así como algunas limitaciones asociadas a la comparabilidad de los indicadores.</w:t>
      </w:r>
    </w:p>
    <w:p w14:paraId="7F861EC8"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de servicios, los resultados muestran una alta correspondencia entre los valores estimados a partir del clustering y los reportados por el IPM. Las ciudades presentan valores superiores a los departamentos en todos los casos, con diferencias relativamente pequeñas (entre 0.015 y 0.031). Por ejemplo, Armenia presenta un valor de 0.9843 frente a 0.9689 en el departamento del Quindío, mientras que Cali y Pereira presentan diferencias similares. Este comportamiento indica que el acceso a servicios básicos es alto tanto a nivel urbano como departamental, con una ligera ventaja en las ciudades, lo cual es coherente con la concentración de infraestructura en zonas urbanas. En este sentido, se evidencia una fuerte consistencia entre ambas fuentes de información en esta dimensión.</w:t>
      </w:r>
    </w:p>
    <w:p w14:paraId="5757E779"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de pobreza multidimensional, también se observa una coherencia clara en la estructura de los resultados. En todos los casos, los valores de las ciudades son inferiores a los de sus respectivos departamentos, lo que indica mejores condiciones en las cabeceras urbanas. Las diferencias oscilan entre -0.058 y -0.078, siendo Armenia la ciudad con mayor brecha respecto a su departamento. Este resultado sugiere que el modelo de clustering logra capturar adecuadamente las condiciones de pobreza relativa, replicando la jerarquía territorial esperada entre departamentos.</w:t>
      </w:r>
    </w:p>
    <w:p w14:paraId="625800DF"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 xml:space="preserve">En contraste, la dimensión educativa presenta discrepancias significativas entre ambas fuentes. Los valores del clustering (alrededor de 0.59–0.60) son considerablemente menores que los del IPM (alrededor de 0.93–0.95), generando diferencias cercanas a -0.33 en todos los casos. Este resultado no es consistente con la lógica esperada, ya que no sería razonable que los departamentos presenten </w:t>
      </w:r>
      <w:r w:rsidRPr="00444E7E">
        <w:rPr>
          <w:rFonts w:ascii="Arial" w:hAnsi="Arial" w:cs="Arial"/>
          <w:sz w:val="24"/>
          <w:szCs w:val="24"/>
        </w:rPr>
        <w:lastRenderedPageBreak/>
        <w:t>mejores condiciones educativas que sus principales ciudades. Por lo tanto, esta diferencia no debe interpretarse como una inconsistencia del modelo, sino como un problema de comparabilidad derivado de la definición de los indicadores del IPM, los cuales pueden estar expresados bajo una lógica distinta (logro vs carencia).</w:t>
      </w:r>
    </w:p>
    <w:p w14:paraId="652644C6"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De manera similar, en la dimensión laboral se observan diferencias importantes entre los valores del clustering (0.39–0.45) y los del IPM (0.71–0.74). Estas diferencias responden a la naturaleza distinta de los indicadores: mientras el clustering utiliza una aproximación general de ocupación, el IPM incorpora variables más específicas relacionadas con formalidad o calidad del empleo. En consecuencia, la comparabilidad directa en esta dimensión es limitada.</w:t>
      </w:r>
    </w:p>
    <w:p w14:paraId="08295100"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habitacional, aunque las unidades de medida no son directamente comparables, los valores del clustering se mantienen en rangos coherentes con los niveles de hacinamiento del IPM, lo que sugiere una adecuada representación de las condiciones físicas de la vivienda.</w:t>
      </w:r>
    </w:p>
    <w:p w14:paraId="4D9FFC6D" w14:textId="43EEE360" w:rsidR="00775839" w:rsidRPr="00444E7E" w:rsidRDefault="00775839" w:rsidP="00B24883">
      <w:pPr>
        <w:jc w:val="both"/>
        <w:rPr>
          <w:rFonts w:ascii="Arial" w:hAnsi="Arial" w:cs="Arial"/>
          <w:sz w:val="24"/>
          <w:szCs w:val="24"/>
        </w:rPr>
      </w:pPr>
      <w:r w:rsidRPr="00444E7E">
        <w:rPr>
          <w:rFonts w:ascii="Arial" w:hAnsi="Arial" w:cs="Arial"/>
          <w:noProof/>
          <w:sz w:val="24"/>
          <w:szCs w:val="24"/>
        </w:rPr>
        <w:drawing>
          <wp:inline distT="0" distB="0" distL="0" distR="0" wp14:anchorId="3E95A627" wp14:editId="2B026B5C">
            <wp:extent cx="5612130" cy="3301365"/>
            <wp:effectExtent l="0" t="0" r="7620" b="0"/>
            <wp:docPr id="92538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80314" name=""/>
                    <pic:cNvPicPr/>
                  </pic:nvPicPr>
                  <pic:blipFill>
                    <a:blip r:embed="rId6"/>
                    <a:stretch>
                      <a:fillRect/>
                    </a:stretch>
                  </pic:blipFill>
                  <pic:spPr>
                    <a:xfrm>
                      <a:off x="0" y="0"/>
                      <a:ext cx="5612130" cy="3301365"/>
                    </a:xfrm>
                    <a:prstGeom prst="rect">
                      <a:avLst/>
                    </a:prstGeom>
                  </pic:spPr>
                </pic:pic>
              </a:graphicData>
            </a:graphic>
          </wp:inline>
        </w:drawing>
      </w:r>
    </w:p>
    <w:p w14:paraId="34152426"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conjunto, el análisis evidencia que el modelo de clustering presenta una alta consistencia con el IPM en dimensiones estructurales como servicios y pobreza multidimensional, mientras que las discrepancias en educación y laboral responden principalmente a diferencias metodológicas y conceptuales entre las fuentes.</w:t>
      </w:r>
    </w:p>
    <w:p w14:paraId="16DCFB33" w14:textId="77777777" w:rsidR="00B24883" w:rsidRPr="00444E7E" w:rsidRDefault="00B24883" w:rsidP="00A9131E">
      <w:pPr>
        <w:rPr>
          <w:rFonts w:ascii="Arial" w:hAnsi="Arial" w:cs="Arial"/>
          <w:b/>
          <w:bCs/>
          <w:sz w:val="24"/>
          <w:szCs w:val="24"/>
        </w:rPr>
      </w:pPr>
    </w:p>
    <w:p w14:paraId="32626FB2" w14:textId="47A32556" w:rsidR="00B24883" w:rsidRPr="00444E7E" w:rsidRDefault="00B24883" w:rsidP="00A9131E">
      <w:pPr>
        <w:rPr>
          <w:rFonts w:ascii="Arial" w:hAnsi="Arial" w:cs="Arial"/>
          <w:b/>
          <w:bCs/>
          <w:sz w:val="24"/>
          <w:szCs w:val="24"/>
        </w:rPr>
      </w:pPr>
      <w:r w:rsidRPr="00444E7E">
        <w:rPr>
          <w:rFonts w:ascii="Arial" w:hAnsi="Arial" w:cs="Arial"/>
          <w:b/>
          <w:bCs/>
          <w:sz w:val="24"/>
          <w:szCs w:val="24"/>
        </w:rPr>
        <w:t>Comparación de resultados con la GEIH 2018</w:t>
      </w:r>
    </w:p>
    <w:p w14:paraId="08F93470"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 xml:space="preserve">La incorporación de la Gran Encuesta Integrada de Hogares (GEIH) permitió realizar una validación a nivel de ciudad en las dimensiones educativa y laboral, las cuales </w:t>
      </w:r>
      <w:r w:rsidRPr="00444E7E">
        <w:rPr>
          <w:rFonts w:ascii="Arial" w:hAnsi="Arial" w:cs="Arial"/>
          <w:sz w:val="24"/>
          <w:szCs w:val="24"/>
        </w:rPr>
        <w:lastRenderedPageBreak/>
        <w:t>presentaban limitaciones en la comparación con el IPM. Dado que la GEIH ofrece información representativa de la cabecera urbana, esta comparación permite contrastar directamente los resultados del clustering con condiciones socioeconómicas observadas en las ciudades.</w:t>
      </w:r>
    </w:p>
    <w:p w14:paraId="5B5D6063"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laboral, las tasas de ocupación derivadas de la GEIH se sitúan entre 0.6307 y 0.6447, mientras que los valores del clustering oscilan entre 0.3985 y 0.4487, generando diferencias entre -0.182 y -0.236. No obstante, más allá de la diferencia en magnitud, se mantiene una estructura consistente en términos relativos entre ciudades. Aunque el orden no es exactamente el mismo, las diferencias entre ciudades son reducidas en ambas fuentes, lo que sugiere que el modelo captura adecuadamente la homogeneidad relativa del mercado laboral urbano. La discrepancia en valores absolutos se explica por la diferencia en la definición de ocupación entre ambas fuentes.</w:t>
      </w:r>
    </w:p>
    <w:p w14:paraId="28479C8B"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la dimensión educativa, los resultados muestran una mayor coherencia. En términos de asistencia, los valores del clustering (0.2314–0.2533) son cercanos a los de la GEIH (0.2557–0.2659), con diferencias pequeñas (entre -0.0024 y -0.0345). Esto indica una alta consistencia entre ambas fuentes en esta variable, lo que refuerza la validez del modelo en la medición de la asistencia escolar.</w:t>
      </w:r>
    </w:p>
    <w:p w14:paraId="5E4D4D85"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Por otro lado, en la variable de escolaridad, se observan diferencias importantes en los valores absolutos: el clustering presenta valores entre 5.73 y 6.55 años promedio de estudio, mientras que la GEIH muestra valores entre 2.43 y 2.55 en su escala. Estas diferencias no deben interpretarse como inconsistencias, sino como resultado de la distinta forma de medición: el clustering utiliza una variable continua (años de estudio), mientras que la GEIH emplea una variable categórica u ordinal. Por tanto, la comparación directa no es metodológicamente adecuada. Sin embargo, en términos relativos, las diferencias entre ciudades son reducidas, lo que sugiere una distribución educativa relativamente homogénea.</w:t>
      </w:r>
    </w:p>
    <w:p w14:paraId="56A3DD07" w14:textId="77777777" w:rsidR="00B24883" w:rsidRPr="00444E7E" w:rsidRDefault="00B24883" w:rsidP="00B24883">
      <w:pPr>
        <w:jc w:val="both"/>
        <w:rPr>
          <w:rFonts w:ascii="Arial" w:hAnsi="Arial" w:cs="Arial"/>
          <w:sz w:val="24"/>
          <w:szCs w:val="24"/>
        </w:rPr>
      </w:pPr>
      <w:r w:rsidRPr="00444E7E">
        <w:rPr>
          <w:rFonts w:ascii="Arial" w:hAnsi="Arial" w:cs="Arial"/>
          <w:sz w:val="24"/>
          <w:szCs w:val="24"/>
        </w:rPr>
        <w:t>En conjunto, la comparación con la GEIH evidencia que el modelo de clustering presenta una buena capacidad para capturar patrones urbanos en las dimensiones laboral y educativa. Las diferencias observadas se explican por la naturaleza de las variables y no por fallas del modelo. En particular, la alta coherencia en asistencia escolar y la estabilidad relativa en los indicadores laborales refuerzan la validez del enfoque utilizado.</w:t>
      </w:r>
    </w:p>
    <w:p w14:paraId="7CF7DBF3" w14:textId="37ED0F7A" w:rsidR="00B24883" w:rsidRPr="00444E7E" w:rsidRDefault="00775839" w:rsidP="00A9131E">
      <w:pPr>
        <w:rPr>
          <w:rFonts w:ascii="Arial" w:hAnsi="Arial" w:cs="Arial"/>
          <w:b/>
          <w:bCs/>
          <w:sz w:val="24"/>
          <w:szCs w:val="24"/>
        </w:rPr>
      </w:pPr>
      <w:r w:rsidRPr="00444E7E">
        <w:rPr>
          <w:rFonts w:ascii="Arial" w:hAnsi="Arial" w:cs="Arial"/>
          <w:b/>
          <w:bCs/>
          <w:noProof/>
          <w:sz w:val="24"/>
          <w:szCs w:val="24"/>
        </w:rPr>
        <w:lastRenderedPageBreak/>
        <w:drawing>
          <wp:inline distT="0" distB="0" distL="0" distR="0" wp14:anchorId="1C779BAE" wp14:editId="6F39E4D2">
            <wp:extent cx="5612130" cy="3931285"/>
            <wp:effectExtent l="0" t="0" r="7620" b="0"/>
            <wp:docPr id="119641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6804" name=""/>
                    <pic:cNvPicPr/>
                  </pic:nvPicPr>
                  <pic:blipFill>
                    <a:blip r:embed="rId7"/>
                    <a:stretch>
                      <a:fillRect/>
                    </a:stretch>
                  </pic:blipFill>
                  <pic:spPr>
                    <a:xfrm>
                      <a:off x="0" y="0"/>
                      <a:ext cx="5612130" cy="3931285"/>
                    </a:xfrm>
                    <a:prstGeom prst="rect">
                      <a:avLst/>
                    </a:prstGeom>
                  </pic:spPr>
                </pic:pic>
              </a:graphicData>
            </a:graphic>
          </wp:inline>
        </w:drawing>
      </w:r>
    </w:p>
    <w:p w14:paraId="775E3AB7" w14:textId="2DF6BEFC" w:rsidR="000D0630" w:rsidRPr="00444E7E" w:rsidRDefault="000D0630" w:rsidP="000D0630">
      <w:pPr>
        <w:rPr>
          <w:rFonts w:ascii="Arial" w:hAnsi="Arial" w:cs="Arial"/>
          <w:b/>
          <w:bCs/>
          <w:sz w:val="24"/>
          <w:szCs w:val="24"/>
        </w:rPr>
      </w:pPr>
      <w:r w:rsidRPr="00444E7E">
        <w:rPr>
          <w:rFonts w:ascii="Arial" w:hAnsi="Arial" w:cs="Arial"/>
          <w:b/>
          <w:bCs/>
          <w:sz w:val="24"/>
          <w:szCs w:val="24"/>
        </w:rPr>
        <w:t>Integración de resultados (IPM y GEIH)</w:t>
      </w:r>
    </w:p>
    <w:p w14:paraId="74FF63B5"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La integración de los resultados obtenidos a partir del modelo de clustering, el Índice de Pobreza Multidimensional (IPM) y la Gran Encuesta Integrada de Hogares (GEIH) permite realizar una validación multifuente del análisis, combinando diferentes niveles de agregación y enfoques metodológicos.</w:t>
      </w:r>
    </w:p>
    <w:p w14:paraId="04A0FFE2"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En primer lugar, el IPM permitió validar las dimensiones estructurales del modelo, particularmente servicios y pobreza multidimensional, donde se evidenció una alta coherencia entre los resultados del clustering y los valores departamentales. En estas dimensiones, las ciudades presentan mejores condiciones que sus respectivos departamentos, con diferencias moderadas y consistentes con la estructura territorial esperada.</w:t>
      </w:r>
    </w:p>
    <w:p w14:paraId="2F852E96"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Por otro lado, en las dimensiones educativa y laboral, la comparación con el IPM presentó limitaciones importantes. Estas no corresponden a fallas del modelo, sino a diferencias en la definición de los indicadores y en el nivel de agregación territorial. En este contexto, la GEIH permitió complementar el análisis, aportando información a nivel urbano que facilita una comparación más directa con los resultados del clustering.</w:t>
      </w:r>
    </w:p>
    <w:p w14:paraId="2358EDC9"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La integración de ambas fuentes permite establecer una validación más completa: el IPM valida la estructura general del territorio, mientras que la GEIH valida las dinámicas específicas a nivel de ciudad.</w:t>
      </w:r>
    </w:p>
    <w:p w14:paraId="25A701D3" w14:textId="6E099DEA" w:rsidR="000D0630" w:rsidRPr="00444E7E" w:rsidRDefault="000D0630" w:rsidP="000D0630">
      <w:pPr>
        <w:rPr>
          <w:rFonts w:ascii="Arial" w:hAnsi="Arial" w:cs="Arial"/>
          <w:b/>
          <w:bCs/>
          <w:sz w:val="24"/>
          <w:szCs w:val="24"/>
        </w:rPr>
      </w:pPr>
    </w:p>
    <w:p w14:paraId="12FDD246" w14:textId="01FC0815" w:rsidR="000D0630" w:rsidRPr="00444E7E" w:rsidRDefault="000D0630" w:rsidP="000D0630">
      <w:pPr>
        <w:rPr>
          <w:rFonts w:ascii="Arial" w:hAnsi="Arial" w:cs="Arial"/>
          <w:b/>
          <w:bCs/>
          <w:sz w:val="24"/>
          <w:szCs w:val="24"/>
        </w:rPr>
      </w:pPr>
      <w:r w:rsidRPr="00444E7E">
        <w:rPr>
          <w:rFonts w:ascii="Arial" w:hAnsi="Arial" w:cs="Arial"/>
          <w:b/>
          <w:bCs/>
          <w:sz w:val="24"/>
          <w:szCs w:val="24"/>
        </w:rPr>
        <w:t>Síntesis de validación por dimensión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911"/>
        <w:gridCol w:w="2422"/>
        <w:gridCol w:w="2612"/>
      </w:tblGrid>
      <w:tr w:rsidR="000D0630" w:rsidRPr="00444E7E" w14:paraId="4B99E5AD" w14:textId="77777777" w:rsidTr="007614A1">
        <w:trPr>
          <w:tblHeader/>
          <w:tblCellSpacing w:w="15" w:type="dxa"/>
        </w:trPr>
        <w:tc>
          <w:tcPr>
            <w:tcW w:w="0" w:type="auto"/>
            <w:vAlign w:val="center"/>
            <w:hideMark/>
          </w:tcPr>
          <w:p w14:paraId="2E787A02"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Dimensión</w:t>
            </w:r>
          </w:p>
        </w:tc>
        <w:tc>
          <w:tcPr>
            <w:tcW w:w="0" w:type="auto"/>
            <w:vAlign w:val="center"/>
            <w:hideMark/>
          </w:tcPr>
          <w:p w14:paraId="5EED6981"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Fuente principal</w:t>
            </w:r>
          </w:p>
        </w:tc>
        <w:tc>
          <w:tcPr>
            <w:tcW w:w="0" w:type="auto"/>
            <w:vAlign w:val="center"/>
            <w:hideMark/>
          </w:tcPr>
          <w:p w14:paraId="54F55E57"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Fuente de validación</w:t>
            </w:r>
          </w:p>
        </w:tc>
        <w:tc>
          <w:tcPr>
            <w:tcW w:w="0" w:type="auto"/>
            <w:vAlign w:val="center"/>
            <w:hideMark/>
          </w:tcPr>
          <w:p w14:paraId="64311FB2"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Resultado</w:t>
            </w:r>
          </w:p>
        </w:tc>
      </w:tr>
      <w:tr w:rsidR="000D0630" w:rsidRPr="00444E7E" w14:paraId="57968253" w14:textId="77777777" w:rsidTr="007614A1">
        <w:trPr>
          <w:tblCellSpacing w:w="15" w:type="dxa"/>
        </w:trPr>
        <w:tc>
          <w:tcPr>
            <w:tcW w:w="0" w:type="auto"/>
            <w:vAlign w:val="center"/>
            <w:hideMark/>
          </w:tcPr>
          <w:p w14:paraId="6A0CFAE8" w14:textId="77777777" w:rsidR="000D0630" w:rsidRPr="00444E7E" w:rsidRDefault="000D0630" w:rsidP="000D0630">
            <w:pPr>
              <w:rPr>
                <w:rFonts w:ascii="Arial" w:hAnsi="Arial" w:cs="Arial"/>
                <w:sz w:val="24"/>
                <w:szCs w:val="24"/>
              </w:rPr>
            </w:pPr>
            <w:r w:rsidRPr="00444E7E">
              <w:rPr>
                <w:rFonts w:ascii="Arial" w:hAnsi="Arial" w:cs="Arial"/>
                <w:sz w:val="24"/>
                <w:szCs w:val="24"/>
              </w:rPr>
              <w:t>Servicios</w:t>
            </w:r>
          </w:p>
        </w:tc>
        <w:tc>
          <w:tcPr>
            <w:tcW w:w="0" w:type="auto"/>
            <w:vAlign w:val="center"/>
            <w:hideMark/>
          </w:tcPr>
          <w:p w14:paraId="0F02870D"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6F03BF5B" w14:textId="77777777" w:rsidR="000D0630" w:rsidRPr="00444E7E" w:rsidRDefault="000D0630" w:rsidP="000D0630">
            <w:pPr>
              <w:rPr>
                <w:rFonts w:ascii="Arial" w:hAnsi="Arial" w:cs="Arial"/>
                <w:sz w:val="24"/>
                <w:szCs w:val="24"/>
              </w:rPr>
            </w:pPr>
            <w:r w:rsidRPr="00444E7E">
              <w:rPr>
                <w:rFonts w:ascii="Arial" w:hAnsi="Arial" w:cs="Arial"/>
                <w:sz w:val="24"/>
                <w:szCs w:val="24"/>
              </w:rPr>
              <w:t>IPM</w:t>
            </w:r>
          </w:p>
        </w:tc>
        <w:tc>
          <w:tcPr>
            <w:tcW w:w="0" w:type="auto"/>
            <w:vAlign w:val="center"/>
            <w:hideMark/>
          </w:tcPr>
          <w:p w14:paraId="7DD10AC1" w14:textId="77777777" w:rsidR="000D0630" w:rsidRPr="00444E7E" w:rsidRDefault="000D0630" w:rsidP="000D0630">
            <w:pPr>
              <w:rPr>
                <w:rFonts w:ascii="Arial" w:hAnsi="Arial" w:cs="Arial"/>
                <w:sz w:val="24"/>
                <w:szCs w:val="24"/>
              </w:rPr>
            </w:pPr>
            <w:r w:rsidRPr="00444E7E">
              <w:rPr>
                <w:rFonts w:ascii="Arial" w:hAnsi="Arial" w:cs="Arial"/>
                <w:sz w:val="24"/>
                <w:szCs w:val="24"/>
              </w:rPr>
              <w:t>Alta consistencia</w:t>
            </w:r>
          </w:p>
        </w:tc>
      </w:tr>
      <w:tr w:rsidR="000D0630" w:rsidRPr="00444E7E" w14:paraId="17063856" w14:textId="77777777" w:rsidTr="007614A1">
        <w:trPr>
          <w:tblCellSpacing w:w="15" w:type="dxa"/>
        </w:trPr>
        <w:tc>
          <w:tcPr>
            <w:tcW w:w="0" w:type="auto"/>
            <w:vAlign w:val="center"/>
            <w:hideMark/>
          </w:tcPr>
          <w:p w14:paraId="44129FDD" w14:textId="77777777" w:rsidR="000D0630" w:rsidRPr="00444E7E" w:rsidRDefault="000D0630" w:rsidP="000D0630">
            <w:pPr>
              <w:rPr>
                <w:rFonts w:ascii="Arial" w:hAnsi="Arial" w:cs="Arial"/>
                <w:sz w:val="24"/>
                <w:szCs w:val="24"/>
              </w:rPr>
            </w:pPr>
            <w:r w:rsidRPr="00444E7E">
              <w:rPr>
                <w:rFonts w:ascii="Arial" w:hAnsi="Arial" w:cs="Arial"/>
                <w:sz w:val="24"/>
                <w:szCs w:val="24"/>
              </w:rPr>
              <w:t>Multidimensional</w:t>
            </w:r>
          </w:p>
        </w:tc>
        <w:tc>
          <w:tcPr>
            <w:tcW w:w="0" w:type="auto"/>
            <w:vAlign w:val="center"/>
            <w:hideMark/>
          </w:tcPr>
          <w:p w14:paraId="198BC8D7"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22A494A2" w14:textId="77777777" w:rsidR="000D0630" w:rsidRPr="00444E7E" w:rsidRDefault="000D0630" w:rsidP="000D0630">
            <w:pPr>
              <w:rPr>
                <w:rFonts w:ascii="Arial" w:hAnsi="Arial" w:cs="Arial"/>
                <w:sz w:val="24"/>
                <w:szCs w:val="24"/>
              </w:rPr>
            </w:pPr>
            <w:r w:rsidRPr="00444E7E">
              <w:rPr>
                <w:rFonts w:ascii="Arial" w:hAnsi="Arial" w:cs="Arial"/>
                <w:sz w:val="24"/>
                <w:szCs w:val="24"/>
              </w:rPr>
              <w:t>IPM</w:t>
            </w:r>
          </w:p>
        </w:tc>
        <w:tc>
          <w:tcPr>
            <w:tcW w:w="0" w:type="auto"/>
            <w:vAlign w:val="center"/>
            <w:hideMark/>
          </w:tcPr>
          <w:p w14:paraId="1EE6CAFE" w14:textId="77777777" w:rsidR="000D0630" w:rsidRPr="00444E7E" w:rsidRDefault="000D0630" w:rsidP="000D0630">
            <w:pPr>
              <w:rPr>
                <w:rFonts w:ascii="Arial" w:hAnsi="Arial" w:cs="Arial"/>
                <w:sz w:val="24"/>
                <w:szCs w:val="24"/>
              </w:rPr>
            </w:pPr>
            <w:r w:rsidRPr="00444E7E">
              <w:rPr>
                <w:rFonts w:ascii="Arial" w:hAnsi="Arial" w:cs="Arial"/>
                <w:sz w:val="24"/>
                <w:szCs w:val="24"/>
              </w:rPr>
              <w:t>Alta consistencia</w:t>
            </w:r>
          </w:p>
        </w:tc>
      </w:tr>
      <w:tr w:rsidR="000D0630" w:rsidRPr="00444E7E" w14:paraId="3D56B88D" w14:textId="77777777" w:rsidTr="007614A1">
        <w:trPr>
          <w:tblCellSpacing w:w="15" w:type="dxa"/>
        </w:trPr>
        <w:tc>
          <w:tcPr>
            <w:tcW w:w="0" w:type="auto"/>
            <w:vAlign w:val="center"/>
            <w:hideMark/>
          </w:tcPr>
          <w:p w14:paraId="64ABE859" w14:textId="77777777" w:rsidR="000D0630" w:rsidRPr="00444E7E" w:rsidRDefault="000D0630" w:rsidP="000D0630">
            <w:pPr>
              <w:rPr>
                <w:rFonts w:ascii="Arial" w:hAnsi="Arial" w:cs="Arial"/>
                <w:sz w:val="24"/>
                <w:szCs w:val="24"/>
              </w:rPr>
            </w:pPr>
            <w:r w:rsidRPr="00444E7E">
              <w:rPr>
                <w:rFonts w:ascii="Arial" w:hAnsi="Arial" w:cs="Arial"/>
                <w:sz w:val="24"/>
                <w:szCs w:val="24"/>
              </w:rPr>
              <w:t>Educación</w:t>
            </w:r>
          </w:p>
        </w:tc>
        <w:tc>
          <w:tcPr>
            <w:tcW w:w="0" w:type="auto"/>
            <w:vAlign w:val="center"/>
            <w:hideMark/>
          </w:tcPr>
          <w:p w14:paraId="31FD8582"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65F7AAA2" w14:textId="77777777" w:rsidR="000D0630" w:rsidRPr="00444E7E" w:rsidRDefault="000D0630" w:rsidP="000D0630">
            <w:pPr>
              <w:rPr>
                <w:rFonts w:ascii="Arial" w:hAnsi="Arial" w:cs="Arial"/>
                <w:sz w:val="24"/>
                <w:szCs w:val="24"/>
              </w:rPr>
            </w:pPr>
            <w:r w:rsidRPr="00444E7E">
              <w:rPr>
                <w:rFonts w:ascii="Arial" w:hAnsi="Arial" w:cs="Arial"/>
                <w:sz w:val="24"/>
                <w:szCs w:val="24"/>
              </w:rPr>
              <w:t>GEIH</w:t>
            </w:r>
          </w:p>
        </w:tc>
        <w:tc>
          <w:tcPr>
            <w:tcW w:w="0" w:type="auto"/>
            <w:vAlign w:val="center"/>
            <w:hideMark/>
          </w:tcPr>
          <w:p w14:paraId="695A03F5" w14:textId="77777777" w:rsidR="000D0630" w:rsidRPr="00444E7E" w:rsidRDefault="000D0630" w:rsidP="000D0630">
            <w:pPr>
              <w:rPr>
                <w:rFonts w:ascii="Arial" w:hAnsi="Arial" w:cs="Arial"/>
                <w:sz w:val="24"/>
                <w:szCs w:val="24"/>
              </w:rPr>
            </w:pPr>
            <w:r w:rsidRPr="00444E7E">
              <w:rPr>
                <w:rFonts w:ascii="Arial" w:hAnsi="Arial" w:cs="Arial"/>
                <w:sz w:val="24"/>
                <w:szCs w:val="24"/>
              </w:rPr>
              <w:t>Consistencia tras ajuste</w:t>
            </w:r>
          </w:p>
        </w:tc>
      </w:tr>
      <w:tr w:rsidR="000D0630" w:rsidRPr="00444E7E" w14:paraId="47BF1FFB" w14:textId="77777777" w:rsidTr="007614A1">
        <w:trPr>
          <w:tblCellSpacing w:w="15" w:type="dxa"/>
        </w:trPr>
        <w:tc>
          <w:tcPr>
            <w:tcW w:w="0" w:type="auto"/>
            <w:vAlign w:val="center"/>
            <w:hideMark/>
          </w:tcPr>
          <w:p w14:paraId="42F2DE4D" w14:textId="77777777" w:rsidR="000D0630" w:rsidRPr="00444E7E" w:rsidRDefault="000D0630" w:rsidP="000D0630">
            <w:pPr>
              <w:rPr>
                <w:rFonts w:ascii="Arial" w:hAnsi="Arial" w:cs="Arial"/>
                <w:sz w:val="24"/>
                <w:szCs w:val="24"/>
              </w:rPr>
            </w:pPr>
            <w:r w:rsidRPr="00444E7E">
              <w:rPr>
                <w:rFonts w:ascii="Arial" w:hAnsi="Arial" w:cs="Arial"/>
                <w:sz w:val="24"/>
                <w:szCs w:val="24"/>
              </w:rPr>
              <w:t>Laboral</w:t>
            </w:r>
          </w:p>
        </w:tc>
        <w:tc>
          <w:tcPr>
            <w:tcW w:w="0" w:type="auto"/>
            <w:vAlign w:val="center"/>
            <w:hideMark/>
          </w:tcPr>
          <w:p w14:paraId="7A470B15"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1281200A" w14:textId="77777777" w:rsidR="000D0630" w:rsidRPr="00444E7E" w:rsidRDefault="000D0630" w:rsidP="000D0630">
            <w:pPr>
              <w:rPr>
                <w:rFonts w:ascii="Arial" w:hAnsi="Arial" w:cs="Arial"/>
                <w:sz w:val="24"/>
                <w:szCs w:val="24"/>
              </w:rPr>
            </w:pPr>
            <w:r w:rsidRPr="00444E7E">
              <w:rPr>
                <w:rFonts w:ascii="Arial" w:hAnsi="Arial" w:cs="Arial"/>
                <w:sz w:val="24"/>
                <w:szCs w:val="24"/>
              </w:rPr>
              <w:t>GEIH</w:t>
            </w:r>
          </w:p>
        </w:tc>
        <w:tc>
          <w:tcPr>
            <w:tcW w:w="0" w:type="auto"/>
            <w:vAlign w:val="center"/>
            <w:hideMark/>
          </w:tcPr>
          <w:p w14:paraId="7EB6D966" w14:textId="77777777" w:rsidR="000D0630" w:rsidRPr="00444E7E" w:rsidRDefault="000D0630" w:rsidP="000D0630">
            <w:pPr>
              <w:rPr>
                <w:rFonts w:ascii="Arial" w:hAnsi="Arial" w:cs="Arial"/>
                <w:sz w:val="24"/>
                <w:szCs w:val="24"/>
              </w:rPr>
            </w:pPr>
            <w:r w:rsidRPr="00444E7E">
              <w:rPr>
                <w:rFonts w:ascii="Arial" w:hAnsi="Arial" w:cs="Arial"/>
                <w:sz w:val="24"/>
                <w:szCs w:val="24"/>
              </w:rPr>
              <w:t>Consistencia relativa</w:t>
            </w:r>
          </w:p>
        </w:tc>
      </w:tr>
      <w:tr w:rsidR="000D0630" w:rsidRPr="00444E7E" w14:paraId="04D121B2" w14:textId="77777777" w:rsidTr="007614A1">
        <w:trPr>
          <w:tblCellSpacing w:w="15" w:type="dxa"/>
        </w:trPr>
        <w:tc>
          <w:tcPr>
            <w:tcW w:w="0" w:type="auto"/>
            <w:vAlign w:val="center"/>
            <w:hideMark/>
          </w:tcPr>
          <w:p w14:paraId="0A3AB8D4" w14:textId="77777777" w:rsidR="000D0630" w:rsidRPr="00444E7E" w:rsidRDefault="000D0630" w:rsidP="000D0630">
            <w:pPr>
              <w:rPr>
                <w:rFonts w:ascii="Arial" w:hAnsi="Arial" w:cs="Arial"/>
                <w:sz w:val="24"/>
                <w:szCs w:val="24"/>
              </w:rPr>
            </w:pPr>
            <w:r w:rsidRPr="00444E7E">
              <w:rPr>
                <w:rFonts w:ascii="Arial" w:hAnsi="Arial" w:cs="Arial"/>
                <w:sz w:val="24"/>
                <w:szCs w:val="24"/>
              </w:rPr>
              <w:t>Habitacional</w:t>
            </w:r>
          </w:p>
        </w:tc>
        <w:tc>
          <w:tcPr>
            <w:tcW w:w="0" w:type="auto"/>
            <w:vAlign w:val="center"/>
            <w:hideMark/>
          </w:tcPr>
          <w:p w14:paraId="09D14BED" w14:textId="77777777" w:rsidR="000D0630" w:rsidRPr="00444E7E" w:rsidRDefault="000D0630" w:rsidP="000D0630">
            <w:pPr>
              <w:rPr>
                <w:rFonts w:ascii="Arial" w:hAnsi="Arial" w:cs="Arial"/>
                <w:sz w:val="24"/>
                <w:szCs w:val="24"/>
              </w:rPr>
            </w:pPr>
            <w:r w:rsidRPr="00444E7E">
              <w:rPr>
                <w:rFonts w:ascii="Arial" w:hAnsi="Arial" w:cs="Arial"/>
                <w:sz w:val="24"/>
                <w:szCs w:val="24"/>
              </w:rPr>
              <w:t>Clusters</w:t>
            </w:r>
          </w:p>
        </w:tc>
        <w:tc>
          <w:tcPr>
            <w:tcW w:w="0" w:type="auto"/>
            <w:vAlign w:val="center"/>
            <w:hideMark/>
          </w:tcPr>
          <w:p w14:paraId="3D5A6B56" w14:textId="77777777" w:rsidR="000D0630" w:rsidRPr="00444E7E" w:rsidRDefault="000D0630" w:rsidP="000D0630">
            <w:pPr>
              <w:rPr>
                <w:rFonts w:ascii="Arial" w:hAnsi="Arial" w:cs="Arial"/>
                <w:sz w:val="24"/>
                <w:szCs w:val="24"/>
              </w:rPr>
            </w:pPr>
            <w:r w:rsidRPr="00444E7E">
              <w:rPr>
                <w:rFonts w:ascii="Arial" w:hAnsi="Arial" w:cs="Arial"/>
                <w:sz w:val="24"/>
                <w:szCs w:val="24"/>
              </w:rPr>
              <w:t>IPM</w:t>
            </w:r>
          </w:p>
        </w:tc>
        <w:tc>
          <w:tcPr>
            <w:tcW w:w="0" w:type="auto"/>
            <w:vAlign w:val="center"/>
            <w:hideMark/>
          </w:tcPr>
          <w:p w14:paraId="50D48A79" w14:textId="77777777" w:rsidR="000D0630" w:rsidRPr="00444E7E" w:rsidRDefault="000D0630" w:rsidP="000D0630">
            <w:pPr>
              <w:rPr>
                <w:rFonts w:ascii="Arial" w:hAnsi="Arial" w:cs="Arial"/>
                <w:sz w:val="24"/>
                <w:szCs w:val="24"/>
              </w:rPr>
            </w:pPr>
            <w:r w:rsidRPr="00444E7E">
              <w:rPr>
                <w:rFonts w:ascii="Arial" w:hAnsi="Arial" w:cs="Arial"/>
                <w:sz w:val="24"/>
                <w:szCs w:val="24"/>
              </w:rPr>
              <w:t>Coherencia estructural</w:t>
            </w:r>
          </w:p>
        </w:tc>
      </w:tr>
    </w:tbl>
    <w:p w14:paraId="6606660E" w14:textId="0075DCB1" w:rsidR="000D0630" w:rsidRPr="00444E7E" w:rsidRDefault="000D0630" w:rsidP="000D0630">
      <w:pPr>
        <w:rPr>
          <w:rFonts w:ascii="Arial" w:hAnsi="Arial" w:cs="Arial"/>
          <w:b/>
          <w:bCs/>
          <w:sz w:val="24"/>
          <w:szCs w:val="24"/>
        </w:rPr>
      </w:pPr>
    </w:p>
    <w:p w14:paraId="1E86105D" w14:textId="3CCEBAA9" w:rsidR="000D0630" w:rsidRPr="00444E7E" w:rsidRDefault="000D0630" w:rsidP="000D0630">
      <w:pPr>
        <w:rPr>
          <w:rFonts w:ascii="Arial" w:hAnsi="Arial" w:cs="Arial"/>
          <w:b/>
          <w:bCs/>
          <w:sz w:val="24"/>
          <w:szCs w:val="24"/>
        </w:rPr>
      </w:pPr>
      <w:r w:rsidRPr="00444E7E">
        <w:rPr>
          <w:rFonts w:ascii="Arial" w:hAnsi="Arial" w:cs="Arial"/>
          <w:b/>
          <w:bCs/>
          <w:sz w:val="24"/>
          <w:szCs w:val="24"/>
        </w:rPr>
        <w:t>Comparación clave de resultados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1601"/>
        <w:gridCol w:w="1301"/>
        <w:gridCol w:w="956"/>
        <w:gridCol w:w="1785"/>
        <w:gridCol w:w="1163"/>
        <w:gridCol w:w="1155"/>
      </w:tblGrid>
      <w:tr w:rsidR="000D0630" w:rsidRPr="00444E7E" w14:paraId="513F3BD4" w14:textId="77777777" w:rsidTr="007614A1">
        <w:trPr>
          <w:tblHeader/>
          <w:tblCellSpacing w:w="15" w:type="dxa"/>
        </w:trPr>
        <w:tc>
          <w:tcPr>
            <w:tcW w:w="0" w:type="auto"/>
            <w:vAlign w:val="center"/>
            <w:hideMark/>
          </w:tcPr>
          <w:p w14:paraId="182E7B22"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Ciudad</w:t>
            </w:r>
          </w:p>
        </w:tc>
        <w:tc>
          <w:tcPr>
            <w:tcW w:w="0" w:type="auto"/>
            <w:vAlign w:val="center"/>
            <w:hideMark/>
          </w:tcPr>
          <w:p w14:paraId="4A36756F"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LAB_CLUSTER</w:t>
            </w:r>
          </w:p>
        </w:tc>
        <w:tc>
          <w:tcPr>
            <w:tcW w:w="0" w:type="auto"/>
            <w:vAlign w:val="center"/>
            <w:hideMark/>
          </w:tcPr>
          <w:p w14:paraId="2643F200"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GEIH_OCUP</w:t>
            </w:r>
          </w:p>
        </w:tc>
        <w:tc>
          <w:tcPr>
            <w:tcW w:w="0" w:type="auto"/>
            <w:vAlign w:val="center"/>
            <w:hideMark/>
          </w:tcPr>
          <w:p w14:paraId="17A7B934"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DIF_LAB</w:t>
            </w:r>
          </w:p>
        </w:tc>
        <w:tc>
          <w:tcPr>
            <w:tcW w:w="0" w:type="auto"/>
            <w:vAlign w:val="center"/>
            <w:hideMark/>
          </w:tcPr>
          <w:p w14:paraId="1878B325"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ASIST_CLUSTER</w:t>
            </w:r>
          </w:p>
        </w:tc>
        <w:tc>
          <w:tcPr>
            <w:tcW w:w="0" w:type="auto"/>
            <w:vAlign w:val="center"/>
            <w:hideMark/>
          </w:tcPr>
          <w:p w14:paraId="697D4F35"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ASIST_GEI H</w:t>
            </w:r>
          </w:p>
        </w:tc>
        <w:tc>
          <w:tcPr>
            <w:tcW w:w="0" w:type="auto"/>
            <w:vAlign w:val="center"/>
            <w:hideMark/>
          </w:tcPr>
          <w:p w14:paraId="07548A03" w14:textId="77777777" w:rsidR="000D0630" w:rsidRPr="00444E7E" w:rsidRDefault="000D0630" w:rsidP="000D0630">
            <w:pPr>
              <w:rPr>
                <w:rFonts w:ascii="Arial" w:hAnsi="Arial" w:cs="Arial"/>
                <w:b/>
                <w:bCs/>
                <w:sz w:val="24"/>
                <w:szCs w:val="24"/>
              </w:rPr>
            </w:pPr>
            <w:r w:rsidRPr="00444E7E">
              <w:rPr>
                <w:rFonts w:ascii="Arial" w:hAnsi="Arial" w:cs="Arial"/>
                <w:b/>
                <w:bCs/>
                <w:sz w:val="24"/>
                <w:szCs w:val="24"/>
              </w:rPr>
              <w:t>DIF_ASIST</w:t>
            </w:r>
          </w:p>
        </w:tc>
      </w:tr>
      <w:tr w:rsidR="000D0630" w:rsidRPr="00444E7E" w14:paraId="68F2D628" w14:textId="77777777" w:rsidTr="007614A1">
        <w:trPr>
          <w:tblCellSpacing w:w="15" w:type="dxa"/>
        </w:trPr>
        <w:tc>
          <w:tcPr>
            <w:tcW w:w="0" w:type="auto"/>
            <w:vAlign w:val="center"/>
            <w:hideMark/>
          </w:tcPr>
          <w:p w14:paraId="01E70A56"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Armenia</w:t>
            </w:r>
          </w:p>
        </w:tc>
        <w:tc>
          <w:tcPr>
            <w:tcW w:w="0" w:type="auto"/>
            <w:vAlign w:val="center"/>
            <w:hideMark/>
          </w:tcPr>
          <w:p w14:paraId="17844250"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0.3985</w:t>
            </w:r>
          </w:p>
        </w:tc>
        <w:tc>
          <w:tcPr>
            <w:tcW w:w="0" w:type="auto"/>
            <w:vAlign w:val="center"/>
            <w:hideMark/>
          </w:tcPr>
          <w:p w14:paraId="47F0ABF7"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0.6345</w:t>
            </w:r>
          </w:p>
        </w:tc>
        <w:tc>
          <w:tcPr>
            <w:tcW w:w="0" w:type="auto"/>
            <w:vAlign w:val="center"/>
            <w:hideMark/>
          </w:tcPr>
          <w:p w14:paraId="7701F659"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-0.2360</w:t>
            </w:r>
          </w:p>
        </w:tc>
        <w:tc>
          <w:tcPr>
            <w:tcW w:w="0" w:type="auto"/>
            <w:vAlign w:val="center"/>
            <w:hideMark/>
          </w:tcPr>
          <w:p w14:paraId="2154A972"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0.2314</w:t>
            </w:r>
          </w:p>
        </w:tc>
        <w:tc>
          <w:tcPr>
            <w:tcW w:w="0" w:type="auto"/>
            <w:vAlign w:val="center"/>
            <w:hideMark/>
          </w:tcPr>
          <w:p w14:paraId="47F550A8"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0.2659</w:t>
            </w:r>
          </w:p>
        </w:tc>
        <w:tc>
          <w:tcPr>
            <w:tcW w:w="0" w:type="auto"/>
            <w:vAlign w:val="center"/>
            <w:hideMark/>
          </w:tcPr>
          <w:p w14:paraId="2924197F"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-0.0345</w:t>
            </w:r>
          </w:p>
        </w:tc>
      </w:tr>
      <w:tr w:rsidR="000D0630" w:rsidRPr="00444E7E" w14:paraId="6336BC12" w14:textId="77777777" w:rsidTr="007614A1">
        <w:trPr>
          <w:tblCellSpacing w:w="15" w:type="dxa"/>
        </w:trPr>
        <w:tc>
          <w:tcPr>
            <w:tcW w:w="0" w:type="auto"/>
            <w:vAlign w:val="center"/>
            <w:hideMark/>
          </w:tcPr>
          <w:p w14:paraId="470E9F23"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Cali</w:t>
            </w:r>
          </w:p>
        </w:tc>
        <w:tc>
          <w:tcPr>
            <w:tcW w:w="0" w:type="auto"/>
            <w:vAlign w:val="center"/>
            <w:hideMark/>
          </w:tcPr>
          <w:p w14:paraId="16FBDD0E"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0.4487</w:t>
            </w:r>
          </w:p>
        </w:tc>
        <w:tc>
          <w:tcPr>
            <w:tcW w:w="0" w:type="auto"/>
            <w:vAlign w:val="center"/>
            <w:hideMark/>
          </w:tcPr>
          <w:p w14:paraId="575C25AC"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0.6307</w:t>
            </w:r>
          </w:p>
        </w:tc>
        <w:tc>
          <w:tcPr>
            <w:tcW w:w="0" w:type="auto"/>
            <w:vAlign w:val="center"/>
            <w:hideMark/>
          </w:tcPr>
          <w:p w14:paraId="051E0B2F"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-0.1820</w:t>
            </w:r>
          </w:p>
        </w:tc>
        <w:tc>
          <w:tcPr>
            <w:tcW w:w="0" w:type="auto"/>
            <w:vAlign w:val="center"/>
            <w:hideMark/>
          </w:tcPr>
          <w:p w14:paraId="6C9FB96D"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0.2356</w:t>
            </w:r>
          </w:p>
        </w:tc>
        <w:tc>
          <w:tcPr>
            <w:tcW w:w="0" w:type="auto"/>
            <w:vAlign w:val="center"/>
            <w:hideMark/>
          </w:tcPr>
          <w:p w14:paraId="46998302"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0.2605</w:t>
            </w:r>
          </w:p>
        </w:tc>
        <w:tc>
          <w:tcPr>
            <w:tcW w:w="0" w:type="auto"/>
            <w:vAlign w:val="center"/>
            <w:hideMark/>
          </w:tcPr>
          <w:p w14:paraId="0A43B9AC"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-0.0249</w:t>
            </w:r>
          </w:p>
        </w:tc>
      </w:tr>
      <w:tr w:rsidR="000D0630" w:rsidRPr="00444E7E" w14:paraId="42AE1429" w14:textId="77777777" w:rsidTr="007614A1">
        <w:trPr>
          <w:tblCellSpacing w:w="15" w:type="dxa"/>
        </w:trPr>
        <w:tc>
          <w:tcPr>
            <w:tcW w:w="0" w:type="auto"/>
            <w:vAlign w:val="center"/>
            <w:hideMark/>
          </w:tcPr>
          <w:p w14:paraId="45D9EE68"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Pereira</w:t>
            </w:r>
          </w:p>
        </w:tc>
        <w:tc>
          <w:tcPr>
            <w:tcW w:w="0" w:type="auto"/>
            <w:vAlign w:val="center"/>
            <w:hideMark/>
          </w:tcPr>
          <w:p w14:paraId="549BECE3"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0.4316</w:t>
            </w:r>
          </w:p>
        </w:tc>
        <w:tc>
          <w:tcPr>
            <w:tcW w:w="0" w:type="auto"/>
            <w:vAlign w:val="center"/>
            <w:hideMark/>
          </w:tcPr>
          <w:p w14:paraId="7CDBA9E3"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0.6447</w:t>
            </w:r>
          </w:p>
        </w:tc>
        <w:tc>
          <w:tcPr>
            <w:tcW w:w="0" w:type="auto"/>
            <w:vAlign w:val="center"/>
            <w:hideMark/>
          </w:tcPr>
          <w:p w14:paraId="1211591C"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-0.2131</w:t>
            </w:r>
          </w:p>
        </w:tc>
        <w:tc>
          <w:tcPr>
            <w:tcW w:w="0" w:type="auto"/>
            <w:vAlign w:val="center"/>
            <w:hideMark/>
          </w:tcPr>
          <w:p w14:paraId="3E945386"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0.2533</w:t>
            </w:r>
          </w:p>
        </w:tc>
        <w:tc>
          <w:tcPr>
            <w:tcW w:w="0" w:type="auto"/>
            <w:vAlign w:val="center"/>
            <w:hideMark/>
          </w:tcPr>
          <w:p w14:paraId="5B55190A"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0.2557</w:t>
            </w:r>
          </w:p>
        </w:tc>
        <w:tc>
          <w:tcPr>
            <w:tcW w:w="0" w:type="auto"/>
            <w:vAlign w:val="center"/>
            <w:hideMark/>
          </w:tcPr>
          <w:p w14:paraId="6AAE7AE8"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-0.0024</w:t>
            </w:r>
          </w:p>
        </w:tc>
      </w:tr>
    </w:tbl>
    <w:p w14:paraId="2B4848BB" w14:textId="5F52A44C" w:rsidR="000D0630" w:rsidRPr="00444E7E" w:rsidRDefault="000D0630" w:rsidP="000D0630">
      <w:pPr>
        <w:rPr>
          <w:rFonts w:ascii="Arial" w:hAnsi="Arial" w:cs="Arial"/>
          <w:b/>
          <w:bCs/>
          <w:sz w:val="24"/>
          <w:szCs w:val="24"/>
        </w:rPr>
      </w:pPr>
    </w:p>
    <w:p w14:paraId="0F1AEDA0" w14:textId="77777777" w:rsidR="000D0630" w:rsidRPr="00444E7E" w:rsidRDefault="000D0630" w:rsidP="000D0630">
      <w:pPr>
        <w:jc w:val="both"/>
        <w:rPr>
          <w:rFonts w:ascii="Arial" w:hAnsi="Arial" w:cs="Arial"/>
          <w:sz w:val="24"/>
          <w:szCs w:val="24"/>
        </w:rPr>
      </w:pPr>
      <w:r w:rsidRPr="00444E7E">
        <w:rPr>
          <w:rFonts w:ascii="Arial" w:hAnsi="Arial" w:cs="Arial"/>
          <w:sz w:val="24"/>
          <w:szCs w:val="24"/>
        </w:rPr>
        <w:t>Esta integración permite concluir que el modelo es consistente en múltiples dimensiones, siempre que se consideren las diferencias en la naturaleza de los datos.</w:t>
      </w:r>
    </w:p>
    <w:p w14:paraId="69CB20EB" w14:textId="77777777" w:rsidR="000D0630" w:rsidRPr="00444E7E" w:rsidRDefault="000D0630" w:rsidP="00A9131E">
      <w:pPr>
        <w:rPr>
          <w:rFonts w:ascii="Arial" w:hAnsi="Arial" w:cs="Arial"/>
          <w:b/>
          <w:bCs/>
          <w:sz w:val="24"/>
          <w:szCs w:val="24"/>
        </w:rPr>
      </w:pPr>
    </w:p>
    <w:p w14:paraId="182DA00B"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Discusión</w:t>
      </w:r>
    </w:p>
    <w:p w14:paraId="296190A0"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Los resultados obtenidos evidencian que la comparación entre distintas fuentes de información requiere un análisis crítico de sus diferencias metodológicas, particularmente en términos de escala, definición de variables y naturaleza de los datos.</w:t>
      </w:r>
    </w:p>
    <w:p w14:paraId="1EF620AB"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lastRenderedPageBreak/>
        <w:t>En primer lugar, el nivel de agregación espacial influye directamente en la interpretación de los resultados. El clustering, al trabajar a nivel de manzana, permite capturar una mayor heterogeneidad espacial, mientras que el IPM, al estar agregado a nivel departamental, presenta una visión más general del territorio. La GEIH, por su parte, permite una validación intermedia a nivel urbano.</w:t>
      </w:r>
    </w:p>
    <w:p w14:paraId="63501217"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En segundo lugar, la naturaleza de los datos introduce diferencias importantes. El censo proporciona información completa de la población, mientras que la GEIH es una encuesta muestral, lo que implica la existencia de error muestral. Sin embargo, la consistencia observada entre ambas fuentes sugiere que los patrones identificados son robustos.</w:t>
      </w:r>
    </w:p>
    <w:p w14:paraId="11D2F19F"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En tercer lugar, la definición de los indicadores constituye el principal desafío en la comparación. Esto es evidente en las dimensiones educativa y laboral al compararlas con el IPM, donde las diferencias en la construcción de los indicadores generan discrepancias en los valores absolutos.</w:t>
      </w:r>
    </w:p>
    <w:p w14:paraId="648C1E80" w14:textId="7B9BED29" w:rsidR="00533F57" w:rsidRPr="00444E7E" w:rsidRDefault="00533F57" w:rsidP="00533F57">
      <w:pPr>
        <w:rPr>
          <w:rFonts w:ascii="Arial" w:hAnsi="Arial" w:cs="Arial"/>
          <w:b/>
          <w:bCs/>
          <w:sz w:val="24"/>
          <w:szCs w:val="24"/>
        </w:rPr>
      </w:pPr>
    </w:p>
    <w:p w14:paraId="6E7B081D" w14:textId="3F069C03" w:rsidR="00533F57" w:rsidRPr="00444E7E" w:rsidRDefault="00533F57" w:rsidP="00533F57">
      <w:pPr>
        <w:rPr>
          <w:rFonts w:ascii="Arial" w:hAnsi="Arial" w:cs="Arial"/>
          <w:b/>
          <w:bCs/>
          <w:sz w:val="24"/>
          <w:szCs w:val="24"/>
        </w:rPr>
      </w:pPr>
      <w:r w:rsidRPr="00444E7E">
        <w:rPr>
          <w:rFonts w:ascii="Arial" w:hAnsi="Arial" w:cs="Arial"/>
          <w:b/>
          <w:bCs/>
          <w:sz w:val="24"/>
          <w:szCs w:val="24"/>
        </w:rPr>
        <w:t>Principales fuentes de discrepancia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2588"/>
        <w:gridCol w:w="3190"/>
      </w:tblGrid>
      <w:tr w:rsidR="00533F57" w:rsidRPr="00444E7E" w14:paraId="2BA42AF2" w14:textId="77777777" w:rsidTr="007614A1">
        <w:trPr>
          <w:tblHeader/>
          <w:tblCellSpacing w:w="15" w:type="dxa"/>
        </w:trPr>
        <w:tc>
          <w:tcPr>
            <w:tcW w:w="0" w:type="auto"/>
            <w:vAlign w:val="center"/>
            <w:hideMark/>
          </w:tcPr>
          <w:p w14:paraId="00F324CB"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Dimensión</w:t>
            </w:r>
          </w:p>
        </w:tc>
        <w:tc>
          <w:tcPr>
            <w:tcW w:w="0" w:type="auto"/>
            <w:vAlign w:val="center"/>
            <w:hideMark/>
          </w:tcPr>
          <w:p w14:paraId="0AD734B9"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Problema identificado</w:t>
            </w:r>
          </w:p>
        </w:tc>
        <w:tc>
          <w:tcPr>
            <w:tcW w:w="0" w:type="auto"/>
            <w:vAlign w:val="center"/>
            <w:hideMark/>
          </w:tcPr>
          <w:p w14:paraId="7D0E60CA"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Explicación</w:t>
            </w:r>
          </w:p>
        </w:tc>
      </w:tr>
      <w:tr w:rsidR="00533F57" w:rsidRPr="00444E7E" w14:paraId="7914F758" w14:textId="77777777" w:rsidTr="007614A1">
        <w:trPr>
          <w:tblCellSpacing w:w="15" w:type="dxa"/>
        </w:trPr>
        <w:tc>
          <w:tcPr>
            <w:tcW w:w="0" w:type="auto"/>
            <w:vAlign w:val="center"/>
            <w:hideMark/>
          </w:tcPr>
          <w:p w14:paraId="54104407" w14:textId="77777777" w:rsidR="00533F57" w:rsidRPr="00444E7E" w:rsidRDefault="00533F57" w:rsidP="00533F57">
            <w:pPr>
              <w:rPr>
                <w:rFonts w:ascii="Arial" w:hAnsi="Arial" w:cs="Arial"/>
                <w:sz w:val="24"/>
                <w:szCs w:val="24"/>
              </w:rPr>
            </w:pPr>
            <w:r w:rsidRPr="00444E7E">
              <w:rPr>
                <w:rFonts w:ascii="Arial" w:hAnsi="Arial" w:cs="Arial"/>
                <w:sz w:val="24"/>
                <w:szCs w:val="24"/>
              </w:rPr>
              <w:t>Educación</w:t>
            </w:r>
          </w:p>
        </w:tc>
        <w:tc>
          <w:tcPr>
            <w:tcW w:w="0" w:type="auto"/>
            <w:vAlign w:val="center"/>
            <w:hideMark/>
          </w:tcPr>
          <w:p w14:paraId="0F0EB0A4" w14:textId="77777777" w:rsidR="00533F57" w:rsidRPr="00444E7E" w:rsidRDefault="00533F57" w:rsidP="00533F57">
            <w:pPr>
              <w:rPr>
                <w:rFonts w:ascii="Arial" w:hAnsi="Arial" w:cs="Arial"/>
                <w:sz w:val="24"/>
                <w:szCs w:val="24"/>
              </w:rPr>
            </w:pPr>
            <w:r w:rsidRPr="00444E7E">
              <w:rPr>
                <w:rFonts w:ascii="Arial" w:hAnsi="Arial" w:cs="Arial"/>
                <w:sz w:val="24"/>
                <w:szCs w:val="24"/>
              </w:rPr>
              <w:t>Diferencia de escala</w:t>
            </w:r>
          </w:p>
        </w:tc>
        <w:tc>
          <w:tcPr>
            <w:tcW w:w="0" w:type="auto"/>
            <w:vAlign w:val="center"/>
            <w:hideMark/>
          </w:tcPr>
          <w:p w14:paraId="419B2CDD" w14:textId="77777777" w:rsidR="00533F57" w:rsidRPr="00444E7E" w:rsidRDefault="00533F57" w:rsidP="00533F57">
            <w:pPr>
              <w:rPr>
                <w:rFonts w:ascii="Arial" w:hAnsi="Arial" w:cs="Arial"/>
                <w:sz w:val="24"/>
                <w:szCs w:val="24"/>
              </w:rPr>
            </w:pPr>
            <w:r w:rsidRPr="00444E7E">
              <w:rPr>
                <w:rFonts w:ascii="Arial" w:hAnsi="Arial" w:cs="Arial"/>
                <w:sz w:val="24"/>
                <w:szCs w:val="24"/>
              </w:rPr>
              <w:t>IPM vs proporciones directas</w:t>
            </w:r>
          </w:p>
        </w:tc>
      </w:tr>
      <w:tr w:rsidR="00533F57" w:rsidRPr="00444E7E" w14:paraId="07F31396" w14:textId="77777777" w:rsidTr="007614A1">
        <w:trPr>
          <w:tblCellSpacing w:w="15" w:type="dxa"/>
        </w:trPr>
        <w:tc>
          <w:tcPr>
            <w:tcW w:w="0" w:type="auto"/>
            <w:vAlign w:val="center"/>
            <w:hideMark/>
          </w:tcPr>
          <w:p w14:paraId="3461DBBD" w14:textId="77777777" w:rsidR="00533F57" w:rsidRPr="00444E7E" w:rsidRDefault="00533F57" w:rsidP="00533F57">
            <w:pPr>
              <w:rPr>
                <w:rFonts w:ascii="Arial" w:hAnsi="Arial" w:cs="Arial"/>
                <w:sz w:val="24"/>
                <w:szCs w:val="24"/>
              </w:rPr>
            </w:pPr>
            <w:r w:rsidRPr="00444E7E">
              <w:rPr>
                <w:rFonts w:ascii="Arial" w:hAnsi="Arial" w:cs="Arial"/>
                <w:sz w:val="24"/>
                <w:szCs w:val="24"/>
              </w:rPr>
              <w:t>Laboral</w:t>
            </w:r>
          </w:p>
        </w:tc>
        <w:tc>
          <w:tcPr>
            <w:tcW w:w="0" w:type="auto"/>
            <w:vAlign w:val="center"/>
            <w:hideMark/>
          </w:tcPr>
          <w:p w14:paraId="2937A360" w14:textId="77777777" w:rsidR="00533F57" w:rsidRPr="00444E7E" w:rsidRDefault="00533F57" w:rsidP="00533F57">
            <w:pPr>
              <w:rPr>
                <w:rFonts w:ascii="Arial" w:hAnsi="Arial" w:cs="Arial"/>
                <w:sz w:val="24"/>
                <w:szCs w:val="24"/>
              </w:rPr>
            </w:pPr>
            <w:r w:rsidRPr="00444E7E">
              <w:rPr>
                <w:rFonts w:ascii="Arial" w:hAnsi="Arial" w:cs="Arial"/>
                <w:sz w:val="24"/>
                <w:szCs w:val="24"/>
              </w:rPr>
              <w:t>Diferencia conceptual</w:t>
            </w:r>
          </w:p>
        </w:tc>
        <w:tc>
          <w:tcPr>
            <w:tcW w:w="0" w:type="auto"/>
            <w:vAlign w:val="center"/>
            <w:hideMark/>
          </w:tcPr>
          <w:p w14:paraId="568358D0" w14:textId="77777777" w:rsidR="00533F57" w:rsidRPr="00444E7E" w:rsidRDefault="00533F57" w:rsidP="00533F57">
            <w:pPr>
              <w:rPr>
                <w:rFonts w:ascii="Arial" w:hAnsi="Arial" w:cs="Arial"/>
                <w:sz w:val="24"/>
                <w:szCs w:val="24"/>
              </w:rPr>
            </w:pPr>
            <w:r w:rsidRPr="00444E7E">
              <w:rPr>
                <w:rFonts w:ascii="Arial" w:hAnsi="Arial" w:cs="Arial"/>
                <w:sz w:val="24"/>
                <w:szCs w:val="24"/>
              </w:rPr>
              <w:t>Ocupación vs empleo formal</w:t>
            </w:r>
          </w:p>
        </w:tc>
      </w:tr>
      <w:tr w:rsidR="00533F57" w:rsidRPr="00444E7E" w14:paraId="1402A603" w14:textId="77777777" w:rsidTr="007614A1">
        <w:trPr>
          <w:tblCellSpacing w:w="15" w:type="dxa"/>
        </w:trPr>
        <w:tc>
          <w:tcPr>
            <w:tcW w:w="0" w:type="auto"/>
            <w:vAlign w:val="center"/>
            <w:hideMark/>
          </w:tcPr>
          <w:p w14:paraId="134303D0" w14:textId="77777777" w:rsidR="00533F57" w:rsidRPr="00444E7E" w:rsidRDefault="00533F57" w:rsidP="00533F57">
            <w:pPr>
              <w:rPr>
                <w:rFonts w:ascii="Arial" w:hAnsi="Arial" w:cs="Arial"/>
                <w:sz w:val="24"/>
                <w:szCs w:val="24"/>
              </w:rPr>
            </w:pPr>
            <w:r w:rsidRPr="00444E7E">
              <w:rPr>
                <w:rFonts w:ascii="Arial" w:hAnsi="Arial" w:cs="Arial"/>
                <w:sz w:val="24"/>
                <w:szCs w:val="24"/>
              </w:rPr>
              <w:t>Escolaridad</w:t>
            </w:r>
          </w:p>
        </w:tc>
        <w:tc>
          <w:tcPr>
            <w:tcW w:w="0" w:type="auto"/>
            <w:vAlign w:val="center"/>
            <w:hideMark/>
          </w:tcPr>
          <w:p w14:paraId="0CF5FD62" w14:textId="77777777" w:rsidR="00533F57" w:rsidRPr="00444E7E" w:rsidRDefault="00533F57" w:rsidP="00533F57">
            <w:pPr>
              <w:rPr>
                <w:rFonts w:ascii="Arial" w:hAnsi="Arial" w:cs="Arial"/>
                <w:sz w:val="24"/>
                <w:szCs w:val="24"/>
              </w:rPr>
            </w:pPr>
            <w:r w:rsidRPr="00444E7E">
              <w:rPr>
                <w:rFonts w:ascii="Arial" w:hAnsi="Arial" w:cs="Arial"/>
                <w:sz w:val="24"/>
                <w:szCs w:val="24"/>
              </w:rPr>
              <w:t>Diferencia de medición</w:t>
            </w:r>
          </w:p>
        </w:tc>
        <w:tc>
          <w:tcPr>
            <w:tcW w:w="0" w:type="auto"/>
            <w:vAlign w:val="center"/>
            <w:hideMark/>
          </w:tcPr>
          <w:p w14:paraId="540662A1" w14:textId="77777777" w:rsidR="00533F57" w:rsidRPr="00444E7E" w:rsidRDefault="00533F57" w:rsidP="00533F57">
            <w:pPr>
              <w:rPr>
                <w:rFonts w:ascii="Arial" w:hAnsi="Arial" w:cs="Arial"/>
                <w:sz w:val="24"/>
                <w:szCs w:val="24"/>
              </w:rPr>
            </w:pPr>
            <w:r w:rsidRPr="00444E7E">
              <w:rPr>
                <w:rFonts w:ascii="Arial" w:hAnsi="Arial" w:cs="Arial"/>
                <w:sz w:val="24"/>
                <w:szCs w:val="24"/>
              </w:rPr>
              <w:t>Años vs categorías</w:t>
            </w:r>
          </w:p>
        </w:tc>
      </w:tr>
      <w:tr w:rsidR="00533F57" w:rsidRPr="00444E7E" w14:paraId="30E3BE5C" w14:textId="77777777" w:rsidTr="007614A1">
        <w:trPr>
          <w:tblCellSpacing w:w="15" w:type="dxa"/>
        </w:trPr>
        <w:tc>
          <w:tcPr>
            <w:tcW w:w="0" w:type="auto"/>
            <w:vAlign w:val="center"/>
            <w:hideMark/>
          </w:tcPr>
          <w:p w14:paraId="44A78DAB" w14:textId="77777777" w:rsidR="00533F57" w:rsidRPr="00444E7E" w:rsidRDefault="00533F57" w:rsidP="00533F57">
            <w:pPr>
              <w:rPr>
                <w:rFonts w:ascii="Arial" w:hAnsi="Arial" w:cs="Arial"/>
                <w:sz w:val="24"/>
                <w:szCs w:val="24"/>
              </w:rPr>
            </w:pPr>
            <w:r w:rsidRPr="00444E7E">
              <w:rPr>
                <w:rFonts w:ascii="Arial" w:hAnsi="Arial" w:cs="Arial"/>
                <w:sz w:val="24"/>
                <w:szCs w:val="24"/>
              </w:rPr>
              <w:t>Territorial</w:t>
            </w:r>
          </w:p>
        </w:tc>
        <w:tc>
          <w:tcPr>
            <w:tcW w:w="0" w:type="auto"/>
            <w:vAlign w:val="center"/>
            <w:hideMark/>
          </w:tcPr>
          <w:p w14:paraId="6AF2A505" w14:textId="77777777" w:rsidR="00533F57" w:rsidRPr="00444E7E" w:rsidRDefault="00533F57" w:rsidP="00533F57">
            <w:pPr>
              <w:rPr>
                <w:rFonts w:ascii="Arial" w:hAnsi="Arial" w:cs="Arial"/>
                <w:sz w:val="24"/>
                <w:szCs w:val="24"/>
              </w:rPr>
            </w:pPr>
            <w:r w:rsidRPr="00444E7E">
              <w:rPr>
                <w:rFonts w:ascii="Arial" w:hAnsi="Arial" w:cs="Arial"/>
                <w:sz w:val="24"/>
                <w:szCs w:val="24"/>
              </w:rPr>
              <w:t>Nivel de agregación</w:t>
            </w:r>
          </w:p>
        </w:tc>
        <w:tc>
          <w:tcPr>
            <w:tcW w:w="0" w:type="auto"/>
            <w:vAlign w:val="center"/>
            <w:hideMark/>
          </w:tcPr>
          <w:p w14:paraId="79B1B117" w14:textId="77777777" w:rsidR="00533F57" w:rsidRPr="00444E7E" w:rsidRDefault="00533F57" w:rsidP="00533F57">
            <w:pPr>
              <w:rPr>
                <w:rFonts w:ascii="Arial" w:hAnsi="Arial" w:cs="Arial"/>
                <w:sz w:val="24"/>
                <w:szCs w:val="24"/>
              </w:rPr>
            </w:pPr>
            <w:r w:rsidRPr="00444E7E">
              <w:rPr>
                <w:rFonts w:ascii="Arial" w:hAnsi="Arial" w:cs="Arial"/>
                <w:sz w:val="24"/>
                <w:szCs w:val="24"/>
              </w:rPr>
              <w:t>Ciudad vs departamento</w:t>
            </w:r>
          </w:p>
        </w:tc>
      </w:tr>
    </w:tbl>
    <w:p w14:paraId="2C0AA4C4" w14:textId="5F75A34D" w:rsidR="00533F57" w:rsidRPr="00444E7E" w:rsidRDefault="00533F57" w:rsidP="00533F57">
      <w:pPr>
        <w:rPr>
          <w:rFonts w:ascii="Arial" w:hAnsi="Arial" w:cs="Arial"/>
          <w:b/>
          <w:bCs/>
          <w:sz w:val="24"/>
          <w:szCs w:val="24"/>
        </w:rPr>
      </w:pPr>
    </w:p>
    <w:p w14:paraId="2F5FC8C6" w14:textId="77777777" w:rsidR="00533F57" w:rsidRPr="00444E7E" w:rsidRDefault="00533F57" w:rsidP="00533F57">
      <w:pPr>
        <w:rPr>
          <w:rFonts w:ascii="Arial" w:hAnsi="Arial" w:cs="Arial"/>
          <w:sz w:val="24"/>
          <w:szCs w:val="24"/>
        </w:rPr>
      </w:pPr>
      <w:r w:rsidRPr="00444E7E">
        <w:rPr>
          <w:rFonts w:ascii="Arial" w:hAnsi="Arial" w:cs="Arial"/>
          <w:sz w:val="24"/>
          <w:szCs w:val="24"/>
        </w:rPr>
        <w:t>A pesar de estas diferencias, el análisis demuestra que los patrones relativos entre ciudades se mantienen, lo que refuerza la validez del modelo.</w:t>
      </w:r>
    </w:p>
    <w:p w14:paraId="32C57528" w14:textId="029DCB65" w:rsidR="00533F57" w:rsidRPr="00444E7E" w:rsidRDefault="00533F57" w:rsidP="00533F57">
      <w:pPr>
        <w:rPr>
          <w:rFonts w:ascii="Arial" w:hAnsi="Arial" w:cs="Arial"/>
          <w:b/>
          <w:bCs/>
          <w:sz w:val="24"/>
          <w:szCs w:val="24"/>
        </w:rPr>
      </w:pPr>
      <w:r w:rsidRPr="00444E7E">
        <w:rPr>
          <w:rFonts w:ascii="Arial" w:hAnsi="Arial" w:cs="Arial"/>
          <w:b/>
          <w:bCs/>
          <w:sz w:val="24"/>
          <w:szCs w:val="24"/>
        </w:rPr>
        <w:t>Conclusiones</w:t>
      </w:r>
      <w:r w:rsidR="00A67CFF" w:rsidRPr="00444E7E">
        <w:rPr>
          <w:rFonts w:ascii="Arial" w:hAnsi="Arial" w:cs="Arial"/>
          <w:b/>
          <w:bCs/>
          <w:sz w:val="24"/>
          <w:szCs w:val="24"/>
        </w:rPr>
        <w:t xml:space="preserve"> de comparación</w:t>
      </w:r>
      <w:r w:rsidRPr="00444E7E">
        <w:rPr>
          <w:rFonts w:ascii="Arial" w:hAnsi="Arial" w:cs="Arial"/>
          <w:b/>
          <w:bCs/>
          <w:sz w:val="24"/>
          <w:szCs w:val="24"/>
        </w:rPr>
        <w:t xml:space="preserve"> </w:t>
      </w:r>
    </w:p>
    <w:p w14:paraId="5C2C4DE8"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El análisis comparativo desarrollado permite concluir que el modelo de clustering basado en el Censo DANE 2018 presenta una alta capacidad para capturar patrones de desigualdad socioeconómica a nivel territorial.</w:t>
      </w:r>
    </w:p>
    <w:p w14:paraId="2AB596F9"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La validación con el IPM evidenció que el modelo reproduce adecuadamente la estructura general del territorio, particularmente en las dimensiones de servicios y pobreza multidimensional. Estas dimensiones presentan una alta coherencia entre ciudades y departamentos, lo que confirma la robustez del modelo en la representación de condiciones estructurales.</w:t>
      </w:r>
    </w:p>
    <w:p w14:paraId="136D9232"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lastRenderedPageBreak/>
        <w:t>Por otro lado, la incorporación de la GEIH permitió validar dimensiones específicas a nivel urbano, especialmente educación y empleo. En estos casos, se evidenció que las discrepancias observadas con el IPM no corresponden a fallas del modelo, sino a diferencias en la definición de los indicadores.</w:t>
      </w:r>
    </w:p>
    <w:p w14:paraId="6D8E436E" w14:textId="5ADD401C" w:rsidR="00533F57" w:rsidRPr="00444E7E" w:rsidRDefault="00533F57" w:rsidP="00533F57">
      <w:pPr>
        <w:rPr>
          <w:rFonts w:ascii="Arial" w:hAnsi="Arial" w:cs="Arial"/>
          <w:b/>
          <w:bCs/>
          <w:sz w:val="24"/>
          <w:szCs w:val="24"/>
        </w:rPr>
      </w:pPr>
    </w:p>
    <w:p w14:paraId="05BDC6CE" w14:textId="74F1681B" w:rsidR="00533F57" w:rsidRPr="00444E7E" w:rsidRDefault="00533F57" w:rsidP="00533F57">
      <w:pPr>
        <w:rPr>
          <w:rFonts w:ascii="Arial" w:hAnsi="Arial" w:cs="Arial"/>
          <w:b/>
          <w:bCs/>
          <w:sz w:val="24"/>
          <w:szCs w:val="24"/>
        </w:rPr>
      </w:pPr>
      <w:r w:rsidRPr="00444E7E">
        <w:rPr>
          <w:rFonts w:ascii="Arial" w:hAnsi="Arial" w:cs="Arial"/>
          <w:b/>
          <w:bCs/>
          <w:sz w:val="24"/>
          <w:szCs w:val="24"/>
        </w:rPr>
        <w:t>Síntesis final de validación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601"/>
        <w:gridCol w:w="2722"/>
        <w:gridCol w:w="2723"/>
      </w:tblGrid>
      <w:tr w:rsidR="00533F57" w:rsidRPr="00444E7E" w14:paraId="290FDA10" w14:textId="77777777" w:rsidTr="007614A1">
        <w:trPr>
          <w:tblHeader/>
          <w:tblCellSpacing w:w="15" w:type="dxa"/>
        </w:trPr>
        <w:tc>
          <w:tcPr>
            <w:tcW w:w="0" w:type="auto"/>
            <w:vAlign w:val="center"/>
            <w:hideMark/>
          </w:tcPr>
          <w:p w14:paraId="5C80796B"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Fuente</w:t>
            </w:r>
          </w:p>
        </w:tc>
        <w:tc>
          <w:tcPr>
            <w:tcW w:w="0" w:type="auto"/>
            <w:vAlign w:val="center"/>
            <w:hideMark/>
          </w:tcPr>
          <w:p w14:paraId="47BEDAA2"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Nivel</w:t>
            </w:r>
          </w:p>
        </w:tc>
        <w:tc>
          <w:tcPr>
            <w:tcW w:w="0" w:type="auto"/>
            <w:vAlign w:val="center"/>
            <w:hideMark/>
          </w:tcPr>
          <w:p w14:paraId="7FD64DBE"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Rol en el análisis</w:t>
            </w:r>
          </w:p>
        </w:tc>
        <w:tc>
          <w:tcPr>
            <w:tcW w:w="0" w:type="auto"/>
            <w:vAlign w:val="center"/>
            <w:hideMark/>
          </w:tcPr>
          <w:p w14:paraId="5B716A82" w14:textId="77777777" w:rsidR="00533F57" w:rsidRPr="00444E7E" w:rsidRDefault="00533F57" w:rsidP="00533F57">
            <w:pPr>
              <w:rPr>
                <w:rFonts w:ascii="Arial" w:hAnsi="Arial" w:cs="Arial"/>
                <w:b/>
                <w:bCs/>
                <w:sz w:val="24"/>
                <w:szCs w:val="24"/>
              </w:rPr>
            </w:pPr>
            <w:r w:rsidRPr="00444E7E">
              <w:rPr>
                <w:rFonts w:ascii="Arial" w:hAnsi="Arial" w:cs="Arial"/>
                <w:b/>
                <w:bCs/>
                <w:sz w:val="24"/>
                <w:szCs w:val="24"/>
              </w:rPr>
              <w:t>Resultado</w:t>
            </w:r>
          </w:p>
        </w:tc>
      </w:tr>
      <w:tr w:rsidR="00533F57" w:rsidRPr="00444E7E" w14:paraId="517F0000" w14:textId="77777777" w:rsidTr="007614A1">
        <w:trPr>
          <w:tblCellSpacing w:w="15" w:type="dxa"/>
        </w:trPr>
        <w:tc>
          <w:tcPr>
            <w:tcW w:w="0" w:type="auto"/>
            <w:vAlign w:val="center"/>
            <w:hideMark/>
          </w:tcPr>
          <w:p w14:paraId="602D73AC" w14:textId="77777777" w:rsidR="00533F57" w:rsidRPr="00444E7E" w:rsidRDefault="00533F57" w:rsidP="00533F57">
            <w:pPr>
              <w:rPr>
                <w:rFonts w:ascii="Arial" w:hAnsi="Arial" w:cs="Arial"/>
                <w:sz w:val="24"/>
                <w:szCs w:val="24"/>
              </w:rPr>
            </w:pPr>
            <w:r w:rsidRPr="00444E7E">
              <w:rPr>
                <w:rFonts w:ascii="Arial" w:hAnsi="Arial" w:cs="Arial"/>
                <w:sz w:val="24"/>
                <w:szCs w:val="24"/>
              </w:rPr>
              <w:t>Censo DANE</w:t>
            </w:r>
          </w:p>
        </w:tc>
        <w:tc>
          <w:tcPr>
            <w:tcW w:w="0" w:type="auto"/>
            <w:vAlign w:val="center"/>
            <w:hideMark/>
          </w:tcPr>
          <w:p w14:paraId="4ABB81D9" w14:textId="77777777" w:rsidR="00533F57" w:rsidRPr="00444E7E" w:rsidRDefault="00533F57" w:rsidP="00533F57">
            <w:pPr>
              <w:rPr>
                <w:rFonts w:ascii="Arial" w:hAnsi="Arial" w:cs="Arial"/>
                <w:sz w:val="24"/>
                <w:szCs w:val="24"/>
              </w:rPr>
            </w:pPr>
            <w:r w:rsidRPr="00444E7E">
              <w:rPr>
                <w:rFonts w:ascii="Arial" w:hAnsi="Arial" w:cs="Arial"/>
                <w:sz w:val="24"/>
                <w:szCs w:val="24"/>
              </w:rPr>
              <w:t>Manzana</w:t>
            </w:r>
          </w:p>
        </w:tc>
        <w:tc>
          <w:tcPr>
            <w:tcW w:w="0" w:type="auto"/>
            <w:vAlign w:val="center"/>
            <w:hideMark/>
          </w:tcPr>
          <w:p w14:paraId="16713F0C" w14:textId="77777777" w:rsidR="00533F57" w:rsidRPr="00444E7E" w:rsidRDefault="00533F57" w:rsidP="00533F57">
            <w:pPr>
              <w:rPr>
                <w:rFonts w:ascii="Arial" w:hAnsi="Arial" w:cs="Arial"/>
                <w:sz w:val="24"/>
                <w:szCs w:val="24"/>
              </w:rPr>
            </w:pPr>
            <w:r w:rsidRPr="00444E7E">
              <w:rPr>
                <w:rFonts w:ascii="Arial" w:hAnsi="Arial" w:cs="Arial"/>
                <w:sz w:val="24"/>
                <w:szCs w:val="24"/>
              </w:rPr>
              <w:t>Construcción del modelo</w:t>
            </w:r>
          </w:p>
        </w:tc>
        <w:tc>
          <w:tcPr>
            <w:tcW w:w="0" w:type="auto"/>
            <w:vAlign w:val="center"/>
            <w:hideMark/>
          </w:tcPr>
          <w:p w14:paraId="118C6157" w14:textId="77777777" w:rsidR="00533F57" w:rsidRPr="00444E7E" w:rsidRDefault="00533F57" w:rsidP="00533F57">
            <w:pPr>
              <w:rPr>
                <w:rFonts w:ascii="Arial" w:hAnsi="Arial" w:cs="Arial"/>
                <w:sz w:val="24"/>
                <w:szCs w:val="24"/>
              </w:rPr>
            </w:pPr>
            <w:r w:rsidRPr="00444E7E">
              <w:rPr>
                <w:rFonts w:ascii="Arial" w:hAnsi="Arial" w:cs="Arial"/>
                <w:sz w:val="24"/>
                <w:szCs w:val="24"/>
              </w:rPr>
              <w:t>Base analítica</w:t>
            </w:r>
          </w:p>
        </w:tc>
      </w:tr>
      <w:tr w:rsidR="00533F57" w:rsidRPr="00444E7E" w14:paraId="36658C0E" w14:textId="77777777" w:rsidTr="007614A1">
        <w:trPr>
          <w:tblCellSpacing w:w="15" w:type="dxa"/>
        </w:trPr>
        <w:tc>
          <w:tcPr>
            <w:tcW w:w="0" w:type="auto"/>
            <w:vAlign w:val="center"/>
            <w:hideMark/>
          </w:tcPr>
          <w:p w14:paraId="102FDF16" w14:textId="77777777" w:rsidR="00533F57" w:rsidRPr="00444E7E" w:rsidRDefault="00533F57" w:rsidP="00533F57">
            <w:pPr>
              <w:rPr>
                <w:rFonts w:ascii="Arial" w:hAnsi="Arial" w:cs="Arial"/>
                <w:sz w:val="24"/>
                <w:szCs w:val="24"/>
              </w:rPr>
            </w:pPr>
            <w:r w:rsidRPr="00444E7E">
              <w:rPr>
                <w:rFonts w:ascii="Arial" w:hAnsi="Arial" w:cs="Arial"/>
                <w:sz w:val="24"/>
                <w:szCs w:val="24"/>
              </w:rPr>
              <w:t>IPM</w:t>
            </w:r>
          </w:p>
        </w:tc>
        <w:tc>
          <w:tcPr>
            <w:tcW w:w="0" w:type="auto"/>
            <w:vAlign w:val="center"/>
            <w:hideMark/>
          </w:tcPr>
          <w:p w14:paraId="178E15BA" w14:textId="77777777" w:rsidR="00533F57" w:rsidRPr="00444E7E" w:rsidRDefault="00533F57" w:rsidP="00533F57">
            <w:pPr>
              <w:rPr>
                <w:rFonts w:ascii="Arial" w:hAnsi="Arial" w:cs="Arial"/>
                <w:sz w:val="24"/>
                <w:szCs w:val="24"/>
              </w:rPr>
            </w:pPr>
            <w:r w:rsidRPr="00444E7E">
              <w:rPr>
                <w:rFonts w:ascii="Arial" w:hAnsi="Arial" w:cs="Arial"/>
                <w:sz w:val="24"/>
                <w:szCs w:val="24"/>
              </w:rPr>
              <w:t>Departamento</w:t>
            </w:r>
          </w:p>
        </w:tc>
        <w:tc>
          <w:tcPr>
            <w:tcW w:w="0" w:type="auto"/>
            <w:vAlign w:val="center"/>
            <w:hideMark/>
          </w:tcPr>
          <w:p w14:paraId="40E44607" w14:textId="77777777" w:rsidR="00533F57" w:rsidRPr="00444E7E" w:rsidRDefault="00533F57" w:rsidP="00533F57">
            <w:pPr>
              <w:rPr>
                <w:rFonts w:ascii="Arial" w:hAnsi="Arial" w:cs="Arial"/>
                <w:sz w:val="24"/>
                <w:szCs w:val="24"/>
              </w:rPr>
            </w:pPr>
            <w:r w:rsidRPr="00444E7E">
              <w:rPr>
                <w:rFonts w:ascii="Arial" w:hAnsi="Arial" w:cs="Arial"/>
                <w:sz w:val="24"/>
                <w:szCs w:val="24"/>
              </w:rPr>
              <w:t>Validación estructural</w:t>
            </w:r>
          </w:p>
        </w:tc>
        <w:tc>
          <w:tcPr>
            <w:tcW w:w="0" w:type="auto"/>
            <w:vAlign w:val="center"/>
            <w:hideMark/>
          </w:tcPr>
          <w:p w14:paraId="105F62FF" w14:textId="77777777" w:rsidR="00533F57" w:rsidRPr="00444E7E" w:rsidRDefault="00533F57" w:rsidP="00533F57">
            <w:pPr>
              <w:rPr>
                <w:rFonts w:ascii="Arial" w:hAnsi="Arial" w:cs="Arial"/>
                <w:sz w:val="24"/>
                <w:szCs w:val="24"/>
              </w:rPr>
            </w:pPr>
            <w:r w:rsidRPr="00444E7E">
              <w:rPr>
                <w:rFonts w:ascii="Arial" w:hAnsi="Arial" w:cs="Arial"/>
                <w:sz w:val="24"/>
                <w:szCs w:val="24"/>
              </w:rPr>
              <w:t>Alta coherencia</w:t>
            </w:r>
          </w:p>
        </w:tc>
      </w:tr>
      <w:tr w:rsidR="00533F57" w:rsidRPr="00444E7E" w14:paraId="57B0ADD3" w14:textId="77777777" w:rsidTr="007614A1">
        <w:trPr>
          <w:tblCellSpacing w:w="15" w:type="dxa"/>
        </w:trPr>
        <w:tc>
          <w:tcPr>
            <w:tcW w:w="0" w:type="auto"/>
            <w:vAlign w:val="center"/>
            <w:hideMark/>
          </w:tcPr>
          <w:p w14:paraId="70BAD07F" w14:textId="77777777" w:rsidR="00533F57" w:rsidRPr="00444E7E" w:rsidRDefault="00533F57" w:rsidP="00533F57">
            <w:pPr>
              <w:rPr>
                <w:rFonts w:ascii="Arial" w:hAnsi="Arial" w:cs="Arial"/>
                <w:sz w:val="24"/>
                <w:szCs w:val="24"/>
              </w:rPr>
            </w:pPr>
            <w:r w:rsidRPr="00444E7E">
              <w:rPr>
                <w:rFonts w:ascii="Arial" w:hAnsi="Arial" w:cs="Arial"/>
                <w:sz w:val="24"/>
                <w:szCs w:val="24"/>
              </w:rPr>
              <w:t>GEIH</w:t>
            </w:r>
          </w:p>
        </w:tc>
        <w:tc>
          <w:tcPr>
            <w:tcW w:w="0" w:type="auto"/>
            <w:vAlign w:val="center"/>
            <w:hideMark/>
          </w:tcPr>
          <w:p w14:paraId="49DD890E" w14:textId="77777777" w:rsidR="00533F57" w:rsidRPr="00444E7E" w:rsidRDefault="00533F57" w:rsidP="00533F57">
            <w:pPr>
              <w:rPr>
                <w:rFonts w:ascii="Arial" w:hAnsi="Arial" w:cs="Arial"/>
                <w:sz w:val="24"/>
                <w:szCs w:val="24"/>
              </w:rPr>
            </w:pPr>
            <w:r w:rsidRPr="00444E7E">
              <w:rPr>
                <w:rFonts w:ascii="Arial" w:hAnsi="Arial" w:cs="Arial"/>
                <w:sz w:val="24"/>
                <w:szCs w:val="24"/>
              </w:rPr>
              <w:t>Ciudad</w:t>
            </w:r>
          </w:p>
        </w:tc>
        <w:tc>
          <w:tcPr>
            <w:tcW w:w="0" w:type="auto"/>
            <w:vAlign w:val="center"/>
            <w:hideMark/>
          </w:tcPr>
          <w:p w14:paraId="52DFADBC" w14:textId="77777777" w:rsidR="00533F57" w:rsidRPr="00444E7E" w:rsidRDefault="00533F57" w:rsidP="00533F57">
            <w:pPr>
              <w:rPr>
                <w:rFonts w:ascii="Arial" w:hAnsi="Arial" w:cs="Arial"/>
                <w:sz w:val="24"/>
                <w:szCs w:val="24"/>
              </w:rPr>
            </w:pPr>
            <w:r w:rsidRPr="00444E7E">
              <w:rPr>
                <w:rFonts w:ascii="Arial" w:hAnsi="Arial" w:cs="Arial"/>
                <w:sz w:val="24"/>
                <w:szCs w:val="24"/>
              </w:rPr>
              <w:t>Validación urbana</w:t>
            </w:r>
          </w:p>
        </w:tc>
        <w:tc>
          <w:tcPr>
            <w:tcW w:w="0" w:type="auto"/>
            <w:vAlign w:val="center"/>
            <w:hideMark/>
          </w:tcPr>
          <w:p w14:paraId="6A18E25B" w14:textId="77777777" w:rsidR="00533F57" w:rsidRPr="00444E7E" w:rsidRDefault="00533F57" w:rsidP="00533F57">
            <w:pPr>
              <w:rPr>
                <w:rFonts w:ascii="Arial" w:hAnsi="Arial" w:cs="Arial"/>
                <w:sz w:val="24"/>
                <w:szCs w:val="24"/>
              </w:rPr>
            </w:pPr>
            <w:r w:rsidRPr="00444E7E">
              <w:rPr>
                <w:rFonts w:ascii="Arial" w:hAnsi="Arial" w:cs="Arial"/>
                <w:sz w:val="24"/>
                <w:szCs w:val="24"/>
              </w:rPr>
              <w:t>Consistencia confirmada</w:t>
            </w:r>
          </w:p>
        </w:tc>
      </w:tr>
    </w:tbl>
    <w:p w14:paraId="30095FA7" w14:textId="37ABF4DB" w:rsidR="00533F57" w:rsidRPr="00444E7E" w:rsidRDefault="00533F57" w:rsidP="00533F57">
      <w:pPr>
        <w:rPr>
          <w:rFonts w:ascii="Arial" w:hAnsi="Arial" w:cs="Arial"/>
          <w:b/>
          <w:bCs/>
          <w:sz w:val="24"/>
          <w:szCs w:val="24"/>
        </w:rPr>
      </w:pPr>
    </w:p>
    <w:p w14:paraId="72A76800"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En conjunto, los resultados demuestran que el modelo presenta una validez robusta en múltiples dimensiones y escalas, al mantenerse consistente tanto con datos agregados oficiales como con información muestral independiente.</w:t>
      </w:r>
    </w:p>
    <w:p w14:paraId="1B4DBC24"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La triangulación de fuentes constituye uno de los principales aportes del análisis, ya que permite validar los resultados desde diferentes perspectivas y reducir la incertidumbre en la interpretación. En este sentido, el modelo no solo reproduce patrones observados, sino que también ofrece una herramienta sólida para el análisis territorial de la desigualdad.</w:t>
      </w:r>
    </w:p>
    <w:p w14:paraId="10377989" w14:textId="77777777" w:rsidR="00533F57" w:rsidRPr="00444E7E" w:rsidRDefault="00533F57" w:rsidP="00533F57">
      <w:pPr>
        <w:jc w:val="both"/>
        <w:rPr>
          <w:rFonts w:ascii="Arial" w:hAnsi="Arial" w:cs="Arial"/>
          <w:sz w:val="24"/>
          <w:szCs w:val="24"/>
        </w:rPr>
      </w:pPr>
      <w:r w:rsidRPr="00444E7E">
        <w:rPr>
          <w:rFonts w:ascii="Arial" w:hAnsi="Arial" w:cs="Arial"/>
          <w:sz w:val="24"/>
          <w:szCs w:val="24"/>
        </w:rPr>
        <w:t>Finalmente, este estudio resalta la importancia de integrar múltiples fuentes de información en el análisis socioeconómico. El IPM permite comprender la estructura general del territorio, mientras que la GEIH aporta una visión más detallada de las dinámicas urbanas. La combinación de ambas fuentes, junto con el modelo de clustering, permite construir una visión integral del fenómeno de la desigualdad.</w:t>
      </w:r>
    </w:p>
    <w:p w14:paraId="2FF76BE9" w14:textId="77777777" w:rsidR="008F5EC8" w:rsidRPr="00444E7E" w:rsidRDefault="008F5EC8" w:rsidP="00A9131E">
      <w:pPr>
        <w:rPr>
          <w:rFonts w:ascii="Arial" w:hAnsi="Arial" w:cs="Arial"/>
          <w:b/>
          <w:bCs/>
          <w:sz w:val="24"/>
          <w:szCs w:val="24"/>
        </w:rPr>
      </w:pPr>
    </w:p>
    <w:p w14:paraId="368FC15B" w14:textId="5DDC66E6" w:rsidR="00A67CFF" w:rsidRPr="00444E7E" w:rsidRDefault="00A67CFF" w:rsidP="00A67CFF">
      <w:pPr>
        <w:rPr>
          <w:rFonts w:ascii="Arial" w:hAnsi="Arial" w:cs="Arial"/>
          <w:b/>
          <w:bCs/>
          <w:sz w:val="24"/>
          <w:szCs w:val="24"/>
        </w:rPr>
      </w:pPr>
      <w:r w:rsidRPr="00444E7E">
        <w:rPr>
          <w:rFonts w:ascii="Arial" w:hAnsi="Arial" w:cs="Arial"/>
          <w:b/>
          <w:bCs/>
          <w:sz w:val="24"/>
          <w:szCs w:val="24"/>
        </w:rPr>
        <w:t>Validación espacial del modelo de clustering</w:t>
      </w:r>
    </w:p>
    <w:p w14:paraId="43F988E4"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Como complemento al análisis comparativo realizado previamente entre el modelo de clustering, el Índice de Pobreza Multidimensional (IPM) y la Gran Encuesta Integrada de Hogares (GEIH), se incorporó un análisis espacial mediante modelos autorregresivos espaciales (SAR), con el fin de evaluar si los patrones identificados presentan una estructura territorial significativa.</w:t>
      </w:r>
    </w:p>
    <w:p w14:paraId="57055B95"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 xml:space="preserve">Mientras que las comparaciones con el IPM y la GEIH permitieron validar la consistencia del modelo desde una perspectiva estadística y socioeconómica, el modelo SAR introduce una dimensión adicional al análisis, al permitir evaluar </w:t>
      </w:r>
      <w:r w:rsidRPr="00444E7E">
        <w:rPr>
          <w:rFonts w:ascii="Arial" w:hAnsi="Arial" w:cs="Arial"/>
          <w:sz w:val="24"/>
          <w:szCs w:val="24"/>
        </w:rPr>
        <w:lastRenderedPageBreak/>
        <w:t>explícitamente la dependencia espacial entre las unidades de observación. En este sentido, esta etapa no busca reemplazar las validaciones anteriores, sino complementarlas, incorporando la lógica territorial que subyace a los fenómenos de desigualdad.</w:t>
      </w:r>
    </w:p>
    <w:p w14:paraId="03974B49" w14:textId="6B6461B7" w:rsidR="00A67CFF" w:rsidRPr="00444E7E" w:rsidRDefault="00A67CFF" w:rsidP="00A67CFF">
      <w:pPr>
        <w:rPr>
          <w:rFonts w:ascii="Arial" w:hAnsi="Arial" w:cs="Arial"/>
          <w:b/>
          <w:bCs/>
          <w:sz w:val="24"/>
          <w:szCs w:val="24"/>
        </w:rPr>
      </w:pPr>
    </w:p>
    <w:p w14:paraId="5E2FCF10" w14:textId="0288517D" w:rsidR="00A67CFF" w:rsidRPr="00444E7E" w:rsidRDefault="00A67CFF" w:rsidP="00A67CFF">
      <w:pPr>
        <w:rPr>
          <w:rFonts w:ascii="Arial" w:hAnsi="Arial" w:cs="Arial"/>
          <w:b/>
          <w:bCs/>
          <w:sz w:val="24"/>
          <w:szCs w:val="24"/>
        </w:rPr>
      </w:pPr>
      <w:r w:rsidRPr="00444E7E">
        <w:rPr>
          <w:rFonts w:ascii="Arial" w:hAnsi="Arial" w:cs="Arial"/>
          <w:b/>
          <w:bCs/>
          <w:sz w:val="24"/>
          <w:szCs w:val="24"/>
        </w:rPr>
        <w:t>Resultados del modelo base y justificación del enfoque espacial</w:t>
      </w:r>
    </w:p>
    <w:p w14:paraId="6B2784B5"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Los modelos de regresión lineal (OLS) estimados para cada ciudad evidencian un alto nivel de ajuste, con coeficientes de determinación superiores al 0.91 en todos los casos. Esto confirma que las variables construidas a partir del censo capturan adecuadamente la variabilidad del índice multidimensional.</w:t>
      </w:r>
    </w:p>
    <w:p w14:paraId="661B032C"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No obstante, el análisis de autocorrelación espacial de los residuos mediante el estadístico de Moran revela la presencia de dependencia espacial significativa en las tres ciudades analizadas. Este resultado implica que los residuos no son independientes, sino que presentan patrones de agrupamiento territorial, lo cual contradice los supuestos del modelo OLS.</w:t>
      </w:r>
    </w:p>
    <w:p w14:paraId="35558CB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consecuencia, la incorporación del modelo SAR se justifica como una extensión necesaria del análisis, permitiendo capturar la influencia que ejercen las unidades espaciales vecinas sobre los niveles de pobreza.</w:t>
      </w:r>
    </w:p>
    <w:p w14:paraId="6C571129" w14:textId="76A778DF" w:rsidR="006C2945" w:rsidRPr="00444E7E" w:rsidRDefault="006C2945" w:rsidP="00A67CFF">
      <w:pPr>
        <w:rPr>
          <w:rFonts w:ascii="Arial" w:hAnsi="Arial" w:cs="Arial"/>
          <w:b/>
          <w:bCs/>
          <w:i/>
          <w:iCs/>
          <w:sz w:val="24"/>
          <w:szCs w:val="24"/>
        </w:rPr>
      </w:pPr>
      <w:r w:rsidRPr="00444E7E">
        <w:rPr>
          <w:rFonts w:ascii="Arial" w:hAnsi="Arial" w:cs="Arial"/>
          <w:noProof/>
          <w:sz w:val="24"/>
          <w:szCs w:val="24"/>
        </w:rPr>
        <w:lastRenderedPageBreak/>
        <w:drawing>
          <wp:inline distT="0" distB="0" distL="0" distR="0" wp14:anchorId="69934E5B" wp14:editId="2ECB79A3">
            <wp:extent cx="5486400" cy="5486400"/>
            <wp:effectExtent l="0" t="0" r="0" b="0"/>
            <wp:docPr id="19975243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31318606" w14:textId="6C55A05B" w:rsidR="006C2945" w:rsidRPr="00444E7E" w:rsidRDefault="006C2945" w:rsidP="00A67CFF">
      <w:pPr>
        <w:rPr>
          <w:rFonts w:ascii="Arial" w:hAnsi="Arial" w:cs="Arial"/>
          <w:b/>
          <w:bCs/>
          <w:i/>
          <w:iCs/>
          <w:sz w:val="24"/>
          <w:szCs w:val="24"/>
        </w:rPr>
      </w:pPr>
      <w:r w:rsidRPr="00444E7E">
        <w:rPr>
          <w:rFonts w:ascii="Arial" w:hAnsi="Arial" w:cs="Arial"/>
          <w:noProof/>
          <w:sz w:val="24"/>
          <w:szCs w:val="24"/>
        </w:rPr>
        <w:lastRenderedPageBreak/>
        <w:drawing>
          <wp:inline distT="0" distB="0" distL="0" distR="0" wp14:anchorId="7D2AB2AD" wp14:editId="225EED8A">
            <wp:extent cx="5486400" cy="5486400"/>
            <wp:effectExtent l="0" t="0" r="0" b="0"/>
            <wp:docPr id="2642274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E1175EF" w14:textId="78050F61" w:rsidR="006C2945" w:rsidRPr="00444E7E" w:rsidRDefault="006C2945" w:rsidP="00A67CFF">
      <w:pPr>
        <w:rPr>
          <w:rFonts w:ascii="Arial" w:hAnsi="Arial" w:cs="Arial"/>
          <w:b/>
          <w:bCs/>
          <w:i/>
          <w:iCs/>
          <w:sz w:val="24"/>
          <w:szCs w:val="24"/>
        </w:rPr>
      </w:pPr>
      <w:r w:rsidRPr="00444E7E">
        <w:rPr>
          <w:rFonts w:ascii="Arial" w:hAnsi="Arial" w:cs="Arial"/>
          <w:noProof/>
          <w:sz w:val="24"/>
          <w:szCs w:val="24"/>
        </w:rPr>
        <w:lastRenderedPageBreak/>
        <w:drawing>
          <wp:inline distT="0" distB="0" distL="0" distR="0" wp14:anchorId="13A8059D" wp14:editId="11B9DCF9">
            <wp:extent cx="5486400" cy="5486400"/>
            <wp:effectExtent l="0" t="0" r="0" b="0"/>
            <wp:docPr id="12874539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6BB43DA" w14:textId="292E3294" w:rsidR="00A67CFF" w:rsidRPr="00444E7E" w:rsidRDefault="00193D5E" w:rsidP="00A67CFF">
      <w:pPr>
        <w:rPr>
          <w:rFonts w:ascii="Arial" w:hAnsi="Arial" w:cs="Arial"/>
          <w:sz w:val="24"/>
          <w:szCs w:val="24"/>
        </w:rPr>
      </w:pPr>
      <w:r w:rsidRPr="00444E7E">
        <w:rPr>
          <w:rFonts w:ascii="Arial" w:hAnsi="Arial" w:cs="Arial"/>
          <w:sz w:val="24"/>
          <w:szCs w:val="24"/>
        </w:rPr>
        <w:t>Con el fin de sintetizar los resultados obtenidos, la Tabla X presenta los principales indicadores de ajuste y dependencia espacial para las tres ciudades analizadas.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801"/>
        <w:gridCol w:w="874"/>
        <w:gridCol w:w="921"/>
        <w:gridCol w:w="899"/>
        <w:gridCol w:w="1229"/>
        <w:gridCol w:w="1044"/>
        <w:gridCol w:w="1071"/>
      </w:tblGrid>
      <w:tr w:rsidR="00193D5E" w:rsidRPr="00444E7E" w14:paraId="5E1947FC" w14:textId="77777777" w:rsidTr="007614A1">
        <w:trPr>
          <w:tblHeader/>
          <w:tblCellSpacing w:w="15" w:type="dxa"/>
        </w:trPr>
        <w:tc>
          <w:tcPr>
            <w:tcW w:w="0" w:type="auto"/>
            <w:vAlign w:val="center"/>
            <w:hideMark/>
          </w:tcPr>
          <w:p w14:paraId="4BF8A5CE"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Ciudad</w:t>
            </w:r>
          </w:p>
        </w:tc>
        <w:tc>
          <w:tcPr>
            <w:tcW w:w="0" w:type="auto"/>
            <w:vAlign w:val="center"/>
            <w:hideMark/>
          </w:tcPr>
          <w:p w14:paraId="1CFDB8F6"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Observaciones</w:t>
            </w:r>
          </w:p>
        </w:tc>
        <w:tc>
          <w:tcPr>
            <w:tcW w:w="0" w:type="auto"/>
            <w:vAlign w:val="center"/>
            <w:hideMark/>
          </w:tcPr>
          <w:p w14:paraId="4CAD8923"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R² OLS</w:t>
            </w:r>
          </w:p>
        </w:tc>
        <w:tc>
          <w:tcPr>
            <w:tcW w:w="0" w:type="auto"/>
            <w:vAlign w:val="center"/>
            <w:hideMark/>
          </w:tcPr>
          <w:p w14:paraId="3872E067"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Moran I</w:t>
            </w:r>
          </w:p>
        </w:tc>
        <w:tc>
          <w:tcPr>
            <w:tcW w:w="0" w:type="auto"/>
            <w:vAlign w:val="center"/>
            <w:hideMark/>
          </w:tcPr>
          <w:p w14:paraId="2A179D58"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p-value</w:t>
            </w:r>
          </w:p>
        </w:tc>
        <w:tc>
          <w:tcPr>
            <w:tcW w:w="0" w:type="auto"/>
            <w:vAlign w:val="center"/>
            <w:hideMark/>
          </w:tcPr>
          <w:p w14:paraId="66FC0F36"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Rho (SAR)</w:t>
            </w:r>
          </w:p>
        </w:tc>
        <w:tc>
          <w:tcPr>
            <w:tcW w:w="0" w:type="auto"/>
            <w:vAlign w:val="center"/>
            <w:hideMark/>
          </w:tcPr>
          <w:p w14:paraId="6EE06713"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AIC OLS</w:t>
            </w:r>
          </w:p>
        </w:tc>
        <w:tc>
          <w:tcPr>
            <w:tcW w:w="0" w:type="auto"/>
            <w:vAlign w:val="center"/>
            <w:hideMark/>
          </w:tcPr>
          <w:p w14:paraId="31DF49A7" w14:textId="77777777" w:rsidR="00193D5E" w:rsidRPr="00444E7E" w:rsidRDefault="00193D5E" w:rsidP="00193D5E">
            <w:pPr>
              <w:rPr>
                <w:rFonts w:ascii="Arial" w:hAnsi="Arial" w:cs="Arial"/>
                <w:b/>
                <w:bCs/>
                <w:sz w:val="24"/>
                <w:szCs w:val="24"/>
              </w:rPr>
            </w:pPr>
            <w:r w:rsidRPr="00444E7E">
              <w:rPr>
                <w:rFonts w:ascii="Arial" w:hAnsi="Arial" w:cs="Arial"/>
                <w:b/>
                <w:bCs/>
                <w:sz w:val="24"/>
                <w:szCs w:val="24"/>
              </w:rPr>
              <w:t>AIC SAR</w:t>
            </w:r>
          </w:p>
        </w:tc>
      </w:tr>
      <w:tr w:rsidR="00193D5E" w:rsidRPr="00444E7E" w14:paraId="749761EA" w14:textId="77777777" w:rsidTr="007614A1">
        <w:trPr>
          <w:tblCellSpacing w:w="15" w:type="dxa"/>
        </w:trPr>
        <w:tc>
          <w:tcPr>
            <w:tcW w:w="0" w:type="auto"/>
            <w:vAlign w:val="center"/>
            <w:hideMark/>
          </w:tcPr>
          <w:p w14:paraId="0AEB70DB"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Armenia</w:t>
            </w:r>
          </w:p>
        </w:tc>
        <w:tc>
          <w:tcPr>
            <w:tcW w:w="0" w:type="auto"/>
            <w:vAlign w:val="center"/>
            <w:hideMark/>
          </w:tcPr>
          <w:p w14:paraId="0555410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661</w:t>
            </w:r>
          </w:p>
        </w:tc>
        <w:tc>
          <w:tcPr>
            <w:tcW w:w="0" w:type="auto"/>
            <w:vAlign w:val="center"/>
            <w:hideMark/>
          </w:tcPr>
          <w:p w14:paraId="32AC5740"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0.928</w:t>
            </w:r>
          </w:p>
        </w:tc>
        <w:tc>
          <w:tcPr>
            <w:tcW w:w="0" w:type="auto"/>
            <w:vAlign w:val="center"/>
            <w:hideMark/>
          </w:tcPr>
          <w:p w14:paraId="189C0473"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0.132</w:t>
            </w:r>
          </w:p>
        </w:tc>
        <w:tc>
          <w:tcPr>
            <w:tcW w:w="0" w:type="auto"/>
            <w:vAlign w:val="center"/>
            <w:hideMark/>
          </w:tcPr>
          <w:p w14:paraId="34636D38"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0.001</w:t>
            </w:r>
          </w:p>
        </w:tc>
        <w:tc>
          <w:tcPr>
            <w:tcW w:w="0" w:type="auto"/>
            <w:vAlign w:val="center"/>
            <w:hideMark/>
          </w:tcPr>
          <w:p w14:paraId="6561D515"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0.031</w:t>
            </w:r>
          </w:p>
        </w:tc>
        <w:tc>
          <w:tcPr>
            <w:tcW w:w="0" w:type="auto"/>
            <w:vAlign w:val="center"/>
            <w:hideMark/>
          </w:tcPr>
          <w:p w14:paraId="75387B5D"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-3343.69</w:t>
            </w:r>
          </w:p>
        </w:tc>
        <w:tc>
          <w:tcPr>
            <w:tcW w:w="0" w:type="auto"/>
            <w:vAlign w:val="center"/>
            <w:hideMark/>
          </w:tcPr>
          <w:p w14:paraId="12E19ED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-3349.09</w:t>
            </w:r>
          </w:p>
        </w:tc>
      </w:tr>
      <w:tr w:rsidR="00193D5E" w:rsidRPr="00444E7E" w14:paraId="56DC6218" w14:textId="77777777" w:rsidTr="007614A1">
        <w:trPr>
          <w:tblCellSpacing w:w="15" w:type="dxa"/>
        </w:trPr>
        <w:tc>
          <w:tcPr>
            <w:tcW w:w="0" w:type="auto"/>
            <w:vAlign w:val="center"/>
            <w:hideMark/>
          </w:tcPr>
          <w:p w14:paraId="6E94369B"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Pereira</w:t>
            </w:r>
          </w:p>
        </w:tc>
        <w:tc>
          <w:tcPr>
            <w:tcW w:w="0" w:type="auto"/>
            <w:vAlign w:val="center"/>
            <w:hideMark/>
          </w:tcPr>
          <w:p w14:paraId="46FFC80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376</w:t>
            </w:r>
          </w:p>
        </w:tc>
        <w:tc>
          <w:tcPr>
            <w:tcW w:w="0" w:type="auto"/>
            <w:vAlign w:val="center"/>
            <w:hideMark/>
          </w:tcPr>
          <w:p w14:paraId="5DA987C9"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0.915</w:t>
            </w:r>
          </w:p>
        </w:tc>
        <w:tc>
          <w:tcPr>
            <w:tcW w:w="0" w:type="auto"/>
            <w:vAlign w:val="center"/>
            <w:hideMark/>
          </w:tcPr>
          <w:p w14:paraId="4BCB22A7"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0.181</w:t>
            </w:r>
          </w:p>
        </w:tc>
        <w:tc>
          <w:tcPr>
            <w:tcW w:w="0" w:type="auto"/>
            <w:vAlign w:val="center"/>
            <w:hideMark/>
          </w:tcPr>
          <w:p w14:paraId="4AFD4B71"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0.002</w:t>
            </w:r>
          </w:p>
        </w:tc>
        <w:tc>
          <w:tcPr>
            <w:tcW w:w="0" w:type="auto"/>
            <w:vAlign w:val="center"/>
            <w:hideMark/>
          </w:tcPr>
          <w:p w14:paraId="724401AB"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0.033</w:t>
            </w:r>
          </w:p>
        </w:tc>
        <w:tc>
          <w:tcPr>
            <w:tcW w:w="0" w:type="auto"/>
            <w:vAlign w:val="center"/>
            <w:hideMark/>
          </w:tcPr>
          <w:p w14:paraId="3600F23C"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-1814.58</w:t>
            </w:r>
          </w:p>
        </w:tc>
        <w:tc>
          <w:tcPr>
            <w:tcW w:w="0" w:type="auto"/>
            <w:vAlign w:val="center"/>
            <w:hideMark/>
          </w:tcPr>
          <w:p w14:paraId="5D59BE0A"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-1816.65</w:t>
            </w:r>
          </w:p>
        </w:tc>
      </w:tr>
      <w:tr w:rsidR="00193D5E" w:rsidRPr="00444E7E" w14:paraId="71ECEDA5" w14:textId="77777777" w:rsidTr="007614A1">
        <w:trPr>
          <w:tblCellSpacing w:w="15" w:type="dxa"/>
        </w:trPr>
        <w:tc>
          <w:tcPr>
            <w:tcW w:w="0" w:type="auto"/>
            <w:vAlign w:val="center"/>
            <w:hideMark/>
          </w:tcPr>
          <w:p w14:paraId="5FAC121A"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Cali</w:t>
            </w:r>
          </w:p>
        </w:tc>
        <w:tc>
          <w:tcPr>
            <w:tcW w:w="0" w:type="auto"/>
            <w:vAlign w:val="center"/>
            <w:hideMark/>
          </w:tcPr>
          <w:p w14:paraId="673F520D"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389</w:t>
            </w:r>
          </w:p>
        </w:tc>
        <w:tc>
          <w:tcPr>
            <w:tcW w:w="0" w:type="auto"/>
            <w:vAlign w:val="center"/>
            <w:hideMark/>
          </w:tcPr>
          <w:p w14:paraId="033B9810"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0.929</w:t>
            </w:r>
          </w:p>
        </w:tc>
        <w:tc>
          <w:tcPr>
            <w:tcW w:w="0" w:type="auto"/>
            <w:vAlign w:val="center"/>
            <w:hideMark/>
          </w:tcPr>
          <w:p w14:paraId="20456166"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0.142</w:t>
            </w:r>
          </w:p>
        </w:tc>
        <w:tc>
          <w:tcPr>
            <w:tcW w:w="0" w:type="auto"/>
            <w:vAlign w:val="center"/>
            <w:hideMark/>
          </w:tcPr>
          <w:p w14:paraId="20B659C1"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0.009</w:t>
            </w:r>
          </w:p>
        </w:tc>
        <w:tc>
          <w:tcPr>
            <w:tcW w:w="0" w:type="auto"/>
            <w:vAlign w:val="center"/>
            <w:hideMark/>
          </w:tcPr>
          <w:p w14:paraId="0E9E0779"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0.046</w:t>
            </w:r>
          </w:p>
        </w:tc>
        <w:tc>
          <w:tcPr>
            <w:tcW w:w="0" w:type="auto"/>
            <w:vAlign w:val="center"/>
            <w:hideMark/>
          </w:tcPr>
          <w:p w14:paraId="5F9175F0"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-1936.06</w:t>
            </w:r>
          </w:p>
        </w:tc>
        <w:tc>
          <w:tcPr>
            <w:tcW w:w="0" w:type="auto"/>
            <w:vAlign w:val="center"/>
            <w:hideMark/>
          </w:tcPr>
          <w:p w14:paraId="6A664EE1" w14:textId="77777777" w:rsidR="00193D5E" w:rsidRPr="00444E7E" w:rsidRDefault="00193D5E" w:rsidP="00193D5E">
            <w:pPr>
              <w:jc w:val="both"/>
              <w:rPr>
                <w:rFonts w:ascii="Arial" w:hAnsi="Arial" w:cs="Arial"/>
                <w:sz w:val="24"/>
                <w:szCs w:val="24"/>
              </w:rPr>
            </w:pPr>
            <w:r w:rsidRPr="00444E7E">
              <w:rPr>
                <w:rFonts w:ascii="Arial" w:hAnsi="Arial" w:cs="Arial"/>
                <w:sz w:val="24"/>
                <w:szCs w:val="24"/>
              </w:rPr>
              <w:t>-1938.80</w:t>
            </w:r>
          </w:p>
        </w:tc>
      </w:tr>
    </w:tbl>
    <w:p w14:paraId="6560FDE3" w14:textId="77777777" w:rsidR="00D22600" w:rsidRPr="00444E7E" w:rsidRDefault="00D22600" w:rsidP="00D22600">
      <w:pPr>
        <w:jc w:val="both"/>
        <w:rPr>
          <w:rFonts w:ascii="Arial" w:hAnsi="Arial" w:cs="Arial"/>
          <w:sz w:val="24"/>
          <w:szCs w:val="24"/>
        </w:rPr>
      </w:pPr>
      <w:r w:rsidRPr="00444E7E">
        <w:rPr>
          <w:rFonts w:ascii="Arial" w:hAnsi="Arial" w:cs="Arial"/>
          <w:sz w:val="24"/>
          <w:szCs w:val="24"/>
        </w:rPr>
        <w:t xml:space="preserve">Los resultados evidencian tres hallazgos clave. En primer lugar, los modelos OLS presentan un alto nivel de ajuste en todas las ciudades, lo que confirma la capacidad explicativa de las variables seleccionadas. En segundo lugar, los valores del </w:t>
      </w:r>
      <w:r w:rsidRPr="00444E7E">
        <w:rPr>
          <w:rFonts w:ascii="Arial" w:hAnsi="Arial" w:cs="Arial"/>
          <w:sz w:val="24"/>
          <w:szCs w:val="24"/>
        </w:rPr>
        <w:lastRenderedPageBreak/>
        <w:t>estadístico de Moran, junto con sus niveles de significancia, confirman la existencia de autocorrelación espacial en los residuos, lo que justifica la necesidad de modelos espaciales.</w:t>
      </w:r>
    </w:p>
    <w:p w14:paraId="54F8D670" w14:textId="77777777" w:rsidR="00D22600" w:rsidRPr="00444E7E" w:rsidRDefault="00D22600" w:rsidP="00D22600">
      <w:pPr>
        <w:jc w:val="both"/>
        <w:rPr>
          <w:rFonts w:ascii="Arial" w:hAnsi="Arial" w:cs="Arial"/>
          <w:sz w:val="24"/>
          <w:szCs w:val="24"/>
        </w:rPr>
      </w:pPr>
      <w:r w:rsidRPr="00444E7E">
        <w:rPr>
          <w:rFonts w:ascii="Arial" w:hAnsi="Arial" w:cs="Arial"/>
          <w:sz w:val="24"/>
          <w:szCs w:val="24"/>
        </w:rPr>
        <w:t>Finalmente, la comparación del criterio AIC muestra que el modelo SAR mejora sistemáticamente el ajuste en las tres ciudades, lo que valida la incorporación del componente espacial en el análisis.</w:t>
      </w:r>
    </w:p>
    <w:p w14:paraId="61BE7C1E" w14:textId="77777777" w:rsidR="00193D5E" w:rsidRPr="00444E7E" w:rsidRDefault="00193D5E" w:rsidP="00A67CFF">
      <w:pPr>
        <w:rPr>
          <w:rFonts w:ascii="Arial" w:hAnsi="Arial" w:cs="Arial"/>
          <w:b/>
          <w:bCs/>
          <w:sz w:val="24"/>
          <w:szCs w:val="24"/>
        </w:rPr>
      </w:pPr>
    </w:p>
    <w:p w14:paraId="09270A45" w14:textId="7F8C0720" w:rsidR="00A67CFF" w:rsidRPr="00444E7E" w:rsidRDefault="00A67CFF" w:rsidP="00A67CFF">
      <w:pPr>
        <w:rPr>
          <w:rFonts w:ascii="Arial" w:hAnsi="Arial" w:cs="Arial"/>
          <w:b/>
          <w:bCs/>
          <w:sz w:val="24"/>
          <w:szCs w:val="24"/>
        </w:rPr>
      </w:pPr>
      <w:r w:rsidRPr="00444E7E">
        <w:rPr>
          <w:rFonts w:ascii="Arial" w:hAnsi="Arial" w:cs="Arial"/>
          <w:b/>
          <w:bCs/>
          <w:sz w:val="24"/>
          <w:szCs w:val="24"/>
        </w:rPr>
        <w:t>Resultados del modelo SAR</w:t>
      </w:r>
    </w:p>
    <w:p w14:paraId="39C1A726"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 xml:space="preserve">La estimación de los modelos SAR evidencia la existencia de dependencia espacial positiva en las tres ciudades, representada por el parámetro ρ (rho). En Cali, este parámetro alcanza un valor de aproximadamente 0.045, indicando que los niveles de pobreza en una manzana están influenciados por los niveles observados en sus áreas vecinas. </w:t>
      </w:r>
    </w:p>
    <w:p w14:paraId="55362B7A"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De manera similar, en Pereira y Armenia se observan valores positivos de rho, aunque de menor magnitud, lo que sugiere una dependencia espacial moderada pero consistente.</w:t>
      </w:r>
    </w:p>
    <w:p w14:paraId="1A2EDCE3"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Adicionalmente, se observa una mejora en el ajuste del modelo al comparar el criterio de información de Akaike (AIC) entre los modelos OLS y SAR. En todos los casos, el modelo SAR presenta un menor AIC, lo que confirma que la inclusión del componente espacial permite una mejor representación de la realidad.</w:t>
      </w:r>
    </w:p>
    <w:p w14:paraId="12DCA3B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Estos resultados indican que la pobreza multidimensional no se distribuye de manera aleatoria en el territorio, sino que presenta una estructura espacial definida.</w:t>
      </w:r>
    </w:p>
    <w:p w14:paraId="3581869D" w14:textId="662E07D4" w:rsidR="00A67CFF" w:rsidRPr="00444E7E" w:rsidRDefault="00D22600" w:rsidP="00D22600">
      <w:pPr>
        <w:jc w:val="both"/>
        <w:rPr>
          <w:rFonts w:ascii="Arial" w:hAnsi="Arial" w:cs="Arial"/>
          <w:sz w:val="24"/>
          <w:szCs w:val="24"/>
        </w:rPr>
      </w:pPr>
      <w:r w:rsidRPr="00444E7E">
        <w:rPr>
          <w:rFonts w:ascii="Arial" w:hAnsi="Arial" w:cs="Arial"/>
          <w:sz w:val="24"/>
          <w:szCs w:val="24"/>
        </w:rPr>
        <w:t>Además, se observa que la magnitud del parámetro ρ varía entre ciudades, siendo Cali la que presenta el mayor valor (0.046), seguida de Pereira (0.033) y Armenia (0.031). Esto sugiere que la dependencia espacial es más fuerte en Cali, lo que podría estar asociado a una mayor segregación o concentración territorial de la pobreza en esta ciudad.</w:t>
      </w:r>
    </w:p>
    <w:p w14:paraId="4515F46D" w14:textId="78C37002" w:rsidR="00A67CFF" w:rsidRPr="00444E7E" w:rsidRDefault="00A67CFF" w:rsidP="00A67CFF">
      <w:pPr>
        <w:rPr>
          <w:rFonts w:ascii="Arial" w:hAnsi="Arial" w:cs="Arial"/>
          <w:b/>
          <w:bCs/>
          <w:sz w:val="24"/>
          <w:szCs w:val="24"/>
        </w:rPr>
      </w:pPr>
      <w:r w:rsidRPr="00444E7E">
        <w:rPr>
          <w:rFonts w:ascii="Arial" w:hAnsi="Arial" w:cs="Arial"/>
          <w:b/>
          <w:bCs/>
          <w:sz w:val="24"/>
          <w:szCs w:val="24"/>
        </w:rPr>
        <w:t>Interpretación de los determinantes de la pobreza</w:t>
      </w:r>
    </w:p>
    <w:p w14:paraId="764EC6B2"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Los coeficientes estimados en los modelos SAR presentan una alta coherencia con los resultados obtenidos previamente en el análisis comparativo con el IPM y la GEIH.</w:t>
      </w:r>
    </w:p>
    <w:p w14:paraId="4729975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 xml:space="preserve">En particular, el estrato socioeconómico muestra un efecto negativo consistente sobre la pobreza multidimensional, lo que confirma que mayores niveles de ingreso y condiciones materiales están asociados con menores niveles de privación. </w:t>
      </w:r>
    </w:p>
    <w:p w14:paraId="219FEE67"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 xml:space="preserve">Por otro lado, el hacinamiento (personas por dormitorio) presenta un efecto positivo, indicando que las condiciones de densidad habitacional constituyen un factor clave en la explicación de la pobreza. Este resultado es coherente con los hallazgos </w:t>
      </w:r>
      <w:r w:rsidRPr="00444E7E">
        <w:rPr>
          <w:rFonts w:ascii="Arial" w:hAnsi="Arial" w:cs="Arial"/>
          <w:sz w:val="24"/>
          <w:szCs w:val="24"/>
        </w:rPr>
        <w:lastRenderedPageBreak/>
        <w:t>obtenidos en la dimensión habitacional del IPM, donde se identificó una adecuada representación de las condiciones físicas de la vivienda.</w:t>
      </w:r>
    </w:p>
    <w:p w14:paraId="0F899A52"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Asimismo, las variables relacionadas con el acceso a servicios básicos (acueducto, alcantarillado, gas e internet) presentan coeficientes negativos, lo que refuerza la consistencia observada previamente en la dimensión de servicios, donde se identificó una alta correspondencia entre el clustering y el IPM.</w:t>
      </w:r>
    </w:p>
    <w:p w14:paraId="59D38599" w14:textId="3CCD4B6A" w:rsidR="00A67CFF" w:rsidRPr="00444E7E" w:rsidRDefault="006C2945" w:rsidP="00A67CFF">
      <w:pPr>
        <w:rPr>
          <w:rFonts w:ascii="Arial" w:hAnsi="Arial" w:cs="Arial"/>
          <w:b/>
          <w:bCs/>
          <w:sz w:val="24"/>
          <w:szCs w:val="24"/>
        </w:rPr>
      </w:pPr>
      <w:r w:rsidRPr="00444E7E">
        <w:rPr>
          <w:rFonts w:ascii="Arial" w:hAnsi="Arial" w:cs="Arial"/>
          <w:noProof/>
          <w:sz w:val="24"/>
          <w:szCs w:val="24"/>
        </w:rPr>
        <w:drawing>
          <wp:inline distT="0" distB="0" distL="0" distR="0" wp14:anchorId="58ECBCAD" wp14:editId="75E5F376">
            <wp:extent cx="5612130" cy="3507740"/>
            <wp:effectExtent l="0" t="0" r="7620" b="0"/>
            <wp:docPr id="213471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507740"/>
                    </a:xfrm>
                    <a:prstGeom prst="rect">
                      <a:avLst/>
                    </a:prstGeom>
                    <a:noFill/>
                    <a:ln>
                      <a:noFill/>
                    </a:ln>
                  </pic:spPr>
                </pic:pic>
              </a:graphicData>
            </a:graphic>
          </wp:inline>
        </w:drawing>
      </w:r>
    </w:p>
    <w:p w14:paraId="6C803BF7" w14:textId="6B9C9F13" w:rsidR="006C2945" w:rsidRPr="00444E7E" w:rsidRDefault="006C2945" w:rsidP="00A67CFF">
      <w:pPr>
        <w:rPr>
          <w:rFonts w:ascii="Arial" w:hAnsi="Arial" w:cs="Arial"/>
          <w:b/>
          <w:bCs/>
          <w:sz w:val="24"/>
          <w:szCs w:val="24"/>
        </w:rPr>
      </w:pPr>
      <w:r w:rsidRPr="00444E7E">
        <w:rPr>
          <w:rFonts w:ascii="Arial" w:hAnsi="Arial" w:cs="Arial"/>
          <w:noProof/>
          <w:sz w:val="24"/>
          <w:szCs w:val="24"/>
        </w:rPr>
        <w:lastRenderedPageBreak/>
        <w:drawing>
          <wp:inline distT="0" distB="0" distL="0" distR="0" wp14:anchorId="281061C4" wp14:editId="377DF327">
            <wp:extent cx="5612130" cy="3507740"/>
            <wp:effectExtent l="0" t="0" r="7620" b="0"/>
            <wp:docPr id="992159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507740"/>
                    </a:xfrm>
                    <a:prstGeom prst="rect">
                      <a:avLst/>
                    </a:prstGeom>
                    <a:noFill/>
                    <a:ln>
                      <a:noFill/>
                    </a:ln>
                  </pic:spPr>
                </pic:pic>
              </a:graphicData>
            </a:graphic>
          </wp:inline>
        </w:drawing>
      </w:r>
    </w:p>
    <w:p w14:paraId="2F1901A0" w14:textId="3C729613" w:rsidR="006C2945" w:rsidRPr="00444E7E" w:rsidRDefault="006C2945" w:rsidP="00A67CFF">
      <w:pPr>
        <w:rPr>
          <w:rFonts w:ascii="Arial" w:hAnsi="Arial" w:cs="Arial"/>
          <w:b/>
          <w:bCs/>
          <w:sz w:val="24"/>
          <w:szCs w:val="24"/>
        </w:rPr>
      </w:pPr>
      <w:r w:rsidRPr="00444E7E">
        <w:rPr>
          <w:rFonts w:ascii="Arial" w:hAnsi="Arial" w:cs="Arial"/>
          <w:noProof/>
          <w:sz w:val="24"/>
          <w:szCs w:val="24"/>
        </w:rPr>
        <w:drawing>
          <wp:inline distT="0" distB="0" distL="0" distR="0" wp14:anchorId="2B80A2F8" wp14:editId="59233A3C">
            <wp:extent cx="5612130" cy="3507740"/>
            <wp:effectExtent l="0" t="0" r="7620" b="0"/>
            <wp:docPr id="13249668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5077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021"/>
        <w:gridCol w:w="874"/>
        <w:gridCol w:w="889"/>
      </w:tblGrid>
      <w:tr w:rsidR="00673816" w:rsidRPr="00444E7E" w14:paraId="4F82817C" w14:textId="77777777">
        <w:trPr>
          <w:tblHeader/>
          <w:tblCellSpacing w:w="15" w:type="dxa"/>
        </w:trPr>
        <w:tc>
          <w:tcPr>
            <w:tcW w:w="0" w:type="auto"/>
            <w:vAlign w:val="center"/>
            <w:hideMark/>
          </w:tcPr>
          <w:p w14:paraId="45B3BE5C"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Variable</w:t>
            </w:r>
          </w:p>
        </w:tc>
        <w:tc>
          <w:tcPr>
            <w:tcW w:w="0" w:type="auto"/>
            <w:vAlign w:val="center"/>
            <w:hideMark/>
          </w:tcPr>
          <w:p w14:paraId="1B9AA332"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Armenia</w:t>
            </w:r>
          </w:p>
        </w:tc>
        <w:tc>
          <w:tcPr>
            <w:tcW w:w="0" w:type="auto"/>
            <w:vAlign w:val="center"/>
            <w:hideMark/>
          </w:tcPr>
          <w:p w14:paraId="16736B7D"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Pereira</w:t>
            </w:r>
          </w:p>
        </w:tc>
        <w:tc>
          <w:tcPr>
            <w:tcW w:w="0" w:type="auto"/>
            <w:vAlign w:val="center"/>
            <w:hideMark/>
          </w:tcPr>
          <w:p w14:paraId="64EF6855" w14:textId="77777777" w:rsidR="00673816" w:rsidRPr="00444E7E" w:rsidRDefault="00673816" w:rsidP="00673816">
            <w:pPr>
              <w:rPr>
                <w:rFonts w:ascii="Arial" w:hAnsi="Arial" w:cs="Arial"/>
                <w:b/>
                <w:bCs/>
                <w:sz w:val="24"/>
                <w:szCs w:val="24"/>
              </w:rPr>
            </w:pPr>
            <w:r w:rsidRPr="00444E7E">
              <w:rPr>
                <w:rFonts w:ascii="Arial" w:hAnsi="Arial" w:cs="Arial"/>
                <w:b/>
                <w:bCs/>
                <w:sz w:val="24"/>
                <w:szCs w:val="24"/>
              </w:rPr>
              <w:t>Cali</w:t>
            </w:r>
          </w:p>
        </w:tc>
      </w:tr>
      <w:tr w:rsidR="00673816" w:rsidRPr="00444E7E" w14:paraId="090609F1" w14:textId="77777777">
        <w:trPr>
          <w:tblCellSpacing w:w="15" w:type="dxa"/>
        </w:trPr>
        <w:tc>
          <w:tcPr>
            <w:tcW w:w="0" w:type="auto"/>
            <w:vAlign w:val="center"/>
            <w:hideMark/>
          </w:tcPr>
          <w:p w14:paraId="5CAE4E82" w14:textId="77777777" w:rsidR="00673816" w:rsidRPr="00444E7E" w:rsidRDefault="00673816" w:rsidP="00673816">
            <w:pPr>
              <w:rPr>
                <w:rFonts w:ascii="Arial" w:hAnsi="Arial" w:cs="Arial"/>
                <w:sz w:val="24"/>
                <w:szCs w:val="24"/>
              </w:rPr>
            </w:pPr>
            <w:r w:rsidRPr="00444E7E">
              <w:rPr>
                <w:rFonts w:ascii="Arial" w:hAnsi="Arial" w:cs="Arial"/>
                <w:sz w:val="24"/>
                <w:szCs w:val="24"/>
              </w:rPr>
              <w:t>Estrato</w:t>
            </w:r>
          </w:p>
        </w:tc>
        <w:tc>
          <w:tcPr>
            <w:tcW w:w="0" w:type="auto"/>
            <w:vAlign w:val="center"/>
            <w:hideMark/>
          </w:tcPr>
          <w:p w14:paraId="2606B09D" w14:textId="77777777" w:rsidR="00673816" w:rsidRPr="00444E7E" w:rsidRDefault="00673816" w:rsidP="00673816">
            <w:pPr>
              <w:rPr>
                <w:rFonts w:ascii="Arial" w:hAnsi="Arial" w:cs="Arial"/>
                <w:sz w:val="24"/>
                <w:szCs w:val="24"/>
              </w:rPr>
            </w:pPr>
            <w:r w:rsidRPr="00444E7E">
              <w:rPr>
                <w:rFonts w:ascii="Arial" w:hAnsi="Arial" w:cs="Arial"/>
                <w:sz w:val="24"/>
                <w:szCs w:val="24"/>
              </w:rPr>
              <w:t>-0.0130</w:t>
            </w:r>
          </w:p>
        </w:tc>
        <w:tc>
          <w:tcPr>
            <w:tcW w:w="0" w:type="auto"/>
            <w:vAlign w:val="center"/>
            <w:hideMark/>
          </w:tcPr>
          <w:p w14:paraId="69B23346" w14:textId="77777777" w:rsidR="00673816" w:rsidRPr="00444E7E" w:rsidRDefault="00673816" w:rsidP="00673816">
            <w:pPr>
              <w:rPr>
                <w:rFonts w:ascii="Arial" w:hAnsi="Arial" w:cs="Arial"/>
                <w:sz w:val="24"/>
                <w:szCs w:val="24"/>
              </w:rPr>
            </w:pPr>
            <w:r w:rsidRPr="00444E7E">
              <w:rPr>
                <w:rFonts w:ascii="Arial" w:hAnsi="Arial" w:cs="Arial"/>
                <w:sz w:val="24"/>
                <w:szCs w:val="24"/>
              </w:rPr>
              <w:t>-0.0101</w:t>
            </w:r>
          </w:p>
        </w:tc>
        <w:tc>
          <w:tcPr>
            <w:tcW w:w="0" w:type="auto"/>
            <w:vAlign w:val="center"/>
            <w:hideMark/>
          </w:tcPr>
          <w:p w14:paraId="74660621" w14:textId="77777777" w:rsidR="00673816" w:rsidRPr="00444E7E" w:rsidRDefault="00673816" w:rsidP="00673816">
            <w:pPr>
              <w:rPr>
                <w:rFonts w:ascii="Arial" w:hAnsi="Arial" w:cs="Arial"/>
                <w:sz w:val="24"/>
                <w:szCs w:val="24"/>
              </w:rPr>
            </w:pPr>
            <w:r w:rsidRPr="00444E7E">
              <w:rPr>
                <w:rFonts w:ascii="Arial" w:hAnsi="Arial" w:cs="Arial"/>
                <w:sz w:val="24"/>
                <w:szCs w:val="24"/>
              </w:rPr>
              <w:t>-0.0089</w:t>
            </w:r>
          </w:p>
        </w:tc>
      </w:tr>
      <w:tr w:rsidR="00673816" w:rsidRPr="00444E7E" w14:paraId="189AADC4" w14:textId="77777777">
        <w:trPr>
          <w:tblCellSpacing w:w="15" w:type="dxa"/>
        </w:trPr>
        <w:tc>
          <w:tcPr>
            <w:tcW w:w="0" w:type="auto"/>
            <w:vAlign w:val="center"/>
            <w:hideMark/>
          </w:tcPr>
          <w:p w14:paraId="47B81008" w14:textId="77777777" w:rsidR="00673816" w:rsidRPr="00444E7E" w:rsidRDefault="00673816" w:rsidP="00673816">
            <w:pPr>
              <w:rPr>
                <w:rFonts w:ascii="Arial" w:hAnsi="Arial" w:cs="Arial"/>
                <w:sz w:val="24"/>
                <w:szCs w:val="24"/>
              </w:rPr>
            </w:pPr>
            <w:r w:rsidRPr="00444E7E">
              <w:rPr>
                <w:rFonts w:ascii="Arial" w:hAnsi="Arial" w:cs="Arial"/>
                <w:sz w:val="24"/>
                <w:szCs w:val="24"/>
              </w:rPr>
              <w:t>Hacinamiento</w:t>
            </w:r>
          </w:p>
        </w:tc>
        <w:tc>
          <w:tcPr>
            <w:tcW w:w="0" w:type="auto"/>
            <w:vAlign w:val="center"/>
            <w:hideMark/>
          </w:tcPr>
          <w:p w14:paraId="7B4BE68F" w14:textId="77777777" w:rsidR="00673816" w:rsidRPr="00444E7E" w:rsidRDefault="00673816" w:rsidP="00673816">
            <w:pPr>
              <w:rPr>
                <w:rFonts w:ascii="Arial" w:hAnsi="Arial" w:cs="Arial"/>
                <w:sz w:val="24"/>
                <w:szCs w:val="24"/>
              </w:rPr>
            </w:pPr>
            <w:r w:rsidRPr="00444E7E">
              <w:rPr>
                <w:rFonts w:ascii="Arial" w:hAnsi="Arial" w:cs="Arial"/>
                <w:sz w:val="24"/>
                <w:szCs w:val="24"/>
              </w:rPr>
              <w:t>0.0324</w:t>
            </w:r>
          </w:p>
        </w:tc>
        <w:tc>
          <w:tcPr>
            <w:tcW w:w="0" w:type="auto"/>
            <w:vAlign w:val="center"/>
            <w:hideMark/>
          </w:tcPr>
          <w:p w14:paraId="29D8EC1E" w14:textId="77777777" w:rsidR="00673816" w:rsidRPr="00444E7E" w:rsidRDefault="00673816" w:rsidP="00673816">
            <w:pPr>
              <w:rPr>
                <w:rFonts w:ascii="Arial" w:hAnsi="Arial" w:cs="Arial"/>
                <w:sz w:val="24"/>
                <w:szCs w:val="24"/>
              </w:rPr>
            </w:pPr>
            <w:r w:rsidRPr="00444E7E">
              <w:rPr>
                <w:rFonts w:ascii="Arial" w:hAnsi="Arial" w:cs="Arial"/>
                <w:sz w:val="24"/>
                <w:szCs w:val="24"/>
              </w:rPr>
              <w:t>0.0340</w:t>
            </w:r>
          </w:p>
        </w:tc>
        <w:tc>
          <w:tcPr>
            <w:tcW w:w="0" w:type="auto"/>
            <w:vAlign w:val="center"/>
            <w:hideMark/>
          </w:tcPr>
          <w:p w14:paraId="01E71198" w14:textId="77777777" w:rsidR="00673816" w:rsidRPr="00444E7E" w:rsidRDefault="00673816" w:rsidP="00673816">
            <w:pPr>
              <w:rPr>
                <w:rFonts w:ascii="Arial" w:hAnsi="Arial" w:cs="Arial"/>
                <w:sz w:val="24"/>
                <w:szCs w:val="24"/>
              </w:rPr>
            </w:pPr>
            <w:r w:rsidRPr="00444E7E">
              <w:rPr>
                <w:rFonts w:ascii="Arial" w:hAnsi="Arial" w:cs="Arial"/>
                <w:sz w:val="24"/>
                <w:szCs w:val="24"/>
              </w:rPr>
              <w:t>0.0228</w:t>
            </w:r>
          </w:p>
        </w:tc>
      </w:tr>
      <w:tr w:rsidR="00673816" w:rsidRPr="00444E7E" w14:paraId="434312AE" w14:textId="77777777">
        <w:trPr>
          <w:tblCellSpacing w:w="15" w:type="dxa"/>
        </w:trPr>
        <w:tc>
          <w:tcPr>
            <w:tcW w:w="0" w:type="auto"/>
            <w:vAlign w:val="center"/>
            <w:hideMark/>
          </w:tcPr>
          <w:p w14:paraId="0108FEDE" w14:textId="77777777" w:rsidR="00673816" w:rsidRPr="00444E7E" w:rsidRDefault="00673816" w:rsidP="00673816">
            <w:pPr>
              <w:rPr>
                <w:rFonts w:ascii="Arial" w:hAnsi="Arial" w:cs="Arial"/>
                <w:sz w:val="24"/>
                <w:szCs w:val="24"/>
              </w:rPr>
            </w:pPr>
            <w:r w:rsidRPr="00444E7E">
              <w:rPr>
                <w:rFonts w:ascii="Arial" w:hAnsi="Arial" w:cs="Arial"/>
                <w:sz w:val="24"/>
                <w:szCs w:val="24"/>
              </w:rPr>
              <w:lastRenderedPageBreak/>
              <w:t>Acueducto</w:t>
            </w:r>
          </w:p>
        </w:tc>
        <w:tc>
          <w:tcPr>
            <w:tcW w:w="0" w:type="auto"/>
            <w:vAlign w:val="center"/>
            <w:hideMark/>
          </w:tcPr>
          <w:p w14:paraId="512639C7" w14:textId="77777777" w:rsidR="00673816" w:rsidRPr="00444E7E" w:rsidRDefault="00673816" w:rsidP="00673816">
            <w:pPr>
              <w:rPr>
                <w:rFonts w:ascii="Arial" w:hAnsi="Arial" w:cs="Arial"/>
                <w:sz w:val="24"/>
                <w:szCs w:val="24"/>
              </w:rPr>
            </w:pPr>
            <w:r w:rsidRPr="00444E7E">
              <w:rPr>
                <w:rFonts w:ascii="Arial" w:hAnsi="Arial" w:cs="Arial"/>
                <w:sz w:val="24"/>
                <w:szCs w:val="24"/>
              </w:rPr>
              <w:t>-0.0010</w:t>
            </w:r>
          </w:p>
        </w:tc>
        <w:tc>
          <w:tcPr>
            <w:tcW w:w="0" w:type="auto"/>
            <w:vAlign w:val="center"/>
            <w:hideMark/>
          </w:tcPr>
          <w:p w14:paraId="42836ACD" w14:textId="77777777" w:rsidR="00673816" w:rsidRPr="00444E7E" w:rsidRDefault="00673816" w:rsidP="00673816">
            <w:pPr>
              <w:rPr>
                <w:rFonts w:ascii="Arial" w:hAnsi="Arial" w:cs="Arial"/>
                <w:sz w:val="24"/>
                <w:szCs w:val="24"/>
              </w:rPr>
            </w:pPr>
            <w:r w:rsidRPr="00444E7E">
              <w:rPr>
                <w:rFonts w:ascii="Arial" w:hAnsi="Arial" w:cs="Arial"/>
                <w:sz w:val="24"/>
                <w:szCs w:val="24"/>
              </w:rPr>
              <w:t>-0.0013</w:t>
            </w:r>
          </w:p>
        </w:tc>
        <w:tc>
          <w:tcPr>
            <w:tcW w:w="0" w:type="auto"/>
            <w:vAlign w:val="center"/>
            <w:hideMark/>
          </w:tcPr>
          <w:p w14:paraId="46A501CE" w14:textId="77777777" w:rsidR="00673816" w:rsidRPr="00444E7E" w:rsidRDefault="00673816" w:rsidP="00673816">
            <w:pPr>
              <w:rPr>
                <w:rFonts w:ascii="Arial" w:hAnsi="Arial" w:cs="Arial"/>
                <w:sz w:val="24"/>
                <w:szCs w:val="24"/>
              </w:rPr>
            </w:pPr>
            <w:r w:rsidRPr="00444E7E">
              <w:rPr>
                <w:rFonts w:ascii="Arial" w:hAnsi="Arial" w:cs="Arial"/>
                <w:sz w:val="24"/>
                <w:szCs w:val="24"/>
              </w:rPr>
              <w:t>-0.0007</w:t>
            </w:r>
          </w:p>
        </w:tc>
      </w:tr>
      <w:tr w:rsidR="00673816" w:rsidRPr="00444E7E" w14:paraId="2D46E7AC" w14:textId="77777777">
        <w:trPr>
          <w:tblCellSpacing w:w="15" w:type="dxa"/>
        </w:trPr>
        <w:tc>
          <w:tcPr>
            <w:tcW w:w="0" w:type="auto"/>
            <w:vAlign w:val="center"/>
            <w:hideMark/>
          </w:tcPr>
          <w:p w14:paraId="7F3064B0" w14:textId="77777777" w:rsidR="00673816" w:rsidRPr="00444E7E" w:rsidRDefault="00673816" w:rsidP="00673816">
            <w:pPr>
              <w:rPr>
                <w:rFonts w:ascii="Arial" w:hAnsi="Arial" w:cs="Arial"/>
                <w:sz w:val="24"/>
                <w:szCs w:val="24"/>
              </w:rPr>
            </w:pPr>
            <w:r w:rsidRPr="00444E7E">
              <w:rPr>
                <w:rFonts w:ascii="Arial" w:hAnsi="Arial" w:cs="Arial"/>
                <w:sz w:val="24"/>
                <w:szCs w:val="24"/>
              </w:rPr>
              <w:t>Alcantarillado</w:t>
            </w:r>
          </w:p>
        </w:tc>
        <w:tc>
          <w:tcPr>
            <w:tcW w:w="0" w:type="auto"/>
            <w:vAlign w:val="center"/>
            <w:hideMark/>
          </w:tcPr>
          <w:p w14:paraId="7E93BF13" w14:textId="77777777" w:rsidR="00673816" w:rsidRPr="00444E7E" w:rsidRDefault="00673816" w:rsidP="00673816">
            <w:pPr>
              <w:rPr>
                <w:rFonts w:ascii="Arial" w:hAnsi="Arial" w:cs="Arial"/>
                <w:sz w:val="24"/>
                <w:szCs w:val="24"/>
              </w:rPr>
            </w:pPr>
            <w:r w:rsidRPr="00444E7E">
              <w:rPr>
                <w:rFonts w:ascii="Arial" w:hAnsi="Arial" w:cs="Arial"/>
                <w:sz w:val="24"/>
                <w:szCs w:val="24"/>
              </w:rPr>
              <w:t>-0.0005</w:t>
            </w:r>
          </w:p>
        </w:tc>
        <w:tc>
          <w:tcPr>
            <w:tcW w:w="0" w:type="auto"/>
            <w:vAlign w:val="center"/>
            <w:hideMark/>
          </w:tcPr>
          <w:p w14:paraId="051647F2" w14:textId="77777777" w:rsidR="00673816" w:rsidRPr="00444E7E" w:rsidRDefault="00673816" w:rsidP="00673816">
            <w:pPr>
              <w:rPr>
                <w:rFonts w:ascii="Arial" w:hAnsi="Arial" w:cs="Arial"/>
                <w:sz w:val="24"/>
                <w:szCs w:val="24"/>
              </w:rPr>
            </w:pPr>
            <w:r w:rsidRPr="00444E7E">
              <w:rPr>
                <w:rFonts w:ascii="Arial" w:hAnsi="Arial" w:cs="Arial"/>
                <w:sz w:val="24"/>
                <w:szCs w:val="24"/>
              </w:rPr>
              <w:t>-0.0004</w:t>
            </w:r>
          </w:p>
        </w:tc>
        <w:tc>
          <w:tcPr>
            <w:tcW w:w="0" w:type="auto"/>
            <w:vAlign w:val="center"/>
            <w:hideMark/>
          </w:tcPr>
          <w:p w14:paraId="42D2D51F" w14:textId="77777777" w:rsidR="00673816" w:rsidRPr="00444E7E" w:rsidRDefault="00673816" w:rsidP="00673816">
            <w:pPr>
              <w:rPr>
                <w:rFonts w:ascii="Arial" w:hAnsi="Arial" w:cs="Arial"/>
                <w:sz w:val="24"/>
                <w:szCs w:val="24"/>
              </w:rPr>
            </w:pPr>
            <w:r w:rsidRPr="00444E7E">
              <w:rPr>
                <w:rFonts w:ascii="Arial" w:hAnsi="Arial" w:cs="Arial"/>
                <w:sz w:val="24"/>
                <w:szCs w:val="24"/>
              </w:rPr>
              <w:t>-0.0004</w:t>
            </w:r>
          </w:p>
        </w:tc>
      </w:tr>
      <w:tr w:rsidR="00673816" w:rsidRPr="00444E7E" w14:paraId="5093CA7F" w14:textId="77777777">
        <w:trPr>
          <w:tblCellSpacing w:w="15" w:type="dxa"/>
        </w:trPr>
        <w:tc>
          <w:tcPr>
            <w:tcW w:w="0" w:type="auto"/>
            <w:vAlign w:val="center"/>
            <w:hideMark/>
          </w:tcPr>
          <w:p w14:paraId="14326A0F" w14:textId="77777777" w:rsidR="00673816" w:rsidRPr="00444E7E" w:rsidRDefault="00673816" w:rsidP="00673816">
            <w:pPr>
              <w:rPr>
                <w:rFonts w:ascii="Arial" w:hAnsi="Arial" w:cs="Arial"/>
                <w:sz w:val="24"/>
                <w:szCs w:val="24"/>
              </w:rPr>
            </w:pPr>
            <w:r w:rsidRPr="00444E7E">
              <w:rPr>
                <w:rFonts w:ascii="Arial" w:hAnsi="Arial" w:cs="Arial"/>
                <w:sz w:val="24"/>
                <w:szCs w:val="24"/>
              </w:rPr>
              <w:t>Gas</w:t>
            </w:r>
          </w:p>
        </w:tc>
        <w:tc>
          <w:tcPr>
            <w:tcW w:w="0" w:type="auto"/>
            <w:vAlign w:val="center"/>
            <w:hideMark/>
          </w:tcPr>
          <w:p w14:paraId="6D1B7A3E" w14:textId="77777777" w:rsidR="00673816" w:rsidRPr="00444E7E" w:rsidRDefault="00673816" w:rsidP="00673816">
            <w:pPr>
              <w:rPr>
                <w:rFonts w:ascii="Arial" w:hAnsi="Arial" w:cs="Arial"/>
                <w:sz w:val="24"/>
                <w:szCs w:val="24"/>
              </w:rPr>
            </w:pPr>
            <w:r w:rsidRPr="00444E7E">
              <w:rPr>
                <w:rFonts w:ascii="Arial" w:hAnsi="Arial" w:cs="Arial"/>
                <w:sz w:val="24"/>
                <w:szCs w:val="24"/>
              </w:rPr>
              <w:t>-0.0008</w:t>
            </w:r>
          </w:p>
        </w:tc>
        <w:tc>
          <w:tcPr>
            <w:tcW w:w="0" w:type="auto"/>
            <w:vAlign w:val="center"/>
            <w:hideMark/>
          </w:tcPr>
          <w:p w14:paraId="522D9096" w14:textId="77777777" w:rsidR="00673816" w:rsidRPr="00444E7E" w:rsidRDefault="00673816" w:rsidP="00673816">
            <w:pPr>
              <w:rPr>
                <w:rFonts w:ascii="Arial" w:hAnsi="Arial" w:cs="Arial"/>
                <w:sz w:val="24"/>
                <w:szCs w:val="24"/>
              </w:rPr>
            </w:pPr>
            <w:r w:rsidRPr="00444E7E">
              <w:rPr>
                <w:rFonts w:ascii="Arial" w:hAnsi="Arial" w:cs="Arial"/>
                <w:sz w:val="24"/>
                <w:szCs w:val="24"/>
              </w:rPr>
              <w:t>-0.0007</w:t>
            </w:r>
          </w:p>
        </w:tc>
        <w:tc>
          <w:tcPr>
            <w:tcW w:w="0" w:type="auto"/>
            <w:vAlign w:val="center"/>
            <w:hideMark/>
          </w:tcPr>
          <w:p w14:paraId="3910B245" w14:textId="77777777" w:rsidR="00673816" w:rsidRPr="00444E7E" w:rsidRDefault="00673816" w:rsidP="00673816">
            <w:pPr>
              <w:rPr>
                <w:rFonts w:ascii="Arial" w:hAnsi="Arial" w:cs="Arial"/>
                <w:sz w:val="24"/>
                <w:szCs w:val="24"/>
              </w:rPr>
            </w:pPr>
            <w:r w:rsidRPr="00444E7E">
              <w:rPr>
                <w:rFonts w:ascii="Arial" w:hAnsi="Arial" w:cs="Arial"/>
                <w:sz w:val="24"/>
                <w:szCs w:val="24"/>
              </w:rPr>
              <w:t>-0.0005</w:t>
            </w:r>
          </w:p>
        </w:tc>
      </w:tr>
      <w:tr w:rsidR="00673816" w:rsidRPr="00444E7E" w14:paraId="4D34C146" w14:textId="77777777">
        <w:trPr>
          <w:tblCellSpacing w:w="15" w:type="dxa"/>
        </w:trPr>
        <w:tc>
          <w:tcPr>
            <w:tcW w:w="0" w:type="auto"/>
            <w:vAlign w:val="center"/>
            <w:hideMark/>
          </w:tcPr>
          <w:p w14:paraId="50CC4446" w14:textId="77777777" w:rsidR="00673816" w:rsidRPr="00444E7E" w:rsidRDefault="00673816" w:rsidP="00673816">
            <w:pPr>
              <w:rPr>
                <w:rFonts w:ascii="Arial" w:hAnsi="Arial" w:cs="Arial"/>
                <w:sz w:val="24"/>
                <w:szCs w:val="24"/>
              </w:rPr>
            </w:pPr>
            <w:r w:rsidRPr="00444E7E">
              <w:rPr>
                <w:rFonts w:ascii="Arial" w:hAnsi="Arial" w:cs="Arial"/>
                <w:sz w:val="24"/>
                <w:szCs w:val="24"/>
              </w:rPr>
              <w:t>Internet</w:t>
            </w:r>
          </w:p>
        </w:tc>
        <w:tc>
          <w:tcPr>
            <w:tcW w:w="0" w:type="auto"/>
            <w:vAlign w:val="center"/>
            <w:hideMark/>
          </w:tcPr>
          <w:p w14:paraId="47641EFA" w14:textId="77777777" w:rsidR="00673816" w:rsidRPr="00444E7E" w:rsidRDefault="00673816" w:rsidP="00673816">
            <w:pPr>
              <w:rPr>
                <w:rFonts w:ascii="Arial" w:hAnsi="Arial" w:cs="Arial"/>
                <w:sz w:val="24"/>
                <w:szCs w:val="24"/>
              </w:rPr>
            </w:pPr>
            <w:r w:rsidRPr="00444E7E">
              <w:rPr>
                <w:rFonts w:ascii="Arial" w:hAnsi="Arial" w:cs="Arial"/>
                <w:sz w:val="24"/>
                <w:szCs w:val="24"/>
              </w:rPr>
              <w:t>-0.0009</w:t>
            </w:r>
          </w:p>
        </w:tc>
        <w:tc>
          <w:tcPr>
            <w:tcW w:w="0" w:type="auto"/>
            <w:vAlign w:val="center"/>
            <w:hideMark/>
          </w:tcPr>
          <w:p w14:paraId="670525B9" w14:textId="77777777" w:rsidR="00673816" w:rsidRPr="00444E7E" w:rsidRDefault="00673816" w:rsidP="00673816">
            <w:pPr>
              <w:rPr>
                <w:rFonts w:ascii="Arial" w:hAnsi="Arial" w:cs="Arial"/>
                <w:sz w:val="24"/>
                <w:szCs w:val="24"/>
              </w:rPr>
            </w:pPr>
            <w:r w:rsidRPr="00444E7E">
              <w:rPr>
                <w:rFonts w:ascii="Arial" w:hAnsi="Arial" w:cs="Arial"/>
                <w:sz w:val="24"/>
                <w:szCs w:val="24"/>
              </w:rPr>
              <w:t>-0.0007</w:t>
            </w:r>
          </w:p>
        </w:tc>
        <w:tc>
          <w:tcPr>
            <w:tcW w:w="0" w:type="auto"/>
            <w:vAlign w:val="center"/>
            <w:hideMark/>
          </w:tcPr>
          <w:p w14:paraId="4B85204B" w14:textId="77777777" w:rsidR="00673816" w:rsidRPr="00444E7E" w:rsidRDefault="00673816" w:rsidP="00673816">
            <w:pPr>
              <w:rPr>
                <w:rFonts w:ascii="Arial" w:hAnsi="Arial" w:cs="Arial"/>
                <w:sz w:val="24"/>
                <w:szCs w:val="24"/>
              </w:rPr>
            </w:pPr>
            <w:r w:rsidRPr="00444E7E">
              <w:rPr>
                <w:rFonts w:ascii="Arial" w:hAnsi="Arial" w:cs="Arial"/>
                <w:sz w:val="24"/>
                <w:szCs w:val="24"/>
              </w:rPr>
              <w:t>-0.0009</w:t>
            </w:r>
          </w:p>
        </w:tc>
      </w:tr>
    </w:tbl>
    <w:p w14:paraId="1D19027E" w14:textId="77777777" w:rsidR="00673816" w:rsidRPr="00444E7E" w:rsidRDefault="00673816" w:rsidP="00673816">
      <w:pPr>
        <w:jc w:val="both"/>
        <w:rPr>
          <w:rFonts w:ascii="Arial" w:hAnsi="Arial" w:cs="Arial"/>
          <w:sz w:val="24"/>
          <w:szCs w:val="24"/>
        </w:rPr>
      </w:pPr>
      <w:r w:rsidRPr="00444E7E">
        <w:rPr>
          <w:rFonts w:ascii="Arial" w:hAnsi="Arial" w:cs="Arial"/>
          <w:sz w:val="24"/>
          <w:szCs w:val="24"/>
        </w:rPr>
        <w:t>Los resultados muestran una alta consistencia en la dirección de los efectos entre ciudades. El estrato socioeconómico presenta un impacto negativo en todos los casos, confirmando su papel como principal determinante estructural de la pobreza. Por su parte, el hacinamiento muestra un efecto positivo robusto, lo que evidencia la importancia de las condiciones habitacionales.</w:t>
      </w:r>
    </w:p>
    <w:p w14:paraId="63814D4D" w14:textId="77777777" w:rsidR="00673816" w:rsidRPr="00444E7E" w:rsidRDefault="00673816" w:rsidP="00673816">
      <w:pPr>
        <w:jc w:val="both"/>
        <w:rPr>
          <w:rFonts w:ascii="Arial" w:hAnsi="Arial" w:cs="Arial"/>
          <w:sz w:val="24"/>
          <w:szCs w:val="24"/>
        </w:rPr>
      </w:pPr>
      <w:r w:rsidRPr="00444E7E">
        <w:rPr>
          <w:rFonts w:ascii="Arial" w:hAnsi="Arial" w:cs="Arial"/>
          <w:sz w:val="24"/>
          <w:szCs w:val="24"/>
        </w:rPr>
        <w:t>En cuanto a los servicios básicos, todos presentan efectos negativos, lo que refuerza la idea de que la infraestructura urbana constituye un factor clave en la reducción de la pobreza multidimensional.</w:t>
      </w:r>
    </w:p>
    <w:p w14:paraId="47E40C15" w14:textId="77777777" w:rsidR="00673816" w:rsidRPr="00444E7E" w:rsidRDefault="00673816" w:rsidP="00A67CFF">
      <w:pPr>
        <w:rPr>
          <w:rFonts w:ascii="Arial" w:hAnsi="Arial" w:cs="Arial"/>
          <w:b/>
          <w:bCs/>
          <w:sz w:val="24"/>
          <w:szCs w:val="24"/>
        </w:rPr>
      </w:pPr>
    </w:p>
    <w:p w14:paraId="22B913ED" w14:textId="03566449" w:rsidR="00A67CFF" w:rsidRPr="00444E7E" w:rsidRDefault="00A67CFF" w:rsidP="00A67CFF">
      <w:pPr>
        <w:rPr>
          <w:rFonts w:ascii="Arial" w:hAnsi="Arial" w:cs="Arial"/>
          <w:b/>
          <w:bCs/>
          <w:sz w:val="24"/>
          <w:szCs w:val="24"/>
        </w:rPr>
      </w:pPr>
      <w:r w:rsidRPr="00444E7E">
        <w:rPr>
          <w:rFonts w:ascii="Arial" w:hAnsi="Arial" w:cs="Arial"/>
          <w:b/>
          <w:bCs/>
          <w:sz w:val="24"/>
          <w:szCs w:val="24"/>
        </w:rPr>
        <w:t>Efectos espaciales e implicaciones territoriales</w:t>
      </w:r>
    </w:p>
    <w:p w14:paraId="313E40AB"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El modelo SAR permite identificar no solo efectos directos, sino también efectos indirectos (spillovers), los cuales capturan la influencia de una unidad geográfica sobre sus vecinas.</w:t>
      </w:r>
    </w:p>
    <w:p w14:paraId="3C43A43B"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este análisis, se observa que variables como el estrato y el hacinamiento generan efectos que trascienden la unidad individual, afectando también las condiciones de las áreas circundantes. Esto implica que la pobreza no debe entenderse como un fenómeno aislado, sino como un proceso territorial interdependiente.</w:t>
      </w:r>
    </w:p>
    <w:p w14:paraId="0A00498C"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Esta evidencia complementa los resultados del clustering, ya que sugiere que los grupos identificados no solo comparten características similares, sino que también se encuentran espacialmente conectados.</w:t>
      </w:r>
    </w:p>
    <w:p w14:paraId="481238BB" w14:textId="2451E50A" w:rsidR="00A67CFF" w:rsidRPr="00444E7E" w:rsidRDefault="00A67CFF" w:rsidP="00A67CFF">
      <w:pPr>
        <w:rPr>
          <w:rFonts w:ascii="Arial" w:hAnsi="Arial" w:cs="Arial"/>
          <w:sz w:val="24"/>
          <w:szCs w:val="24"/>
        </w:rPr>
      </w:pPr>
    </w:p>
    <w:p w14:paraId="7E173299" w14:textId="1C728687" w:rsidR="00A67CFF" w:rsidRPr="00444E7E" w:rsidRDefault="00A67CFF" w:rsidP="00A67CFF">
      <w:pPr>
        <w:rPr>
          <w:rFonts w:ascii="Arial" w:hAnsi="Arial" w:cs="Arial"/>
          <w:b/>
          <w:bCs/>
          <w:sz w:val="24"/>
          <w:szCs w:val="24"/>
        </w:rPr>
      </w:pPr>
      <w:r w:rsidRPr="00444E7E">
        <w:rPr>
          <w:rFonts w:ascii="Arial" w:hAnsi="Arial" w:cs="Arial"/>
          <w:b/>
          <w:bCs/>
          <w:sz w:val="24"/>
          <w:szCs w:val="24"/>
        </w:rPr>
        <w:t>Relación con la validación multifuente (IPM y GEIH)</w:t>
      </w:r>
    </w:p>
    <w:p w14:paraId="5AFD2186"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 incorporación del análisis espacial permite reforzar las conclusiones obtenidas en las secciones anteriores del informe.</w:t>
      </w:r>
    </w:p>
    <w:p w14:paraId="3BFBFAF4"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primer lugar, la coherencia observada entre el clustering y el IPM en dimensiones como servicios y pobreza multidimensional se ve respaldada por la existencia de patrones espaciales significativos, lo que indica que estas dimensiones no solo son consistentes en términos estadísticos, sino también en términos territoriales.</w:t>
      </w:r>
    </w:p>
    <w:p w14:paraId="4CD74459"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lastRenderedPageBreak/>
        <w:t>En segundo lugar, la validación con la GEIH en las dimensiones educativa y laboral se ve complementada por los resultados del modelo SAR, los cuales muestran que estas variables, aunque con diferencias metodológicas, contribuyen de manera consistente a la explicación de la pobreza dentro de un contexto espacial.</w:t>
      </w:r>
    </w:p>
    <w:p w14:paraId="7965DEC6" w14:textId="77777777" w:rsidR="00A67CFF" w:rsidRPr="00444E7E" w:rsidRDefault="00A67CFF" w:rsidP="00A67CFF">
      <w:pPr>
        <w:rPr>
          <w:rFonts w:ascii="Arial" w:hAnsi="Arial" w:cs="Arial"/>
          <w:sz w:val="24"/>
          <w:szCs w:val="24"/>
        </w:rPr>
      </w:pPr>
      <w:r w:rsidRPr="00444E7E">
        <w:rPr>
          <w:rFonts w:ascii="Arial" w:hAnsi="Arial" w:cs="Arial"/>
          <w:sz w:val="24"/>
          <w:szCs w:val="24"/>
        </w:rPr>
        <w:t>En conjunto, estos resultados refuerzan la validez del modelo desde tres perspectivas:</w:t>
      </w:r>
    </w:p>
    <w:p w14:paraId="542046F7" w14:textId="77777777" w:rsidR="00A67CFF" w:rsidRPr="00444E7E" w:rsidRDefault="00A67CFF" w:rsidP="00A67CFF">
      <w:pPr>
        <w:numPr>
          <w:ilvl w:val="0"/>
          <w:numId w:val="7"/>
        </w:numPr>
        <w:rPr>
          <w:rFonts w:ascii="Arial" w:hAnsi="Arial" w:cs="Arial"/>
          <w:sz w:val="24"/>
          <w:szCs w:val="24"/>
        </w:rPr>
      </w:pPr>
      <w:r w:rsidRPr="00444E7E">
        <w:rPr>
          <w:rFonts w:ascii="Arial" w:hAnsi="Arial" w:cs="Arial"/>
          <w:sz w:val="24"/>
          <w:szCs w:val="24"/>
        </w:rPr>
        <w:t xml:space="preserve">Estructural (IPM): coherencia en la organización territorial </w:t>
      </w:r>
    </w:p>
    <w:p w14:paraId="754F6771" w14:textId="77777777" w:rsidR="00A67CFF" w:rsidRPr="00444E7E" w:rsidRDefault="00A67CFF" w:rsidP="00A67CFF">
      <w:pPr>
        <w:numPr>
          <w:ilvl w:val="0"/>
          <w:numId w:val="7"/>
        </w:numPr>
        <w:rPr>
          <w:rFonts w:ascii="Arial" w:hAnsi="Arial" w:cs="Arial"/>
          <w:sz w:val="24"/>
          <w:szCs w:val="24"/>
        </w:rPr>
      </w:pPr>
      <w:r w:rsidRPr="00444E7E">
        <w:rPr>
          <w:rFonts w:ascii="Arial" w:hAnsi="Arial" w:cs="Arial"/>
          <w:sz w:val="24"/>
          <w:szCs w:val="24"/>
        </w:rPr>
        <w:t xml:space="preserve">Socioeconómica (GEIH): consistencia en dinámicas urbanas </w:t>
      </w:r>
    </w:p>
    <w:p w14:paraId="0240419B" w14:textId="77777777" w:rsidR="00A67CFF" w:rsidRPr="00444E7E" w:rsidRDefault="00A67CFF" w:rsidP="00A67CFF">
      <w:pPr>
        <w:numPr>
          <w:ilvl w:val="0"/>
          <w:numId w:val="7"/>
        </w:numPr>
        <w:rPr>
          <w:rFonts w:ascii="Arial" w:hAnsi="Arial" w:cs="Arial"/>
          <w:sz w:val="24"/>
          <w:szCs w:val="24"/>
        </w:rPr>
      </w:pPr>
      <w:r w:rsidRPr="00444E7E">
        <w:rPr>
          <w:rFonts w:ascii="Arial" w:hAnsi="Arial" w:cs="Arial"/>
          <w:sz w:val="24"/>
          <w:szCs w:val="24"/>
        </w:rPr>
        <w:t xml:space="preserve">Espacial (SAR): existencia de dependencia territorial </w:t>
      </w:r>
    </w:p>
    <w:p w14:paraId="76218BFB" w14:textId="2D8D5120" w:rsidR="00A67CFF" w:rsidRPr="00444E7E" w:rsidRDefault="00A67CFF" w:rsidP="00A67CFF">
      <w:pPr>
        <w:rPr>
          <w:rFonts w:ascii="Arial" w:hAnsi="Arial" w:cs="Arial"/>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267"/>
        <w:gridCol w:w="507"/>
        <w:gridCol w:w="667"/>
        <w:gridCol w:w="587"/>
        <w:gridCol w:w="2643"/>
      </w:tblGrid>
      <w:tr w:rsidR="005A1145" w:rsidRPr="00444E7E" w14:paraId="2BD6C361" w14:textId="77777777" w:rsidTr="007614A1">
        <w:trPr>
          <w:tblHeader/>
          <w:tblCellSpacing w:w="15" w:type="dxa"/>
        </w:trPr>
        <w:tc>
          <w:tcPr>
            <w:tcW w:w="0" w:type="auto"/>
            <w:vAlign w:val="center"/>
            <w:hideMark/>
          </w:tcPr>
          <w:p w14:paraId="416669C7"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Dimensión</w:t>
            </w:r>
          </w:p>
        </w:tc>
        <w:tc>
          <w:tcPr>
            <w:tcW w:w="0" w:type="auto"/>
            <w:vAlign w:val="center"/>
            <w:hideMark/>
          </w:tcPr>
          <w:p w14:paraId="10F4D93A"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Clustering</w:t>
            </w:r>
          </w:p>
        </w:tc>
        <w:tc>
          <w:tcPr>
            <w:tcW w:w="0" w:type="auto"/>
            <w:vAlign w:val="center"/>
            <w:hideMark/>
          </w:tcPr>
          <w:p w14:paraId="1C3E490F"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IPM</w:t>
            </w:r>
          </w:p>
        </w:tc>
        <w:tc>
          <w:tcPr>
            <w:tcW w:w="0" w:type="auto"/>
            <w:vAlign w:val="center"/>
            <w:hideMark/>
          </w:tcPr>
          <w:p w14:paraId="1C8586C3"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GEIH</w:t>
            </w:r>
          </w:p>
        </w:tc>
        <w:tc>
          <w:tcPr>
            <w:tcW w:w="0" w:type="auto"/>
            <w:vAlign w:val="center"/>
            <w:hideMark/>
          </w:tcPr>
          <w:p w14:paraId="498FB72A"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SAR</w:t>
            </w:r>
          </w:p>
        </w:tc>
        <w:tc>
          <w:tcPr>
            <w:tcW w:w="0" w:type="auto"/>
            <w:vAlign w:val="center"/>
            <w:hideMark/>
          </w:tcPr>
          <w:p w14:paraId="2972954F" w14:textId="77777777" w:rsidR="005A1145" w:rsidRPr="00444E7E" w:rsidRDefault="005A1145" w:rsidP="005A1145">
            <w:pPr>
              <w:rPr>
                <w:rFonts w:ascii="Arial" w:hAnsi="Arial" w:cs="Arial"/>
                <w:b/>
                <w:bCs/>
                <w:sz w:val="24"/>
                <w:szCs w:val="24"/>
              </w:rPr>
            </w:pPr>
            <w:r w:rsidRPr="00444E7E">
              <w:rPr>
                <w:rFonts w:ascii="Arial" w:hAnsi="Arial" w:cs="Arial"/>
                <w:b/>
                <w:bCs/>
                <w:sz w:val="24"/>
                <w:szCs w:val="24"/>
              </w:rPr>
              <w:t>Resultado</w:t>
            </w:r>
          </w:p>
        </w:tc>
      </w:tr>
      <w:tr w:rsidR="005A1145" w:rsidRPr="00444E7E" w14:paraId="34F29977" w14:textId="77777777" w:rsidTr="007614A1">
        <w:trPr>
          <w:tblCellSpacing w:w="15" w:type="dxa"/>
        </w:trPr>
        <w:tc>
          <w:tcPr>
            <w:tcW w:w="0" w:type="auto"/>
            <w:vAlign w:val="center"/>
            <w:hideMark/>
          </w:tcPr>
          <w:p w14:paraId="6912253F" w14:textId="77777777" w:rsidR="005A1145" w:rsidRPr="00444E7E" w:rsidRDefault="005A1145" w:rsidP="005A1145">
            <w:pPr>
              <w:rPr>
                <w:rFonts w:ascii="Arial" w:hAnsi="Arial" w:cs="Arial"/>
                <w:sz w:val="24"/>
                <w:szCs w:val="24"/>
              </w:rPr>
            </w:pPr>
            <w:r w:rsidRPr="00444E7E">
              <w:rPr>
                <w:rFonts w:ascii="Arial" w:hAnsi="Arial" w:cs="Arial"/>
                <w:sz w:val="24"/>
                <w:szCs w:val="24"/>
              </w:rPr>
              <w:t>Servicios</w:t>
            </w:r>
          </w:p>
        </w:tc>
        <w:tc>
          <w:tcPr>
            <w:tcW w:w="0" w:type="auto"/>
            <w:vAlign w:val="center"/>
            <w:hideMark/>
          </w:tcPr>
          <w:p w14:paraId="782BC6E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4279ECF9"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A84E5B2" w14:textId="77777777" w:rsidR="005A1145" w:rsidRPr="00444E7E" w:rsidRDefault="005A1145" w:rsidP="005A1145">
            <w:pPr>
              <w:rPr>
                <w:rFonts w:ascii="Arial" w:hAnsi="Arial" w:cs="Arial"/>
                <w:sz w:val="24"/>
                <w:szCs w:val="24"/>
              </w:rPr>
            </w:pPr>
            <w:r w:rsidRPr="00444E7E">
              <w:rPr>
                <w:rFonts w:ascii="Arial" w:hAnsi="Arial" w:cs="Arial"/>
                <w:sz w:val="24"/>
                <w:szCs w:val="24"/>
              </w:rPr>
              <w:t>—</w:t>
            </w:r>
          </w:p>
        </w:tc>
        <w:tc>
          <w:tcPr>
            <w:tcW w:w="0" w:type="auto"/>
            <w:vAlign w:val="center"/>
            <w:hideMark/>
          </w:tcPr>
          <w:p w14:paraId="376CC451"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62B42B6B" w14:textId="77777777" w:rsidR="005A1145" w:rsidRPr="00444E7E" w:rsidRDefault="005A1145" w:rsidP="005A1145">
            <w:pPr>
              <w:rPr>
                <w:rFonts w:ascii="Arial" w:hAnsi="Arial" w:cs="Arial"/>
                <w:sz w:val="24"/>
                <w:szCs w:val="24"/>
              </w:rPr>
            </w:pPr>
            <w:r w:rsidRPr="00444E7E">
              <w:rPr>
                <w:rFonts w:ascii="Arial" w:hAnsi="Arial" w:cs="Arial"/>
                <w:sz w:val="24"/>
                <w:szCs w:val="24"/>
              </w:rPr>
              <w:t>Alta consistencia</w:t>
            </w:r>
          </w:p>
        </w:tc>
      </w:tr>
      <w:tr w:rsidR="005A1145" w:rsidRPr="00444E7E" w14:paraId="7B451C1B" w14:textId="77777777" w:rsidTr="007614A1">
        <w:trPr>
          <w:tblCellSpacing w:w="15" w:type="dxa"/>
        </w:trPr>
        <w:tc>
          <w:tcPr>
            <w:tcW w:w="0" w:type="auto"/>
            <w:vAlign w:val="center"/>
            <w:hideMark/>
          </w:tcPr>
          <w:p w14:paraId="59F62BCB" w14:textId="77777777" w:rsidR="005A1145" w:rsidRPr="00444E7E" w:rsidRDefault="005A1145" w:rsidP="005A1145">
            <w:pPr>
              <w:rPr>
                <w:rFonts w:ascii="Arial" w:hAnsi="Arial" w:cs="Arial"/>
                <w:sz w:val="24"/>
                <w:szCs w:val="24"/>
              </w:rPr>
            </w:pPr>
            <w:r w:rsidRPr="00444E7E">
              <w:rPr>
                <w:rFonts w:ascii="Arial" w:hAnsi="Arial" w:cs="Arial"/>
                <w:sz w:val="24"/>
                <w:szCs w:val="24"/>
              </w:rPr>
              <w:t>Multidimensional</w:t>
            </w:r>
          </w:p>
        </w:tc>
        <w:tc>
          <w:tcPr>
            <w:tcW w:w="0" w:type="auto"/>
            <w:vAlign w:val="center"/>
            <w:hideMark/>
          </w:tcPr>
          <w:p w14:paraId="53FAE21D"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AC1446E"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436B1E41" w14:textId="77777777" w:rsidR="005A1145" w:rsidRPr="00444E7E" w:rsidRDefault="005A1145" w:rsidP="005A1145">
            <w:pPr>
              <w:rPr>
                <w:rFonts w:ascii="Arial" w:hAnsi="Arial" w:cs="Arial"/>
                <w:sz w:val="24"/>
                <w:szCs w:val="24"/>
              </w:rPr>
            </w:pPr>
            <w:r w:rsidRPr="00444E7E">
              <w:rPr>
                <w:rFonts w:ascii="Arial" w:hAnsi="Arial" w:cs="Arial"/>
                <w:sz w:val="24"/>
                <w:szCs w:val="24"/>
              </w:rPr>
              <w:t>—</w:t>
            </w:r>
          </w:p>
        </w:tc>
        <w:tc>
          <w:tcPr>
            <w:tcW w:w="0" w:type="auto"/>
            <w:vAlign w:val="center"/>
            <w:hideMark/>
          </w:tcPr>
          <w:p w14:paraId="7F748BD6"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52583FC" w14:textId="77777777" w:rsidR="005A1145" w:rsidRPr="00444E7E" w:rsidRDefault="005A1145" w:rsidP="005A1145">
            <w:pPr>
              <w:rPr>
                <w:rFonts w:ascii="Arial" w:hAnsi="Arial" w:cs="Arial"/>
                <w:sz w:val="24"/>
                <w:szCs w:val="24"/>
              </w:rPr>
            </w:pPr>
            <w:r w:rsidRPr="00444E7E">
              <w:rPr>
                <w:rFonts w:ascii="Arial" w:hAnsi="Arial" w:cs="Arial"/>
                <w:sz w:val="24"/>
                <w:szCs w:val="24"/>
              </w:rPr>
              <w:t>Validación completa</w:t>
            </w:r>
          </w:p>
        </w:tc>
      </w:tr>
      <w:tr w:rsidR="005A1145" w:rsidRPr="00444E7E" w14:paraId="5D841B25" w14:textId="77777777" w:rsidTr="007614A1">
        <w:trPr>
          <w:tblCellSpacing w:w="15" w:type="dxa"/>
        </w:trPr>
        <w:tc>
          <w:tcPr>
            <w:tcW w:w="0" w:type="auto"/>
            <w:vAlign w:val="center"/>
            <w:hideMark/>
          </w:tcPr>
          <w:p w14:paraId="2554358A" w14:textId="77777777" w:rsidR="005A1145" w:rsidRPr="00444E7E" w:rsidRDefault="005A1145" w:rsidP="005A1145">
            <w:pPr>
              <w:rPr>
                <w:rFonts w:ascii="Arial" w:hAnsi="Arial" w:cs="Arial"/>
                <w:sz w:val="24"/>
                <w:szCs w:val="24"/>
              </w:rPr>
            </w:pPr>
            <w:r w:rsidRPr="00444E7E">
              <w:rPr>
                <w:rFonts w:ascii="Arial" w:hAnsi="Arial" w:cs="Arial"/>
                <w:sz w:val="24"/>
                <w:szCs w:val="24"/>
              </w:rPr>
              <w:t>Educación</w:t>
            </w:r>
          </w:p>
        </w:tc>
        <w:tc>
          <w:tcPr>
            <w:tcW w:w="0" w:type="auto"/>
            <w:vAlign w:val="center"/>
            <w:hideMark/>
          </w:tcPr>
          <w:p w14:paraId="2A96C12E"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747DD79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1AC428C0"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725C1B7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295F27A" w14:textId="77777777" w:rsidR="005A1145" w:rsidRPr="00444E7E" w:rsidRDefault="005A1145" w:rsidP="005A1145">
            <w:pPr>
              <w:rPr>
                <w:rFonts w:ascii="Arial" w:hAnsi="Arial" w:cs="Arial"/>
                <w:sz w:val="24"/>
                <w:szCs w:val="24"/>
              </w:rPr>
            </w:pPr>
            <w:r w:rsidRPr="00444E7E">
              <w:rPr>
                <w:rFonts w:ascii="Arial" w:hAnsi="Arial" w:cs="Arial"/>
                <w:sz w:val="24"/>
                <w:szCs w:val="24"/>
              </w:rPr>
              <w:t>Consistencia tras ajuste</w:t>
            </w:r>
          </w:p>
        </w:tc>
      </w:tr>
      <w:tr w:rsidR="005A1145" w:rsidRPr="00444E7E" w14:paraId="0F44EC65" w14:textId="77777777" w:rsidTr="007614A1">
        <w:trPr>
          <w:tblCellSpacing w:w="15" w:type="dxa"/>
        </w:trPr>
        <w:tc>
          <w:tcPr>
            <w:tcW w:w="0" w:type="auto"/>
            <w:vAlign w:val="center"/>
            <w:hideMark/>
          </w:tcPr>
          <w:p w14:paraId="301238B4" w14:textId="77777777" w:rsidR="005A1145" w:rsidRPr="00444E7E" w:rsidRDefault="005A1145" w:rsidP="005A1145">
            <w:pPr>
              <w:rPr>
                <w:rFonts w:ascii="Arial" w:hAnsi="Arial" w:cs="Arial"/>
                <w:sz w:val="24"/>
                <w:szCs w:val="24"/>
              </w:rPr>
            </w:pPr>
            <w:r w:rsidRPr="00444E7E">
              <w:rPr>
                <w:rFonts w:ascii="Arial" w:hAnsi="Arial" w:cs="Arial"/>
                <w:sz w:val="24"/>
                <w:szCs w:val="24"/>
              </w:rPr>
              <w:t>Laboral</w:t>
            </w:r>
          </w:p>
        </w:tc>
        <w:tc>
          <w:tcPr>
            <w:tcW w:w="0" w:type="auto"/>
            <w:vAlign w:val="center"/>
            <w:hideMark/>
          </w:tcPr>
          <w:p w14:paraId="46161833"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8AB28F4"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94EFCF8"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264B9840"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D1CA724" w14:textId="77777777" w:rsidR="005A1145" w:rsidRPr="00444E7E" w:rsidRDefault="005A1145" w:rsidP="005A1145">
            <w:pPr>
              <w:rPr>
                <w:rFonts w:ascii="Arial" w:hAnsi="Arial" w:cs="Arial"/>
                <w:sz w:val="24"/>
                <w:szCs w:val="24"/>
              </w:rPr>
            </w:pPr>
            <w:r w:rsidRPr="00444E7E">
              <w:rPr>
                <w:rFonts w:ascii="Arial" w:hAnsi="Arial" w:cs="Arial"/>
                <w:sz w:val="24"/>
                <w:szCs w:val="24"/>
              </w:rPr>
              <w:t>Consistencia relativa</w:t>
            </w:r>
          </w:p>
        </w:tc>
      </w:tr>
      <w:tr w:rsidR="005A1145" w:rsidRPr="00444E7E" w14:paraId="244C2D26" w14:textId="77777777" w:rsidTr="007614A1">
        <w:trPr>
          <w:tblCellSpacing w:w="15" w:type="dxa"/>
        </w:trPr>
        <w:tc>
          <w:tcPr>
            <w:tcW w:w="0" w:type="auto"/>
            <w:vAlign w:val="center"/>
            <w:hideMark/>
          </w:tcPr>
          <w:p w14:paraId="622D89C6" w14:textId="77777777" w:rsidR="005A1145" w:rsidRPr="00444E7E" w:rsidRDefault="005A1145" w:rsidP="005A1145">
            <w:pPr>
              <w:rPr>
                <w:rFonts w:ascii="Arial" w:hAnsi="Arial" w:cs="Arial"/>
                <w:sz w:val="24"/>
                <w:szCs w:val="24"/>
              </w:rPr>
            </w:pPr>
            <w:r w:rsidRPr="00444E7E">
              <w:rPr>
                <w:rFonts w:ascii="Arial" w:hAnsi="Arial" w:cs="Arial"/>
                <w:sz w:val="24"/>
                <w:szCs w:val="24"/>
              </w:rPr>
              <w:t>Habitacional</w:t>
            </w:r>
          </w:p>
        </w:tc>
        <w:tc>
          <w:tcPr>
            <w:tcW w:w="0" w:type="auto"/>
            <w:vAlign w:val="center"/>
            <w:hideMark/>
          </w:tcPr>
          <w:p w14:paraId="080B5BC8"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36CCBBE2"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675097BA" w14:textId="77777777" w:rsidR="005A1145" w:rsidRPr="00444E7E" w:rsidRDefault="005A1145" w:rsidP="005A1145">
            <w:pPr>
              <w:rPr>
                <w:rFonts w:ascii="Arial" w:hAnsi="Arial" w:cs="Arial"/>
                <w:sz w:val="24"/>
                <w:szCs w:val="24"/>
              </w:rPr>
            </w:pPr>
            <w:r w:rsidRPr="00444E7E">
              <w:rPr>
                <w:rFonts w:ascii="Arial" w:hAnsi="Arial" w:cs="Arial"/>
                <w:sz w:val="24"/>
                <w:szCs w:val="24"/>
              </w:rPr>
              <w:t>—</w:t>
            </w:r>
          </w:p>
        </w:tc>
        <w:tc>
          <w:tcPr>
            <w:tcW w:w="0" w:type="auto"/>
            <w:vAlign w:val="center"/>
            <w:hideMark/>
          </w:tcPr>
          <w:p w14:paraId="19D9B77A" w14:textId="77777777" w:rsidR="005A1145" w:rsidRPr="00444E7E" w:rsidRDefault="005A1145" w:rsidP="005A1145">
            <w:pPr>
              <w:rPr>
                <w:rFonts w:ascii="Arial" w:hAnsi="Arial" w:cs="Arial"/>
                <w:sz w:val="24"/>
                <w:szCs w:val="24"/>
              </w:rPr>
            </w:pPr>
            <w:r w:rsidRPr="00444E7E">
              <w:rPr>
                <w:rFonts w:ascii="Segoe UI Symbol" w:hAnsi="Segoe UI Symbol" w:cs="Segoe UI Symbol"/>
                <w:sz w:val="24"/>
                <w:szCs w:val="24"/>
              </w:rPr>
              <w:t>✔</w:t>
            </w:r>
          </w:p>
        </w:tc>
        <w:tc>
          <w:tcPr>
            <w:tcW w:w="0" w:type="auto"/>
            <w:vAlign w:val="center"/>
            <w:hideMark/>
          </w:tcPr>
          <w:p w14:paraId="5060954B" w14:textId="77777777" w:rsidR="005A1145" w:rsidRPr="00444E7E" w:rsidRDefault="005A1145" w:rsidP="005A1145">
            <w:pPr>
              <w:rPr>
                <w:rFonts w:ascii="Arial" w:hAnsi="Arial" w:cs="Arial"/>
                <w:sz w:val="24"/>
                <w:szCs w:val="24"/>
              </w:rPr>
            </w:pPr>
            <w:r w:rsidRPr="00444E7E">
              <w:rPr>
                <w:rFonts w:ascii="Arial" w:hAnsi="Arial" w:cs="Arial"/>
                <w:sz w:val="24"/>
                <w:szCs w:val="24"/>
              </w:rPr>
              <w:t>Coherencia estructural</w:t>
            </w:r>
          </w:p>
        </w:tc>
      </w:tr>
    </w:tbl>
    <w:p w14:paraId="0DAFECF8" w14:textId="77777777" w:rsidR="005A1145" w:rsidRPr="00444E7E" w:rsidRDefault="005A1145" w:rsidP="00A67CFF">
      <w:pPr>
        <w:rPr>
          <w:rFonts w:ascii="Arial" w:hAnsi="Arial" w:cs="Arial"/>
          <w:sz w:val="24"/>
          <w:szCs w:val="24"/>
        </w:rPr>
      </w:pPr>
    </w:p>
    <w:p w14:paraId="23637F44" w14:textId="2D1464C5" w:rsidR="005A1145" w:rsidRPr="00444E7E" w:rsidRDefault="005A1145" w:rsidP="00A67CFF">
      <w:pPr>
        <w:rPr>
          <w:rFonts w:ascii="Arial" w:hAnsi="Arial" w:cs="Arial"/>
          <w:sz w:val="24"/>
          <w:szCs w:val="24"/>
        </w:rPr>
      </w:pPr>
      <w:r w:rsidRPr="00444E7E">
        <w:rPr>
          <w:rFonts w:ascii="Arial" w:hAnsi="Arial" w:cs="Arial"/>
          <w:sz w:val="24"/>
          <w:szCs w:val="24"/>
        </w:rPr>
        <w:t>La integración de resultados muestra que el modelo presenta una validación robusta en múltiples dimensiones. Mientras que el IPM valida la estructura general del territorio y la GEIH valida las dinámicas urbanas, el modelo SAR confirma la existencia de patrones espaciales, consolidando así un proceso de validación integral.</w:t>
      </w:r>
    </w:p>
    <w:p w14:paraId="4A1C66E6" w14:textId="77777777" w:rsidR="005A1145" w:rsidRPr="00444E7E" w:rsidRDefault="005A1145" w:rsidP="00A67CFF">
      <w:pPr>
        <w:rPr>
          <w:rFonts w:ascii="Arial" w:hAnsi="Arial" w:cs="Arial"/>
          <w:b/>
          <w:bCs/>
          <w:sz w:val="24"/>
          <w:szCs w:val="24"/>
        </w:rPr>
      </w:pPr>
    </w:p>
    <w:p w14:paraId="000410A1" w14:textId="00871B49" w:rsidR="00A67CFF" w:rsidRPr="00444E7E" w:rsidRDefault="00A67CFF" w:rsidP="00A67CFF">
      <w:pPr>
        <w:rPr>
          <w:rFonts w:ascii="Arial" w:hAnsi="Arial" w:cs="Arial"/>
          <w:b/>
          <w:bCs/>
          <w:sz w:val="24"/>
          <w:szCs w:val="24"/>
        </w:rPr>
      </w:pPr>
      <w:r w:rsidRPr="00444E7E">
        <w:rPr>
          <w:rFonts w:ascii="Arial" w:hAnsi="Arial" w:cs="Arial"/>
          <w:b/>
          <w:bCs/>
          <w:sz w:val="24"/>
          <w:szCs w:val="24"/>
        </w:rPr>
        <w:t>Análisis de correlaciones</w:t>
      </w:r>
    </w:p>
    <w:p w14:paraId="36FE9F05"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Las matrices de correlación presentadas anteriormente muestran relaciones consistentes entre las variables utilizadas en el modelo. En particular, se evidencia una alta correlación entre las variables de acceso a servicios básicos, lo que sugiere la existencia de un componente estructural asociado a la infraestructura urbana.</w:t>
      </w:r>
    </w:p>
    <w:p w14:paraId="612754F0"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Asimismo, se observa una relación negativa entre el estrato socioeconómico y el hacinamiento, lo cual es coherente con los resultados del modelo SAR y con la literatura sobre desigualdad urbana.</w:t>
      </w:r>
    </w:p>
    <w:p w14:paraId="3A3B821E" w14:textId="7668320A" w:rsidR="00A67CFF" w:rsidRPr="00444E7E" w:rsidRDefault="006C2945" w:rsidP="00A67CFF">
      <w:pPr>
        <w:rPr>
          <w:rFonts w:ascii="Arial" w:hAnsi="Arial" w:cs="Arial"/>
          <w:b/>
          <w:bCs/>
          <w:sz w:val="24"/>
          <w:szCs w:val="24"/>
        </w:rPr>
      </w:pPr>
      <w:r w:rsidRPr="00444E7E">
        <w:rPr>
          <w:rFonts w:ascii="Arial" w:hAnsi="Arial" w:cs="Arial"/>
          <w:b/>
          <w:bCs/>
          <w:noProof/>
          <w:sz w:val="24"/>
          <w:szCs w:val="24"/>
        </w:rPr>
        <w:lastRenderedPageBreak/>
        <w:drawing>
          <wp:inline distT="0" distB="0" distL="0" distR="0" wp14:anchorId="16549EAC" wp14:editId="65A715CC">
            <wp:extent cx="5612130" cy="5178425"/>
            <wp:effectExtent l="0" t="0" r="7620" b="3175"/>
            <wp:docPr id="1556745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45534" name=""/>
                    <pic:cNvPicPr/>
                  </pic:nvPicPr>
                  <pic:blipFill>
                    <a:blip r:embed="rId14"/>
                    <a:stretch>
                      <a:fillRect/>
                    </a:stretch>
                  </pic:blipFill>
                  <pic:spPr>
                    <a:xfrm>
                      <a:off x="0" y="0"/>
                      <a:ext cx="5612130" cy="5178425"/>
                    </a:xfrm>
                    <a:prstGeom prst="rect">
                      <a:avLst/>
                    </a:prstGeom>
                  </pic:spPr>
                </pic:pic>
              </a:graphicData>
            </a:graphic>
          </wp:inline>
        </w:drawing>
      </w:r>
    </w:p>
    <w:p w14:paraId="465500BA" w14:textId="3A093EF1" w:rsidR="006C2945" w:rsidRPr="00444E7E" w:rsidRDefault="006C2945" w:rsidP="00A67CFF">
      <w:pPr>
        <w:rPr>
          <w:rFonts w:ascii="Arial" w:hAnsi="Arial" w:cs="Arial"/>
          <w:b/>
          <w:bCs/>
          <w:sz w:val="24"/>
          <w:szCs w:val="24"/>
        </w:rPr>
      </w:pPr>
      <w:r w:rsidRPr="00444E7E">
        <w:rPr>
          <w:rFonts w:ascii="Arial" w:hAnsi="Arial" w:cs="Arial"/>
          <w:b/>
          <w:bCs/>
          <w:noProof/>
          <w:sz w:val="24"/>
          <w:szCs w:val="24"/>
        </w:rPr>
        <w:lastRenderedPageBreak/>
        <w:drawing>
          <wp:inline distT="0" distB="0" distL="0" distR="0" wp14:anchorId="0FC06E42" wp14:editId="4BECAF8E">
            <wp:extent cx="5612130" cy="5178425"/>
            <wp:effectExtent l="0" t="0" r="7620" b="3175"/>
            <wp:docPr id="1217977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77716" name=""/>
                    <pic:cNvPicPr/>
                  </pic:nvPicPr>
                  <pic:blipFill>
                    <a:blip r:embed="rId15"/>
                    <a:stretch>
                      <a:fillRect/>
                    </a:stretch>
                  </pic:blipFill>
                  <pic:spPr>
                    <a:xfrm>
                      <a:off x="0" y="0"/>
                      <a:ext cx="5612130" cy="5178425"/>
                    </a:xfrm>
                    <a:prstGeom prst="rect">
                      <a:avLst/>
                    </a:prstGeom>
                  </pic:spPr>
                </pic:pic>
              </a:graphicData>
            </a:graphic>
          </wp:inline>
        </w:drawing>
      </w:r>
    </w:p>
    <w:p w14:paraId="755729E7" w14:textId="6127230D" w:rsidR="006C2945" w:rsidRPr="00444E7E" w:rsidRDefault="006C2945" w:rsidP="00A67CFF">
      <w:pPr>
        <w:rPr>
          <w:rFonts w:ascii="Arial" w:hAnsi="Arial" w:cs="Arial"/>
          <w:b/>
          <w:bCs/>
          <w:sz w:val="24"/>
          <w:szCs w:val="24"/>
        </w:rPr>
      </w:pPr>
      <w:r w:rsidRPr="00444E7E">
        <w:rPr>
          <w:rFonts w:ascii="Arial" w:hAnsi="Arial" w:cs="Arial"/>
          <w:b/>
          <w:bCs/>
          <w:noProof/>
          <w:sz w:val="24"/>
          <w:szCs w:val="24"/>
        </w:rPr>
        <w:lastRenderedPageBreak/>
        <w:drawing>
          <wp:inline distT="0" distB="0" distL="0" distR="0" wp14:anchorId="357887C2" wp14:editId="1F108DF9">
            <wp:extent cx="5612130" cy="5178425"/>
            <wp:effectExtent l="0" t="0" r="7620" b="3175"/>
            <wp:docPr id="45669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98522" name=""/>
                    <pic:cNvPicPr/>
                  </pic:nvPicPr>
                  <pic:blipFill>
                    <a:blip r:embed="rId16"/>
                    <a:stretch>
                      <a:fillRect/>
                    </a:stretch>
                  </pic:blipFill>
                  <pic:spPr>
                    <a:xfrm>
                      <a:off x="0" y="0"/>
                      <a:ext cx="5612130" cy="5178425"/>
                    </a:xfrm>
                    <a:prstGeom prst="rect">
                      <a:avLst/>
                    </a:prstGeom>
                  </pic:spPr>
                </pic:pic>
              </a:graphicData>
            </a:graphic>
          </wp:inline>
        </w:drawing>
      </w:r>
    </w:p>
    <w:p w14:paraId="17FB8BC6" w14:textId="47500A13" w:rsidR="00A67CFF" w:rsidRPr="00444E7E" w:rsidRDefault="00A67CFF" w:rsidP="00A67CFF">
      <w:pPr>
        <w:rPr>
          <w:rFonts w:ascii="Arial" w:hAnsi="Arial" w:cs="Arial"/>
          <w:b/>
          <w:bCs/>
          <w:sz w:val="24"/>
          <w:szCs w:val="24"/>
        </w:rPr>
      </w:pPr>
      <w:r w:rsidRPr="00444E7E">
        <w:rPr>
          <w:rFonts w:ascii="Arial" w:hAnsi="Arial" w:cs="Arial"/>
          <w:b/>
          <w:bCs/>
          <w:sz w:val="24"/>
          <w:szCs w:val="24"/>
        </w:rPr>
        <w:t>Integración final de resultados</w:t>
      </w:r>
    </w:p>
    <w:p w14:paraId="282DDA5C"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 incorporación del modelo SAR permite cerrar el análisis de manera integral, conectando las diferentes fuentes de información utilizadas a lo largo del estudio.</w:t>
      </w:r>
    </w:p>
    <w:p w14:paraId="021ED471"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este sentido, el flujo completo del análisis puede resumirse de la siguiente manera:</w:t>
      </w:r>
    </w:p>
    <w:p w14:paraId="73C89E6E"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El clustering permitió identificar patrones y tipologías socioeconómicas a nivel de manzana </w:t>
      </w:r>
    </w:p>
    <w:p w14:paraId="7272E8AE"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El IPM permitió validar la estructura general del territorio </w:t>
      </w:r>
    </w:p>
    <w:p w14:paraId="3D5562C2"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La GEIH permitió validar las dinámicas urbanas específicas </w:t>
      </w:r>
    </w:p>
    <w:p w14:paraId="0FBA7695" w14:textId="77777777" w:rsidR="00A67CFF" w:rsidRPr="00444E7E" w:rsidRDefault="00A67CFF" w:rsidP="00A67CFF">
      <w:pPr>
        <w:numPr>
          <w:ilvl w:val="0"/>
          <w:numId w:val="8"/>
        </w:numPr>
        <w:jc w:val="both"/>
        <w:rPr>
          <w:rFonts w:ascii="Arial" w:hAnsi="Arial" w:cs="Arial"/>
          <w:sz w:val="24"/>
          <w:szCs w:val="24"/>
        </w:rPr>
      </w:pPr>
      <w:r w:rsidRPr="00444E7E">
        <w:rPr>
          <w:rFonts w:ascii="Arial" w:hAnsi="Arial" w:cs="Arial"/>
          <w:sz w:val="24"/>
          <w:szCs w:val="24"/>
        </w:rPr>
        <w:t xml:space="preserve">El modelo SAR permitió confirmar que estos patrones presentan una estructura espacial significativa </w:t>
      </w:r>
    </w:p>
    <w:p w14:paraId="7F63FE41"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lastRenderedPageBreak/>
        <w:t>Esta integración multifuente constituye uno de los principales aportes del estudio, ya que permite validar los resultados desde múltiples perspectivas, reduciendo la incertidumbre en la interpretación.</w:t>
      </w:r>
    </w:p>
    <w:p w14:paraId="3A1DF26F" w14:textId="649F5736" w:rsidR="00A67CFF" w:rsidRPr="00444E7E" w:rsidRDefault="00A67CFF" w:rsidP="00A67CFF">
      <w:pPr>
        <w:rPr>
          <w:rFonts w:ascii="Arial" w:hAnsi="Arial" w:cs="Arial"/>
          <w:sz w:val="24"/>
          <w:szCs w:val="24"/>
        </w:rPr>
      </w:pPr>
    </w:p>
    <w:p w14:paraId="29EA58AE" w14:textId="4DBD4E5B" w:rsidR="00A67CFF" w:rsidRPr="00444E7E" w:rsidRDefault="0066137B" w:rsidP="00A67CFF">
      <w:pPr>
        <w:rPr>
          <w:rFonts w:ascii="Arial" w:hAnsi="Arial" w:cs="Arial"/>
          <w:b/>
          <w:bCs/>
          <w:sz w:val="24"/>
          <w:szCs w:val="24"/>
        </w:rPr>
      </w:pPr>
      <w:r w:rsidRPr="00444E7E">
        <w:rPr>
          <w:rFonts w:ascii="Arial" w:hAnsi="Arial" w:cs="Arial"/>
          <w:b/>
          <w:bCs/>
          <w:sz w:val="24"/>
          <w:szCs w:val="24"/>
        </w:rPr>
        <w:t>Conclusiones generales</w:t>
      </w:r>
      <w:r w:rsidR="00A67CFF" w:rsidRPr="00444E7E">
        <w:rPr>
          <w:rFonts w:ascii="Arial" w:hAnsi="Arial" w:cs="Arial"/>
          <w:b/>
          <w:bCs/>
          <w:sz w:val="24"/>
          <w:szCs w:val="24"/>
        </w:rPr>
        <w:t xml:space="preserve"> de la fase</w:t>
      </w:r>
    </w:p>
    <w:p w14:paraId="1E58C236"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Los resultados del análisis espacial evidencian que la pobreza multidimensional en las ciudades estudiadas presenta una estructura territorial definida, caracterizada por la existencia de dependencia espacial entre unidades geográficas.</w:t>
      </w:r>
    </w:p>
    <w:p w14:paraId="4E1F5188"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La consistencia entre los resultados del clustering, el IPM, la GEIH y el modelo SAR confirma que los patrones identificados no son producto del azar, sino que responden a dinámicas socioeconómicas reales.</w:t>
      </w:r>
    </w:p>
    <w:p w14:paraId="2287A5ED"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En conjunto, el análisis demuestra que la combinación de técnicas de aprendizaje no supervisado, validación multifuente y modelos espaciales constituye un enfoque robusto para el estudio de la desigualdad territorial.</w:t>
      </w:r>
    </w:p>
    <w:p w14:paraId="48F52E91" w14:textId="77777777" w:rsidR="00A67CFF" w:rsidRPr="00444E7E" w:rsidRDefault="00A67CFF" w:rsidP="00A67CFF">
      <w:pPr>
        <w:jc w:val="both"/>
        <w:rPr>
          <w:rFonts w:ascii="Arial" w:hAnsi="Arial" w:cs="Arial"/>
          <w:sz w:val="24"/>
          <w:szCs w:val="24"/>
        </w:rPr>
      </w:pPr>
      <w:r w:rsidRPr="00444E7E">
        <w:rPr>
          <w:rFonts w:ascii="Arial" w:hAnsi="Arial" w:cs="Arial"/>
          <w:sz w:val="24"/>
          <w:szCs w:val="24"/>
        </w:rPr>
        <w:t>Este enfoque no solo permite describir la distribución de la pobreza, sino también comprender los mecanismos que la generan y la reproducen en el espacio, aportando herramientas relevantes para el diseño de políticas públicas orientadas a la reducción de la desigualdad.</w:t>
      </w:r>
    </w:p>
    <w:p w14:paraId="0938CF4D" w14:textId="77777777" w:rsidR="009E4D26" w:rsidRPr="00A9131E" w:rsidRDefault="009E4D26" w:rsidP="00A9131E">
      <w:pPr>
        <w:rPr>
          <w:b/>
          <w:bCs/>
        </w:rPr>
      </w:pPr>
    </w:p>
    <w:sectPr w:rsidR="009E4D26" w:rsidRPr="00A913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F13"/>
    <w:multiLevelType w:val="multilevel"/>
    <w:tmpl w:val="59B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20C63"/>
    <w:multiLevelType w:val="multilevel"/>
    <w:tmpl w:val="E26E5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51823"/>
    <w:multiLevelType w:val="multilevel"/>
    <w:tmpl w:val="34B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142B4"/>
    <w:multiLevelType w:val="multilevel"/>
    <w:tmpl w:val="47E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A5051"/>
    <w:multiLevelType w:val="multilevel"/>
    <w:tmpl w:val="D6F6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439BE"/>
    <w:multiLevelType w:val="multilevel"/>
    <w:tmpl w:val="F14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166CF"/>
    <w:multiLevelType w:val="multilevel"/>
    <w:tmpl w:val="D968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12F86"/>
    <w:multiLevelType w:val="multilevel"/>
    <w:tmpl w:val="A3F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914375">
    <w:abstractNumId w:val="5"/>
  </w:num>
  <w:num w:numId="2" w16cid:durableId="719403108">
    <w:abstractNumId w:val="6"/>
  </w:num>
  <w:num w:numId="3" w16cid:durableId="201867150">
    <w:abstractNumId w:val="1"/>
  </w:num>
  <w:num w:numId="4" w16cid:durableId="1106079834">
    <w:abstractNumId w:val="7"/>
  </w:num>
  <w:num w:numId="5" w16cid:durableId="1245917811">
    <w:abstractNumId w:val="0"/>
  </w:num>
  <w:num w:numId="6" w16cid:durableId="954097262">
    <w:abstractNumId w:val="2"/>
  </w:num>
  <w:num w:numId="7" w16cid:durableId="466972080">
    <w:abstractNumId w:val="3"/>
  </w:num>
  <w:num w:numId="8" w16cid:durableId="828256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1E"/>
    <w:rsid w:val="000D0630"/>
    <w:rsid w:val="00154B6E"/>
    <w:rsid w:val="00193D5E"/>
    <w:rsid w:val="00444E7E"/>
    <w:rsid w:val="004D6D18"/>
    <w:rsid w:val="004F4DAF"/>
    <w:rsid w:val="00533F57"/>
    <w:rsid w:val="005A1145"/>
    <w:rsid w:val="006212A6"/>
    <w:rsid w:val="0066137B"/>
    <w:rsid w:val="00673816"/>
    <w:rsid w:val="006C2945"/>
    <w:rsid w:val="007614A1"/>
    <w:rsid w:val="00775839"/>
    <w:rsid w:val="008F5EC8"/>
    <w:rsid w:val="009E4D26"/>
    <w:rsid w:val="00A67CFF"/>
    <w:rsid w:val="00A9131E"/>
    <w:rsid w:val="00B24883"/>
    <w:rsid w:val="00B564FA"/>
    <w:rsid w:val="00B648B0"/>
    <w:rsid w:val="00B96463"/>
    <w:rsid w:val="00C838BA"/>
    <w:rsid w:val="00D22600"/>
    <w:rsid w:val="00F068E7"/>
    <w:rsid w:val="00F91F46"/>
    <w:rsid w:val="00F971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1291"/>
  <w15:chartTrackingRefBased/>
  <w15:docId w15:val="{9A45CA3C-8E2E-47FD-B672-B40C0618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1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1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13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13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13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13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3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3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3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3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13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13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13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13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13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3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3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31E"/>
    <w:rPr>
      <w:rFonts w:eastAsiaTheme="majorEastAsia" w:cstheme="majorBidi"/>
      <w:color w:val="272727" w:themeColor="text1" w:themeTint="D8"/>
    </w:rPr>
  </w:style>
  <w:style w:type="paragraph" w:styleId="Ttulo">
    <w:name w:val="Title"/>
    <w:basedOn w:val="Normal"/>
    <w:next w:val="Normal"/>
    <w:link w:val="TtuloCar"/>
    <w:uiPriority w:val="10"/>
    <w:qFormat/>
    <w:rsid w:val="00A9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3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3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3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31E"/>
    <w:pPr>
      <w:spacing w:before="160"/>
      <w:jc w:val="center"/>
    </w:pPr>
    <w:rPr>
      <w:i/>
      <w:iCs/>
      <w:color w:val="404040" w:themeColor="text1" w:themeTint="BF"/>
    </w:rPr>
  </w:style>
  <w:style w:type="character" w:customStyle="1" w:styleId="CitaCar">
    <w:name w:val="Cita Car"/>
    <w:basedOn w:val="Fuentedeprrafopredeter"/>
    <w:link w:val="Cita"/>
    <w:uiPriority w:val="29"/>
    <w:rsid w:val="00A9131E"/>
    <w:rPr>
      <w:i/>
      <w:iCs/>
      <w:color w:val="404040" w:themeColor="text1" w:themeTint="BF"/>
    </w:rPr>
  </w:style>
  <w:style w:type="paragraph" w:styleId="Prrafodelista">
    <w:name w:val="List Paragraph"/>
    <w:basedOn w:val="Normal"/>
    <w:uiPriority w:val="34"/>
    <w:qFormat/>
    <w:rsid w:val="00A9131E"/>
    <w:pPr>
      <w:ind w:left="720"/>
      <w:contextualSpacing/>
    </w:pPr>
  </w:style>
  <w:style w:type="character" w:styleId="nfasisintenso">
    <w:name w:val="Intense Emphasis"/>
    <w:basedOn w:val="Fuentedeprrafopredeter"/>
    <w:uiPriority w:val="21"/>
    <w:qFormat/>
    <w:rsid w:val="00A9131E"/>
    <w:rPr>
      <w:i/>
      <w:iCs/>
      <w:color w:val="0F4761" w:themeColor="accent1" w:themeShade="BF"/>
    </w:rPr>
  </w:style>
  <w:style w:type="paragraph" w:styleId="Citadestacada">
    <w:name w:val="Intense Quote"/>
    <w:basedOn w:val="Normal"/>
    <w:next w:val="Normal"/>
    <w:link w:val="CitadestacadaCar"/>
    <w:uiPriority w:val="30"/>
    <w:qFormat/>
    <w:rsid w:val="00A91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131E"/>
    <w:rPr>
      <w:i/>
      <w:iCs/>
      <w:color w:val="0F4761" w:themeColor="accent1" w:themeShade="BF"/>
    </w:rPr>
  </w:style>
  <w:style w:type="character" w:styleId="Referenciaintensa">
    <w:name w:val="Intense Reference"/>
    <w:basedOn w:val="Fuentedeprrafopredeter"/>
    <w:uiPriority w:val="32"/>
    <w:qFormat/>
    <w:rsid w:val="00A91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CCD37-B0F4-4367-9ECF-D7B741A67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22</Pages>
  <Words>3888</Words>
  <Characters>21387</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 PRADO CAICEDO</dc:creator>
  <cp:keywords/>
  <dc:description/>
  <cp:lastModifiedBy>DAVID J PRADO CAICEDO</cp:lastModifiedBy>
  <cp:revision>19</cp:revision>
  <dcterms:created xsi:type="dcterms:W3CDTF">2026-04-12T19:46:00Z</dcterms:created>
  <dcterms:modified xsi:type="dcterms:W3CDTF">2026-04-18T23:49:00Z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cb32a6-42be-419f-8d6c-e004b006daae_Enabled">
    <vt:lpwstr>true</vt:lpwstr>
  </property>
  <property fmtid="{D5CDD505-2E9C-101B-9397-08002B2CF9AE}" pid="3" name="MSIP_Label_70cb32a6-42be-419f-8d6c-e004b006daae_SetDate">
    <vt:lpwstr>2026-04-12T19:50:12Z</vt:lpwstr>
  </property>
  <property fmtid="{D5CDD505-2E9C-101B-9397-08002B2CF9AE}" pid="4" name="MSIP_Label_70cb32a6-42be-419f-8d6c-e004b006daae_Method">
    <vt:lpwstr>Standard</vt:lpwstr>
  </property>
  <property fmtid="{D5CDD505-2E9C-101B-9397-08002B2CF9AE}" pid="5" name="MSIP_Label_70cb32a6-42be-419f-8d6c-e004b006daae_Name">
    <vt:lpwstr>70cb32a6-42be-419f-8d6c-e004b006daae</vt:lpwstr>
  </property>
  <property fmtid="{D5CDD505-2E9C-101B-9397-08002B2CF9AE}" pid="6" name="MSIP_Label_70cb32a6-42be-419f-8d6c-e004b006daae_SiteId">
    <vt:lpwstr>0cb501d9-65f6-43a5-85cf-0058bde67d53</vt:lpwstr>
  </property>
  <property fmtid="{D5CDD505-2E9C-101B-9397-08002B2CF9AE}" pid="7" name="MSIP_Label_70cb32a6-42be-419f-8d6c-e004b006daae_ActionId">
    <vt:lpwstr>3eae456d-54fd-4f27-b654-7f659447b074</vt:lpwstr>
  </property>
  <property fmtid="{D5CDD505-2E9C-101B-9397-08002B2CF9AE}" pid="8" name="MSIP_Label_70cb32a6-42be-419f-8d6c-e004b006daae_ContentBits">
    <vt:lpwstr>0</vt:lpwstr>
  </property>
  <property fmtid="{D5CDD505-2E9C-101B-9397-08002B2CF9AE}" pid="9" name="MSIP_Label_70cb32a6-42be-419f-8d6c-e004b006daae_Tag">
    <vt:lpwstr>10, 3, 0, 1</vt:lpwstr>
  </property>
</Properties>
</file>