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(currently reference 16) was looking into CVD and all-cause mortality has been clarified.</w:t>
      </w:r>
    </w:p>
    <w:p>
      <w:pPr>
        <w:numPr>
          <w:ilvl w:val="0"/>
          <w:numId w:val="1002"/>
        </w:numPr>
        <w:pStyle w:val="Compact"/>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your suggestions and comments on this. Acceleration factor (AF) can be interpreted as the speed/velocity just like all individuals are driving their cars from the same start point (entry into the study setting) to their goals (stroke mortality) but different people can drive their own cars with different speeds. If the AF is smaller than 1 (reference group - never drinker), then it is considered that individual will end up at the goal with slower speed (or takes longer time). Actually these AF maybe easier to be interpreted compared with hazard ratios (HR) for readers without any training in epidemiology. Because the idea of HR includes hazard that is defined as a risk at a given point in time which is more confusing for many readers.</w:t>
      </w:r>
    </w:p>
    <w:p>
      <w:pPr>
        <w:pStyle w:val="BodyText"/>
      </w:pPr>
      <w:r>
        <w:t xml:space="preserve">We understand that some readers may not be familiar with the alternative and relatively computationally expensive approach. The biggest features in the traditional Cox proportional hazard model or any other classical statistical methods are that they assume 1) there is only one true but unknown value of the parameter (in this context, the HR and AF) from the data at hand to estimate; 2) the experiment/study can be repeated, therefore the confidence intervals in that framework uses standard error to provide precision for the estimates that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3) continue on the repeatable assumption, so that the P-values are actually saying that</w:t>
      </w:r>
      <w:r>
        <w:t xml:space="preserve"> </w:t>
      </w:r>
      <w:r>
        <w:t xml:space="preserve">“</w:t>
      </w:r>
      <w:r>
        <w:t xml:space="preserve">if we can repeat the same experiment for many times, the same or more extreme results can happen with this probability, if this probability is lower than 0.05 (commonly used as the cut-off value but without actual solid scientific support) it is considered as rarely happens or</w:t>
      </w:r>
      <w:r>
        <w:t xml:space="preserve"> </w:t>
      </w:r>
      <w:r>
        <w:t xml:space="preserve">‘</w:t>
      </w:r>
      <w:r>
        <w:t xml:space="preserve">statistically significant</w:t>
      </w:r>
      <w:r>
        <w:t xml:space="preserve">’</w:t>
      </w:r>
      <w:r>
        <w:t xml:space="preserve">.</w:t>
      </w:r>
      <w:r>
        <w:t xml:space="preserve">”</w:t>
      </w:r>
    </w:p>
    <w:p>
      <w:pPr>
        <w:pStyle w:val="BodyText"/>
      </w:pPr>
      <w:r>
        <w:t xml:space="preserve">Bayesian ways of statistical analyses would disagree with all of the above assumptions because literally no one experiment/study can be repeated especially large scale cohort studies that take years and many participants/investigators to carry out. Bayesian statistics would provide a posterior distribution of the parameter that we want to estimates which means that the HR or AF is not fixed and unknown but with a distribution that has a mean and a standard deviation to describe its features, and the 95% credible intervals is directly showing us that we are 95% sure that the parameter of interest is distributed in this range. Furthermore, because of the large amount of simulations that we have conducted, the Pr(HR &lt; 1) is showing the percentages that these HRs are smaller than 1. So a percentage of Pr(HR &lt; 1) = 99% can be directly interpreted as</w:t>
      </w:r>
      <w:r>
        <w:t xml:space="preserve"> </w:t>
      </w:r>
      <w:r>
        <w:t xml:space="preserve">“</w:t>
      </w:r>
      <w:r>
        <w:t xml:space="preserve">we are 99% sure that drinking milk at this frequency has lower hazard than those who never consume milk.</w:t>
      </w:r>
      <w:r>
        <w:t xml:space="preserve">”</w:t>
      </w:r>
      <w:r>
        <w:t xml:space="preserve"> </w:t>
      </w:r>
      <w:r>
        <w:t xml:space="preserve">The models in both classical and the Bayesian frameworks are the same, so the HRs from both frameworks can be interpreted in the same way. However, the estimating processes are different: one is based on the maximum likelihood estimation but the other is based on extensive Markov Chain Monte Carlo (MCMC) simulation. Therefore we would say that the only limitation for the Bayesian approach would be the computational cost but with the development of the modern computers we expect the Bayesian approaches would become the future default. The above discussion would be out of the scope of the current paper but we understand the confusions could still exist even if we add them into the manuscript. As requested, we added some of the discussion in the revised manuscript in the</w:t>
      </w:r>
      <w:r>
        <w:t xml:space="preserve"> </w:t>
      </w:r>
      <w:r>
        <w:t xml:space="preserve">“</w:t>
      </w:r>
      <w:r>
        <w:t xml:space="preserve">strength and limitation</w:t>
      </w:r>
      <w:r>
        <w:t xml:space="preserve">”</w:t>
      </w:r>
      <w:r>
        <w:t xml:space="preserve"> </w:t>
      </w:r>
      <w:r>
        <w:t xml:space="preserve">section.</w:t>
      </w:r>
    </w:p>
    <w:p>
      <w:pPr>
        <w:numPr>
          <w:ilvl w:val="0"/>
          <w:numId w:val="1003"/>
        </w:numPr>
        <w:pStyle w:val="Compact"/>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expected there is a sex difference in the association based on our prior knowledge from the same cohort as well as the Singapore Chinese Health Study. Our expectation was further confirmed through a quick likelihood ratio test comparing Cox proportional hazard models with and without the interaction terms between sex and milk intake frequencies (P for interaction &lt; 0.0001, not shown in the main text).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in our cohort had relatively less mortality rates of fatal stroke and much better lifestyles (much less smokers and alcohol drinkers) than men regardless of milk intake frequency, or maybe due to other factors that was not available in/considered by our models such as intake of calcium or other supplements. The existing beneficial effect by milk intake is probably less evident in women than that in men in the JACC study cohort.</w:t>
      </w:r>
    </w:p>
    <w:p>
      <w:pPr>
        <w:pStyle w:val="BodyText"/>
      </w:pPr>
      <w:r>
        <w:t xml:space="preserve">The updated manuscript have included these information in the methods section as well as in the discussion about sex differences on the association.</w:t>
      </w:r>
    </w:p>
    <w:p>
      <w:pPr>
        <w:numPr>
          <w:ilvl w:val="0"/>
          <w:numId w:val="1004"/>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pStyle w:val="FirstParagraph"/>
      </w:pPr>
      <w:r>
        <w:t xml:space="preserve">[Response:] Thanks for your suggestion. The more straightforward answer is provided as Pr(HR &lt; 1) which shows the percentages of HRs &lt; 1 calculated through the large amount of simulations. The detailed interpretation is described above in answering your second comment. These probabilities show directly how certain it is for individuals with that milk intake frequency could have lower hazard compared with those who never consume milk. In the traditional way the answer was not clear since only estimates of HRs, 95% confidence intervals, and/or P-values were shown. None of these actually can directly answer the question</w:t>
      </w:r>
      <w:r>
        <w:t xml:space="preserve"> </w:t>
      </w:r>
      <w:r>
        <w:t xml:space="preserve">“</w:t>
      </w:r>
      <w:r>
        <w:t xml:space="preserve">how sure it is to have lower hazard in one group compared with another?</w:t>
      </w:r>
      <w:r>
        <w:t xml:space="preserve">”</w:t>
      </w:r>
      <w:r>
        <w:t xml:space="preserve"> </w:t>
      </w:r>
      <w:r>
        <w:t xml:space="preserve">We have added clearer descriptions about these research questions and interpretations.</w:t>
      </w:r>
    </w:p>
    <w:p>
      <w:pPr>
        <w:numPr>
          <w:ilvl w:val="0"/>
          <w:numId w:val="1005"/>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pStyle w:val="FirstParagraph"/>
      </w:pPr>
      <w:r>
        <w:t xml:space="preserve">[Response:] Thanks for your suggestions. In the baseline year of the JACC study (between 1988 and 1990), most</w:t>
      </w:r>
      <w:r>
        <w:t xml:space="preserve"> </w:t>
      </w:r>
      <w:r>
        <w:t xml:space="preserve">“</w:t>
      </w:r>
      <w:r>
        <w:t xml:space="preserve">milk and dairy product</w:t>
      </w:r>
      <w:r>
        <w:t xml:space="preserve">”</w:t>
      </w:r>
      <w:r>
        <w:t xml:space="preserve"> </w:t>
      </w:r>
      <w:r>
        <w:t xml:space="preserve">consumption (92.1%) was in the form of whole milk. We have added the context of milk intake in Japan for participants who were invited into the JACC study.</w:t>
      </w:r>
    </w:p>
    <w:p>
      <w:pPr>
        <w:numPr>
          <w:ilvl w:val="0"/>
          <w:numId w:val="1006"/>
        </w:numPr>
        <w:pStyle w:val="Compact"/>
      </w:pPr>
      <w:r>
        <w:rPr>
          <w:i/>
        </w:rPr>
        <w:t xml:space="preserve">Please specify age at baseline in abstract and methods.</w:t>
      </w:r>
    </w:p>
    <w:p>
      <w:pPr>
        <w:pStyle w:val="FirstParagraph"/>
      </w:pPr>
      <w:r>
        <w:t xml:space="preserve">[Response:] Age range are now added in the abstract and methods accordingly.</w:t>
      </w:r>
    </w:p>
    <w:p>
      <w:pPr>
        <w:numPr>
          <w:ilvl w:val="0"/>
          <w:numId w:val="1007"/>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pStyle w:val="FirstParagraph"/>
      </w:pPr>
      <w:r>
        <w:t xml:space="preserve">[Response:] We have added these detailed information at the beginning of the results section. In the study area, investigators conducted systematic review of death certificates till the end of 2009. Date and cause of death were confirmed with the permission of the Director-General of the Prime Minister’s Office. Number of deaths from causes other than stroke were 18868 (10731 men and 8137 women); 5493 (2022 men and 3471 women) dropped out from the follow-up (5.8%); 67349 (25281 men and 42068 women) were censored at the end of follow-up (71.4%). Among the 2675 stroke mortality confirmed in the JACC study, 766 were unfortunately not recorded with subtypes. The median (IQR) of follow-up years for cerebral infarction mortality were 11.2 (7.1, 15.3) and 11.8 (7.9, 16.4) in men and women; the median (IQR) of follow-up years for hemorrhagic stroke mortality were 9.9 (5.4, 12.3) and 10.9 (5.9, 15.1) in men and women. Potential reasons for differences in the results for stroke subtypes are described in discussion.</w:t>
      </w:r>
    </w:p>
    <w:p>
      <w:pPr>
        <w:numPr>
          <w:ilvl w:val="0"/>
          <w:numId w:val="1008"/>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pStyle w:val="FirstParagraph"/>
      </w:pPr>
      <w:r>
        <w:t xml:space="preserve">[Response:] Thanks for your positive comments. The validation study of the FFQ used in the JACC study found that the median intake for a daily milk consumer was about 146 grams per day. This has been added in the first paragraph of</w:t>
      </w:r>
      <w:r>
        <w:t xml:space="preserve"> </w:t>
      </w:r>
      <w:r>
        <w:t xml:space="preserve">“</w:t>
      </w:r>
      <w:r>
        <w:t xml:space="preserve">2.2 Exposure and the outcome of interest</w:t>
      </w:r>
      <w:r>
        <w:t xml:space="preserve">”</w:t>
      </w:r>
      <w:r>
        <w:t xml:space="preserve"> </w:t>
      </w:r>
      <w:r>
        <w:t xml:space="preserve">section.</w:t>
      </w:r>
    </w:p>
    <w:p>
      <w:pPr>
        <w:numPr>
          <w:ilvl w:val="0"/>
          <w:numId w:val="1009"/>
        </w:numPr>
        <w:pStyle w:val="Compact"/>
      </w:pPr>
      <w:r>
        <w:rPr>
          <w:i/>
        </w:rPr>
        <w:t xml:space="preserve">Why did you adjust for sleep duration, is that a factor that influences both milk intake and stroke mortality risk?</w:t>
      </w:r>
    </w:p>
    <w:p>
      <w:pPr>
        <w:pStyle w:val="FirstParagraph"/>
      </w:pPr>
      <w:r>
        <w:t xml:space="preserve">[Response:] Thanks for pointing this out. Previous report (cited as below) using the same data showed that healthy lifestyle behaviors (including milk intake daily and proper sleep duration) were associated with CVD mortality and therefore, we also included sleep duration as one of the potential confounders.</w:t>
      </w:r>
    </w:p>
    <w:p>
      <w:pPr>
        <w:pStyle w:val="BodyText"/>
      </w:pPr>
      <w:r>
        <w:t xml:space="preserve">Eri Eguchi, Hiroyasu Iso, Naohito Tanabe, Yasuhiko Wada, Hiroshi Yatsuya, Shogo Kikuchi, Yutaka Inaba, Akiko Tamakoshi, on behalf of the Japan Collaborative Cohort Study Group, Healthy lifestyle behaviours and cardiovascular mortality among Japanese men and women: the Japan collaborative cohort study, European Heart Journal, Volume 33, Issue 4, February 2012, Pages 467–477.</w:t>
      </w:r>
    </w:p>
    <w:p>
      <w:pPr>
        <w:numPr>
          <w:ilvl w:val="0"/>
          <w:numId w:val="1010"/>
        </w:numPr>
        <w:pStyle w:val="Compact"/>
      </w:pPr>
      <w:r>
        <w:rPr>
          <w:i/>
        </w:rPr>
        <w:t xml:space="preserve">The manuscript has minor language errors throughout and would benefit from a language review.</w:t>
      </w:r>
    </w:p>
    <w:p>
      <w:pPr>
        <w:pStyle w:val="FirstParagraph"/>
      </w:pPr>
      <w:r>
        <w:t xml:space="preserve">[Response:] Many thanks for your detailed comments that helped us in improving the quality and readability of our manuscript. We tried our best to check and fixed the language errors throughout the revised version of the paper.</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2020-08-25T14:23:03Z</dcterms:created>
  <dcterms:modified xsi:type="dcterms:W3CDTF">2020-08-25T23:23:04Z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