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three</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aims</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were</w:t>
      </w:r>
      <w:r>
        <w:t xml:space="preserve"> </w:t>
      </w:r>
      <w:r>
        <w:t xml:space="preserve">defined:</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have</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who</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possibly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a</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in</w:t>
      </w:r>
      <w:r>
        <w:t xml:space="preserve"> </w:t>
      </w:r>
      <w:r>
        <w:t xml:space="preserve">blood</w:t>
      </w:r>
      <w:r>
        <w:t xml:space="preserve"> </w:t>
      </w:r>
      <w:r>
        <w:t xml:space="preserve">pressure</w:t>
      </w:r>
      <w:r>
        <w:t xml:space="preserve"> </w:t>
      </w:r>
      <w:r>
        <w:t xml:space="preserve">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partial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an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and for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HbA1C</w:t>
      </w:r>
      <w:r>
        <w:t xml:space="preserve"> </w:t>
      </w:r>
      <w:r>
        <w:t xml:space="preserve">&amp; Haemoglobin</w:t>
      </w:r>
      <w:r>
        <w:t xml:space="preserve"> </w:t>
      </w:r>
      <w:r>
        <w:rPr>
          <w:b/>
        </w:rPr>
        <w:t xml:space="preserve">A1C</w:t>
      </w:r>
      <w:r>
        <w:t xml:space="preserve">: Glycated haemoglobin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main meals a day in addition to snacks. However, whether this is really an ideal temporal eating pattern for everyone has never been answered with scientific evidence. More importantly, how many temporal patterns of eating are there in the population, the proportions of people who actually manage/fail to follow this doctrine, and whether people are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its impact on nutrition and metabolism is still largely unknown</w:t>
      </w:r>
      <w:r>
        <w:t xml:space="preserve"> </w:t>
      </w:r>
      <w:r>
        <w:t xml:space="preserve">[1–3]</w:t>
      </w:r>
      <w:r>
        <w:t xml:space="preserve">. Some recent evidence has found that meal timing is associated with a wide variety of health outcomes. Skipping breakfast is associated with a higher risk of developing type 2 diabetes</w:t>
      </w:r>
      <w:r>
        <w:t xml:space="preserve"> </w:t>
      </w:r>
      <w:r>
        <w:t xml:space="preserve">[4]</w:t>
      </w:r>
      <w:r>
        <w:t xml:space="preserve">. Shift workers have a higher risk of developing metabolic syndrome</w:t>
      </w:r>
      <w:r>
        <w:t xml:space="preserve"> </w:t>
      </w:r>
      <w:r>
        <w:t xml:space="preserve">[5]</w:t>
      </w:r>
      <w:r>
        <w:t xml:space="preserve"> </w:t>
      </w:r>
      <w:r>
        <w:t xml:space="preserve">and type 2 diabetes</w:t>
      </w:r>
      <w:r>
        <w:t xml:space="preserve"> </w:t>
      </w:r>
      <w:r>
        <w:t xml:space="preserve">[6]</w:t>
      </w:r>
      <w:r>
        <w:t xml:space="preserve">. Evening intake of energy is positively associated with overweight/obesity</w:t>
      </w:r>
      <w:r>
        <w:t xml:space="preserve"> </w:t>
      </w:r>
      <w:r>
        <w:t xml:space="preserve">[7]</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[8,9]</w:t>
      </w:r>
      <w:r>
        <w:t xml:space="preserve">. Based on total energy consumption, the presence of 3 groups of eaters: grazers, early eaters, and late eaters was identified</w:t>
      </w:r>
      <w:r>
        <w:t xml:space="preserve"> </w:t>
      </w:r>
      <w:r>
        <w:t xml:space="preserve">[8,9]</w:t>
      </w:r>
      <w:r>
        <w:t xml:space="preserve">. So far, the temporal eating patterns were only based on averaging the total energy intake calculated from one or two 24-hour dietary recalls and therefore could not capture the day-to-day variation in temporal eating patterns. Thus, the question of how much variability within a person follows one or several specific temporal eating patterns in his/her everyday life remains unanswered. Many factors, such as day of the week or season, or culture may contribute to daily variation in dietary intake and temporal eating. However, most of the variation in an individual’s diet seems to be without an apparent pattern</w:t>
      </w:r>
      <w:r>
        <w:t xml:space="preserve"> </w:t>
      </w:r>
      <w:r>
        <w:t xml:space="preserve">[10]</w:t>
      </w:r>
      <w:r>
        <w:t xml:space="preserve">. Intakes of macro-nutrients (carbohydrate, fat, and protein), due to the reason of their substantial contribution to the total energy intake, may have somewhat moderate degrees of day-to-day variation</w:t>
      </w:r>
      <w:r>
        <w:t xml:space="preserve"> </w:t>
      </w:r>
      <w:r>
        <w:t xml:space="preserve">[11]</w:t>
      </w:r>
      <w:r>
        <w:t xml:space="preserve">. Thus, novel analytic methods that can account for this within-person day-to-day variation is needed.</w:t>
      </w:r>
    </w:p>
    <w:p>
      <w:pPr>
        <w:pStyle w:val="BodyText"/>
      </w:pPr>
      <w:r>
        <w:t xml:space="preserve">In the present report, we focused on temporal eating patterns for carbohydrate consumption in a nationally representative sample of UK adults. Eating more carbohydrate in the morning has been found to be negatively associated with metabolic syndrome</w:t>
      </w:r>
      <w:r>
        <w:t xml:space="preserve"> </w:t>
      </w:r>
      <w:r>
        <w:t xml:space="preserve">[12]</w:t>
      </w:r>
      <w:r>
        <w:t xml:space="preserve">. On the other hand, high total consumption of carbohydrate has been linked with higher risk of type 2 diabetes</w:t>
      </w:r>
      <w:r>
        <w:t xml:space="preserve"> </w:t>
      </w:r>
      <w:r>
        <w:t xml:space="preserve">[13]</w:t>
      </w:r>
      <w:r>
        <w:t xml:space="preserve">. Whether the amount or the timing (or both) of carbohydrate consumption during the day matters is an important question to address for both individuals and the public as a whole.</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[14]</w:t>
      </w:r>
      <w:r>
        <w:t xml:space="preserve"> </w:t>
      </w:r>
      <w:r>
        <w:t xml:space="preserve">was initially established in 1992 and began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recruits around 1000 people per year as a representative sample of the UK population. Fieldwork began in 2008 and is now starting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addresses in the UK, clustered into postcode sectors.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day-time of consumption for carbohydrate and defining latent groups in the UK adults. An additional aim is to investigate the association of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required to keep a diary that record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visit was a brief one to check for compliance, answer potential questions, and deal with problems. Interviewers also reviewed the diary to identify and edit possible omissions and missing detail in the food diary. The third visit was to collect the diary and again review and edit possible omissions.</w:t>
      </w:r>
    </w:p>
    <w:p>
      <w:pPr>
        <w:pStyle w:val="BodyText"/>
      </w:pPr>
      <w:r>
        <w:t xml:space="preserve">In the diary, portion sizes of food or drink eaten were asked to be recorded in household measures (e.g. one tablespoon of beans, one Kit Kat finger-size), or for packaged foods to note the weight indicated on the packet. Homemade dishes were also described in the diary about their ingredients, quantities, along with a brief description of the cooking procedure and how much of the dish were consumed. For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[15]</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[16]</w:t>
      </w:r>
      <w:r>
        <w:t xml:space="preserve">. Specifically, the main variables that we adopted in the current analysis were defined as:</w:t>
      </w:r>
    </w:p>
    <w:p>
      <w:pPr>
        <w:numPr>
          <w:numId w:val="1002"/>
          <w:ilvl w:val="0"/>
        </w:numPr>
      </w:pPr>
      <w:r>
        <w:t xml:space="preserve">Total energy intake = (protein</w:t>
      </w:r>
      <w:r>
        <w:t xml:space="preserve"> </w:t>
      </w:r>
      <m:oMath>
        <m:r>
          <m:t>×</m:t>
        </m:r>
      </m:oMath>
      <w:r>
        <w:t xml:space="preserve"> </w:t>
      </w:r>
      <w:r>
        <w:t xml:space="preserve">17) + (fat</w:t>
      </w:r>
      <w:r>
        <w:t xml:space="preserve"> </w:t>
      </w:r>
      <m:oMath>
        <m:r>
          <m:t>×</m:t>
        </m:r>
      </m:oMath>
      <w:r>
        <w:t xml:space="preserve"> </w:t>
      </w:r>
      <w:r>
        <w:t xml:space="preserve">37) + (carbohydrate</w:t>
      </w:r>
      <w:r>
        <w:t xml:space="preserve"> </w:t>
      </w:r>
      <m:oMath>
        <m:r>
          <m:t>×</m:t>
        </m:r>
      </m:oMath>
      <w:r>
        <w:t xml:space="preserve"> </w:t>
      </w:r>
      <w:r>
        <w:t xml:space="preserve">16) + (alcohol</w:t>
      </w:r>
      <w:r>
        <w:t xml:space="preserve"> </w:t>
      </w:r>
      <m:oMath>
        <m:r>
          <m:t>×</m:t>
        </m:r>
      </m:oMath>
      <w:r>
        <w:t xml:space="preserve"> </w:t>
      </w:r>
      <w:r>
        <w:t xml:space="preserve">29) kJ;</w:t>
      </w:r>
    </w:p>
    <w:p>
      <w:pPr>
        <w:numPr>
          <w:numId w:val="1002"/>
          <w:ilvl w:val="0"/>
        </w:numPr>
      </w:pPr>
      <w:r>
        <w:t xml:space="preserve">Carbohydrate intake = total sugars + starch;</w:t>
      </w:r>
    </w:p>
    <w:p>
      <w:pPr>
        <w:numPr>
          <w:numId w:val="1002"/>
          <w:ilvl w:val="0"/>
        </w:numPr>
      </w:pPr>
      <w:r>
        <w:t xml:space="preserve">All quantities above were measured as the mass in grams.</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list of discrete responses for our variable of interest, the energy consumed within each time slot over the four days of survey for each participant were calculated. The percentages of total energy intake contributed by carbohydrate within each time slot were then calculated. Since we planned to apply latent class analysis (LCA) in the current study, in which the observed indicators for latent classes must be categorical, the responses were then dichotomised according to these percentages of the energy intake at a cut-off value of 50%, i.e. if within a time slot where any energy intake occurred, carbohydrate consumption was categorised by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 for interviews;</w:t>
      </w:r>
    </w:p>
    <w:p>
      <w:pPr>
        <w:numPr>
          <w:numId w:val="1004"/>
          <w:ilvl w:val="0"/>
        </w:numPr>
      </w:pPr>
      <w:r>
        <w:t xml:space="preserve">Selected addresses where children resided were randomly allocated to one of two groups to determine whether an adult (aged 19 years or older) and a child (aged 1.5 to 18 years) or a child only, were selected for interviews.</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the weighting system were designed in the NDNS RP to assure that the combined sample would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inverses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[17]</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who completed a dietary diary was approximately 75%, to the blood sample in adults were 51%, 57%, and 50% for years 1 to 4, 5 to 6, and 7 to 8, respectively. In creating the nurse/blood sample weight, a logistic regression model was used by the NDNS RP study team to model the relationship between response to nurse visit/giving a blood sample and a set of predictor variables (socio-demographic, participant and catering/household unit characteristics). The model generated a predicted probability for each participant, which is the probability of agreeing to a nurse visit/providing a blood sample, given the characteristics of the individual and the household unit. Participants with characteristics associated with non-response were under-represented in the sample and therefore receive a low predicted probability. The inverses of these predicted probabilities were used as a set of non-response weights so that participants with a low predicted probability got a larger weight, increasing their representation in the sample. Then the nurse/blood sample weights were re-scaled so that the sum of which equalled the number of participants who had a nurse visit or 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Appendix B of the reports published by Public Health England (PHE)</w:t>
      </w:r>
      <w:r>
        <w:t xml:space="preserve"> </w:t>
      </w:r>
      <w:r>
        <w:t xml:space="preserve">[16,18,19]</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and waist circumferences (WC) measured by the nurses.</w:t>
      </w:r>
    </w:p>
    <w:p>
      <w:pPr>
        <w:pStyle w:val="BodyText"/>
      </w:pPr>
      <w:r>
        <w:t xml:space="preserve">Specifically, blood pressure was measured in a sitting position using an automated, validated machine, the Omron HEM907, after a five-minute rest. The mean of the second and third readings, taken at one-minute intervals, were used in the current report. Hypertension was defined as with systolic blood pressure of 140 mmHg or above, or diastolic blood pressure of 90 mmHg or above, or taking any medication specifically to reduce blood pressure.</w:t>
      </w:r>
    </w:p>
    <w:p>
      <w:pPr>
        <w:pStyle w:val="BodyText"/>
      </w:pPr>
      <w:r>
        <w:t xml:space="preserve">A self-completion questionnaire - the Recent Physical Activity Questionnaire</w:t>
      </w:r>
      <w:r>
        <w:t xml:space="preserve"> </w:t>
      </w:r>
      <w:r>
        <w:t xml:space="preserve">[20]</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[16,18,19]</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collected by centrifugation of the coagulated blood sample. Serum total, High-Density Lipoprotein (HDL) and Low-Density Lipoprotein (LDL) cholesterol, triglycerides (TG), fasting blood glucose, haemoglobin HbHbA1C were measured. HbA1C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from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the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[21]</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the latter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and their diary recordings were later converted into three/four vectors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day-level latent class to vary across individual-levels.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[22,23]</w:t>
      </w:r>
      <w:r>
        <w:t xml:space="preserve"> </w:t>
      </w:r>
      <w:r>
        <w:t xml:space="preserve">and Asparouhov and Muthén</w:t>
      </w:r>
      <w:r>
        <w:t xml:space="preserve"> </w:t>
      </w:r>
      <w:r>
        <w:t xml:space="preserve">[24]</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the individual-level,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[25]</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 the</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the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to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are the predictors for respectively day-level (weekdays or weekends) and individual-level, such as age, and sex.</w:t>
      </w:r>
    </w:p>
    <w:p>
      <w:pPr>
        <w:pStyle w:val="FirstParagraph"/>
      </w:pPr>
      <w:r>
        <w:t xml:space="preserve">The 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the set of latent classes,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day-level data to assess the log-odds of belonging to the</w:t>
      </w:r>
      <w:r>
        <w:t xml:space="preserve"> </w:t>
      </w:r>
      <m:oMath>
        <m:r>
          <m:t>k</m:t>
        </m:r>
      </m:oMath>
      <w:r>
        <w:t xml:space="preserve">th type of carbohydrate eating pattern on a specific day of the survey and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an MLCA is defined by multiple observed indicators (here is defined by the responses of eating carbohydrate within each time slots, throughout three/four consecutive days of their survey period). Considering the latent class indicators as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j</m:t>
              </m:r>
              <m:r>
                <m:rPr>
                  <m:sty m:val="b"/>
                </m:rPr>
                <m:t>k</m:t>
              </m:r>
            </m:sub>
          </m:sSub>
          <m:r>
            <m:rPr>
              <m:sty m:val="b"/>
            </m:rPr>
            <m:t>=</m:t>
          </m:r>
          <m:sSub>
            <m:e>
              <m:r>
                <m:rPr>
                  <m:sty m:val="b"/>
                </m:rPr>
                <m:t>s</m:t>
              </m:r>
            </m:e>
            <m:sub>
              <m:r>
                <m:rPr>
                  <m:sty m:val="b"/>
                </m:rP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 the</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 the</w:t>
      </w:r>
      <w:r>
        <w:t xml:space="preserve"> </w:t>
      </w:r>
      <m:oMath>
        <m:r>
          <m:t>i</m:t>
        </m:r>
      </m:oMath>
      <w:r>
        <w:t xml:space="preserve">th day of the survey, the total number of day-level latent class is</w:t>
      </w:r>
      <w:r>
        <w:t xml:space="preserve"> </w:t>
      </w:r>
      <m:oMath>
        <m:r>
          <m:t>T</m:t>
        </m:r>
      </m:oMath>
      <w:r>
        <w:t xml:space="preserve">;</w:t>
      </w:r>
    </w:p>
    <w:p>
      <w:pPr>
        <w:numPr>
          <w:numId w:val="1008"/>
          <w:ilvl w:val="0"/>
        </w:numPr>
      </w:pPr>
      <m:oMath>
        <m:r>
          <m:t>P</m:t>
        </m:r>
        <m:r>
          <m:t>(</m:t>
        </m:r>
        <m:sSub>
          <m:e>
            <m:r>
              <m:rPr>
                <m:sty m:val="b"/>
              </m:rPr>
              <m:t>U</m:t>
            </m:r>
          </m:e>
          <m:sub>
            <m:r>
              <m:rPr>
                <m:sty m:val="b"/>
              </m:rPr>
              <m:t>i</m:t>
            </m:r>
            <m:r>
              <m:rPr>
                <m:sty m:val="b"/>
              </m:rPr>
              <m:t>j</m:t>
            </m:r>
            <m:r>
              <m:rPr>
                <m:sty m:val="b"/>
              </m:rPr>
              <m:t>k</m:t>
            </m:r>
          </m:sub>
        </m:sSub>
        <m:r>
          <m:rPr>
            <m:sty m:val="b"/>
          </m:rPr>
          <m:t>=</m:t>
        </m:r>
        <m:sSub>
          <m:e>
            <m:r>
              <m:rPr>
                <m:sty m:val="b"/>
              </m:rPr>
              <m:t>s</m:t>
            </m:r>
          </m:e>
          <m:sub>
            <m:r>
              <m:rPr>
                <m:sty m:val="b"/>
              </m:rP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[23,26]</w:t>
      </w:r>
      <w:r>
        <w:t xml:space="preserve">, an alternative approach is using a non-parametric MLCA</w:t>
      </w:r>
      <w:r>
        <w:t xml:space="preserve"> </w:t>
      </w:r>
      <w:r>
        <w:t xml:space="preserve">[27]</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r</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the individual-level latent class membership for the</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the day-level and individual-level indicators.</w:t>
      </w:r>
    </w:p>
    <w:p>
      <w:pPr>
        <w:pStyle w:val="FirstParagraph"/>
      </w:pPr>
      <w:r>
        <w:t xml:space="preserve">According to Finch and French’s simulation study</w:t>
      </w:r>
      <w:r>
        <w:t xml:space="preserve"> </w:t>
      </w:r>
      <w:r>
        <w:t xml:space="preserve">[28]</w:t>
      </w:r>
      <w:r>
        <w:t xml:space="preserve">, the non-parametric approach generally resulted in a more accurate recovery of the underlying latent structure of the data at both levels and provided better latent class model compared with the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[29]</w:t>
      </w:r>
      <w:r>
        <w:t xml:space="preserve">:</w:t>
      </w:r>
    </w:p>
    <w:p>
      <w:pPr>
        <w:numPr>
          <w:numId w:val="1010"/>
          <w:ilvl w:val="0"/>
        </w:numPr>
      </w:pPr>
      <w:r>
        <w:t xml:space="preserve">First,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structure of the data. In these models, the number of day-level classes was based on the best fitting LCA model from the first step, and the LCA model at the individual-level was estimated to identify the number of individual-level latent classes;</w:t>
      </w:r>
    </w:p>
    <w:p>
      <w:pPr>
        <w:numPr>
          <w:numId w:val="1010"/>
          <w:ilvl w:val="0"/>
        </w:numPr>
      </w:pPr>
      <w:r>
        <w:t xml:space="preserve">Last, once the number of individual-level latent classes was defined based on the previous stage, the number of day-level classes was modified (one class lower and one class higher than in the second step) to investigate the effect of changing level 1 classes and to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[30,31]</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most importantly, 3) pattern interpretability. In the steps of performing multilevel LCA, where LMR-LRT is not available, the same rules of model fit indices and pattern interpretability were used to determine the optimal combination of latent classes in observation day-level and individual-level. MLCA models were fitted in Mplus 7.4</w:t>
      </w:r>
      <w:r>
        <w:t xml:space="preserve"> </w:t>
      </w:r>
      <w:r>
        <w:t xml:space="preserve">[32]</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day-level latent classes and individual-level latent classes</w:t>
      </w:r>
    </w:p>
    <w:p>
      <w:pPr>
        <w:pStyle w:val="FirstParagraph"/>
      </w:pPr>
      <w:r>
        <w:t xml:space="preserve">Day-level latent classes identified by the first step of MLCA were tabulated according to the day of the week and also whether the diary was recorded during weekends or not. A contingency table giving the frequency of responses across the 7-time slots of the survey days was produced. Descriptive statistics for the dietary day-level recordings according to the latent class memberships were presented. Pearson</w:t>
      </w:r>
      <w:r>
        <w:t xml:space="preserve"> </w:t>
      </w:r>
      <m:oMath>
        <m:sSup>
          <m:e>
            <m:r>
              <m:t>χ</m:t>
            </m:r>
          </m:e>
          <m:sup>
            <m:r>
              <m:t>2</m:t>
            </m:r>
          </m:sup>
        </m:sSup>
      </m:oMath>
      <w:r>
        <w:t xml:space="preserve"> </w:t>
      </w:r>
      <w:r>
        <w:t xml:space="preserve">test was used to assess evidence fora difference in the distribution of categorical variables. One-way Analysis of Variance (ANOVA) was used to compare the means across the multiple groups for continuous variables.</w:t>
      </w:r>
    </w:p>
    <w:p>
      <w:pPr>
        <w:pStyle w:val="BodyText"/>
      </w:pPr>
      <w:r>
        <w:t xml:space="preserve">Person-level point estimates and 95% confidence intervals (CIs) were determined by applying individual, nurse visiting, and blood sample weights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HbA1C, TC, LDL, HDL, TG, and average physical activity duration per day. Weighted geometric means (95% CI) were used for all log-transformed variables.</w:t>
      </w:r>
    </w:p>
    <w:p>
      <w:pPr>
        <w:pStyle w:val="BodyText"/>
      </w:pPr>
      <w:r>
        <w:t xml:space="preserve">To see whether there is any temporal pattern for food intake at the individual-level, weighted estimates of nutrients consumption across the 7-time slots of the day were calculated for each individual-level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comparisons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individual-level latent classes and the prevalence of hypertension, and measurements of obesity</w:t>
      </w:r>
    </w:p>
    <w:p>
      <w:pPr>
        <w:pStyle w:val="FirstParagraph"/>
      </w:pPr>
      <w:r>
        <w:t xml:space="preserve">Associations between individual-level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statistical analyses conducted above, i.e. those associated with both the exposure and the outcome and also not on the causal pathway were selected as potential confounders. Covariates that are strongly related with the outcomes but not associate with carbohydrate eating groups may reduce the standard errors and improve the precisions, so they were also considered in the linear regression models.</w:t>
      </w:r>
    </w:p>
    <w:p>
      <w:pPr>
        <w:numPr>
          <w:numId w:val="1011"/>
          <w:ilvl w:val="0"/>
        </w:numPr>
      </w:pPr>
      <w:r>
        <w:t xml:space="preserve">Confounding or interaction effects from each of the potential factors were checked one by one. Interaction effects were tested using the adjusted Wald test for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the presence of the other covariates.</w:t>
      </w:r>
    </w:p>
    <w:p>
      <w:pPr>
        <w:numPr>
          <w:numId w:val="1011"/>
          <w:ilvl w:val="0"/>
        </w:numPr>
      </w:pPr>
      <w:r>
        <w:t xml:space="preserve">For logistic regression models (hypertension) under the survey data, goodness-of-fit was assessed using</w:t>
      </w:r>
      <w:r>
        <w:t xml:space="preserve"> </w:t>
      </w:r>
      <w:r>
        <w:rPr>
          <w:i/>
        </w:rPr>
        <w:t xml:space="preserve">F</w:t>
      </w:r>
      <w:r>
        <w:t xml:space="preserve">-adjusted mean residual test</w:t>
      </w:r>
      <w:r>
        <w:t xml:space="preserve"> </w:t>
      </w:r>
      <w:r>
        <w:t xml:space="preserve">[33,34]</w:t>
      </w:r>
      <w:r>
        <w:t xml:space="preserve"> </w:t>
      </w:r>
      <w:r>
        <w:t xml:space="preserve">which is implemented in Stata using command</w:t>
      </w:r>
      <w:r>
        <w:t xml:space="preserve"> </w:t>
      </w:r>
      <w:r>
        <w:rPr>
          <w:rStyle w:val="VerbatimChar"/>
        </w:rPr>
        <w:t xml:space="preserve">svylogitgof</w:t>
      </w:r>
      <w:r>
        <w:t xml:space="preserve"> </w:t>
      </w:r>
      <w:r>
        <w:t xml:space="preserve">[35]</w:t>
      </w:r>
      <w:r>
        <w:t xml:space="preserve">. Other diagnostics for regular logistic regression models, such as estimating the pseudo-R</w:t>
      </w:r>
      <w:r>
        <w:rPr>
          <w:vertAlign w:val="superscript"/>
        </w:rPr>
        <w:t xml:space="preserve">2</w:t>
      </w:r>
      <w:r>
        <w:t xml:space="preserve">, AIC or BIC, checking the standardised Pearson residuals, or covariate pattern residuals are currently not available for weighted survey data.</w:t>
      </w:r>
    </w:p>
    <w:p>
      <w:pPr>
        <w:numPr>
          <w:numId w:val="1011"/>
          <w:ilvl w:val="0"/>
        </w:numPr>
      </w:pPr>
      <w:r>
        <w:t xml:space="preserve">For linear regression models (WC, BMI), the assumption of independent observations is violated because of the clustered structure of the data. Therefore, inference from such models is based on design rather than the model.</w:t>
      </w:r>
      <w:r>
        <w:t xml:space="preserve"> </w:t>
      </w:r>
      <w:r>
        <w:t xml:space="preserve">General checking such as QQ plots of the residuals (normality), plotting the residuals against fitted values (constant variance) are unneeded (also not available). Outliers, leverage, and Cook’s distance cannot be checked either. However, participants with extreme weightings (if any) were checked by removing them and refitting the models as a sensitivity analysis.</w:t>
      </w:r>
    </w:p>
    <w:p>
      <w:pPr>
        <w:numPr>
          <w:numId w:val="1011"/>
          <w:ilvl w:val="0"/>
        </w:numPr>
      </w:pPr>
      <w:r>
        <w:t xml:space="preserve">Since under complex survey designed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used to decide whether quadratic and cubic terms of continuous variables were necessary for improving the fitting of the model</w:t>
      </w:r>
      <w:r>
        <w:t xml:space="preserve"> </w:t>
      </w:r>
      <w:r>
        <w:t xml:space="preserve">[36]</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[37]</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[38]</w:t>
      </w:r>
      <w:r>
        <w:t xml:space="preserve">. The process of model fitting, covariate selection, and interaction effect testing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the 7 time slots of the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as the number of day level classes increases. However, the improvement of BIC dropped to less than 1000 from 3 class to 4 class solutions (658.9) and from 4 class to 5 class solutions (361.7). Entropy index indicates that the 4 class model could explain about 51%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For the sake of parsimony, we only extended the model with random effects building on 2 class, 3 class, and 4 class solutions.</w:t>
      </w:r>
    </w:p>
    <w:p>
      <w:pPr>
        <w:pStyle w:val="BodyText"/>
      </w:pPr>
      <w:r>
        <w:t xml:space="preserve">The results of the random effects models are presented in</w:t>
      </w:r>
      <w:r>
        <w:t xml:space="preserve"> </w:t>
      </w:r>
      <w:r>
        <w:rPr>
          <w:b/>
        </w:rPr>
        <w:t xml:space="preserve">Table [tab:mixmodels]</w:t>
      </w:r>
      <w:r>
        <w:t xml:space="preserve"> </w:t>
      </w:r>
      <w:r>
        <w:t xml:space="preserve">under the Random effects model section. It is evident that the BIC improves with the addition of random effects to account for the nested structure of the data. Entropy indicates that 2 classes in the day level and 4 classes in the individual level may be the best solution mathematically. However, after these solutions were checked in more details, the most substantively interpretable model was found to be the 3</w:t>
      </w:r>
      <m:oMath>
        <m:r>
          <m:t>×</m:t>
        </m:r>
      </m:oMath>
      <w:r>
        <w:t xml:space="preserve">3 random effect model, which is the model with 3 latent classes in the day level and 3 latent classes in the individual level. We must emphasise that different researchers may have made decisions slightly different from ours, we have provided other solutions in</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at the day level. The overall counts and percentages for each response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the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a probability of only 0.079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a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in row)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was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the high percentage carbohydrate days, participants turned out to consume the highest amount of fruit (107.40 g). There was no evidence of any difference in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Individual-level LCA solution</w:t>
      </w:r>
    </w:p>
    <w:p>
      <w:pPr>
        <w:pStyle w:val="FirstParagraph"/>
      </w:pPr>
      <w:r>
        <w:t xml:space="preserve">In the random effect models, we utilised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individual-level latent classes</w:t>
      </w:r>
      <w:r>
        <w:t xml:space="preserve"> </w:t>
      </w:r>
      <w:r>
        <w:rPr>
          <w:b/>
        </w:rPr>
        <w:t xml:space="preserve">(Figure [fig:CB2level2])</w:t>
      </w:r>
      <w:r>
        <w:t xml:space="preserve">, one individual class comprises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from each other.</w:t>
      </w:r>
    </w:p>
    <w:p>
      <w:pPr>
        <w:pStyle w:val="BodyText"/>
      </w:pPr>
      <w:r>
        <w:t xml:space="preserve">With three individual-level latent classes</w:t>
      </w:r>
      <w:r>
        <w:t xml:space="preserve"> </w:t>
      </w:r>
      <w:r>
        <w:rPr>
          <w:b/>
        </w:rPr>
        <w:t xml:space="preserve">(Figure [fig:level2])</w:t>
      </w:r>
      <w:r>
        <w:t xml:space="preserve">, a low-carbohydrate eaters class, a moderate-carbohydrate eaters class, and a high-carbohydrate eaters class emerge.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on the left-hand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the highest amount of fat and alcohol consumptions as already described in</w:t>
      </w:r>
      <w:r>
        <w:t xml:space="preserve"> </w:t>
      </w:r>
      <w:r>
        <w:rPr>
          <w:b/>
        </w:rPr>
        <w:t xml:space="preserve">Table [tab:day-level-features]</w:t>
      </w:r>
      <w:r>
        <w:t xml:space="preserve">. Moderate carbohydrate eaters have comparable proportions (42.0% vs 40.0%) of high carbohydrate days and regular meals days; 18.0% of their dietary diary was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patterns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is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7-time slots were also different. Low carbohydrate eaters</w:t>
      </w:r>
      <w:r>
        <w:t xml:space="preserve"> </w:t>
      </w:r>
      <w:r>
        <w:rPr>
          <w:b/>
        </w:rPr>
        <w:t xml:space="preserve">(Figure [fig:energysourcesCB]-A)</w:t>
      </w:r>
      <w:r>
        <w:t xml:space="preserve"> </w:t>
      </w:r>
      <w:r>
        <w:t xml:space="preserve">never had carbohydrate contributing more than 50% of their total energy throughout the day. Energy from fat was the highest for low carbohydrate eaters most of the time during the day (except for the time slot between 10 pm to 6 am next morning). Most impressively, energy contributed by alcohol was always the highest in low carbohydrate eaters, percentages for energy from alcohol for the 7-times slots were 1.4% (6-9 am), 1.8% (9-12 noon), 3.1% (12-2 pm), 7.2% (2-5 pm), 8.4% (5-8 pm), 20.0% (8-10 pm), and 31.2% (10-6 am), respectively. Contributions from different energy sources were quite similar for moderate and high carbohydrate eaters, but their absolute amount of energy consumption at each time slot was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tend to have later breakfast, later lunch, and probably later dinner as well. They had the highest total energy consumption (599.7 kJ) at night (10 pm - 6 am) across all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 am). We also noticed that high carbohydrate eaters consumed their energy mainly from the following three time slots: 6-9 am, 12-2 pm, and 5-8 pm.</w:t>
      </w:r>
    </w:p>
    <w:p>
      <w:pPr>
        <w:pStyle w:val="BodyText"/>
      </w:pPr>
      <w:r>
        <w:t xml:space="preserve">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among the high carbohydrate eaters but was only 40.6% among the low carbohydrate eaters. In terms of the subtypes (components) of the carbohydrate consumed at each time slot, high carbohydrate eaters consumed more than 2 times (compared to low carbohydrate eaters) and nearly 4 times (against moderate carbohydrate eaters) the amount of sugar (37.9g 95% CI: 36.8, 39.2) and non-milk extrinsic sugar (i.e. free sugar, 11.1g 95%CI: 10.7, 11.6) between 6-9 am. Moderate carbohydrate eaters had carbohydrate intakes that were more spread out throughout the day. They consumed more sugar and starch during 9-12 noon, 2-5 pm, 8-10 pm, and 10-6 am. Low carbohydrate eaters turned to have a similar temporal pattern of consuming carbohydrates as the high carbohydrate eaters, but the absolute amount of fibre, sugar, free sugar, and starch consumed were usually lower than that in the high carbohydrate eaters except for time slots of 2-5 pm, and 10-6 am. Strong evidence (</w:t>
      </w:r>
      <w:r>
        <w:rPr>
          <w:i/>
        </w:rPr>
        <w:t xml:space="preserve">p</w:t>
      </w:r>
      <w:r>
        <w:t xml:space="preserve"> </w:t>
      </w:r>
      <w:r>
        <w:t xml:space="preserve">&lt; 0.001) suggested that the</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mean of total fibre consumption for low, moderate, and high carbohydrate eaters were different: 13.7g (95%CI: 13.4, 14.0), 12.5g (95%CI: 12.1, 12.9), and 14.7g (95%CI: 14.4, 14.9) with all 95% CI being non-overlapping.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reasonably even (</w:t>
      </w:r>
      <w:r>
        <w:rPr>
          <w:i/>
        </w:rPr>
        <w:t xml:space="preserve">p</w:t>
      </w:r>
      <w:r>
        <w:t xml:space="preserve"> </w:t>
      </w:r>
      <w:r>
        <w:t xml:space="preserve">= 0.119). The distribution of the carbohydrate eater types appears to be changing with the year of survey. Low carbohydrate eaters represented 32.5% of the population in the first year of the survey but later dropped to lower than 30% (minimum in the third year at 22.6%) until the most recent year. The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any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the highest proportion of non-white population (20.5%), and a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lowest prevalence of hypertension (20.2%).</w:t>
      </w:r>
    </w:p>
    <w:p>
      <w:pPr>
        <w:pStyle w:val="BodyText"/>
      </w:pPr>
      <w:r>
        <w:t xml:space="preserve">From the results of blood tests, 6.9% of low carbohydrate eaters were found to be diabetic (diagnosed by HbA1C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HbA1C was probably lower (</w:t>
      </w:r>
      <w:r>
        <w:rPr>
          <w:i/>
        </w:rPr>
        <w:t xml:space="preserve">p</w:t>
      </w:r>
      <w:r>
        <w:t xml:space="preserve"> </w:t>
      </w:r>
      <w:r>
        <w:t xml:space="preserve">= 0.010)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HbA1C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was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a higher proportion of being classified as low or high carbohydrate eaters; total energy and carbohydrate intake were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of having hypertension were 32% lower (OR: 0.68, 95% CI: 0.43, 1.07) in moderate carbohydrate eaters compared with low carbohydrate eaters, evidence for the OR different from 1 was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odds for moderate and high carbohydrate eaters compared with low carbohydrate eaters were 35% (OR: 0.65, 95%CI: 0.41, 1.03) and 27% (OR:0.73, 95%CI: 0.51, 1.06) lower,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of participants according to their obesity status stratified by sex. The survey design-weighted prevalences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and average household income (</w:t>
      </w:r>
      <w:r>
        <w:rPr>
          <w:i/>
        </w:rPr>
        <w:t xml:space="preserve">p</w:t>
      </w:r>
      <w:r>
        <w:t xml:space="preserve"> </w:t>
      </w:r>
      <w:r>
        <w:t xml:space="preserve">= 0.011 for men, &lt; 0.001 for women) decreased with increases in BMI. Living with a partner was strongly positively associated with obesity for men but not for women. Men with obesity were also found to have the lowest proportion of never being a smoker (47.9%) and the highest proportion of being an ex-smoker (32.9%). Association between smoking status and obesity in women had only very weak evidence (</w:t>
      </w:r>
      <w:r>
        <w:rPr>
          <w:i/>
        </w:rPr>
        <w:t xml:space="preserve">p</w:t>
      </w:r>
      <w:r>
        <w:t xml:space="preserve"> </w:t>
      </w:r>
      <w:r>
        <w:t xml:space="preserve">= 0.042), but a similar pattern as in men was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lacked evidence for an association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smaller BMI for moderate or high carbohydrate eaters compared with low carbohydrate eaters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an interaction effect was found between living with a partner or not and carbohydrate eating patterns for the outcome of BMI (</w:t>
      </w:r>
      <w:r>
        <w:rPr>
          <w:i/>
        </w:rPr>
        <w:t xml:space="preserve">p</w:t>
      </w:r>
      <w:r>
        <w:t xml:space="preserve"> </w:t>
      </w:r>
      <w:r>
        <w:t xml:space="preserve">for interaction = 0.014 and 0.036 for women in total and without diabetes). For women who were living with partners, latent classes of carbohydrate eating patterns were negatively associated with BMI. Compared with women eating a low carbohydrate food pattern, women having a high carbohydrate eating pattern were associated with an average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there was no evidence that regression coefficients differed from 0 (</w:t>
      </w:r>
      <w:r>
        <w:rPr>
          <w:i/>
        </w:rPr>
        <w:t xml:space="preserve">p</w:t>
      </w:r>
      <w:r>
        <w:t xml:space="preserve"> </w:t>
      </w:r>
      <w:r>
        <w:t xml:space="preserve">&gt; 0.05).</w:t>
      </w:r>
    </w:p>
    <w:p>
      <w:pPr>
        <w:pStyle w:val="BodyText"/>
      </w:pPr>
      <w:r>
        <w:t xml:space="preserve">Similarly, when looking at the association between carbohydrate eating pattern and abdominal obesity (WC), men who were classified as moderate carbohydrate eaters were found to have about 3 cm (95%CI: 0.52, 5.49 cm,</w:t>
      </w:r>
      <w:r>
        <w:t xml:space="preserve"> </w:t>
      </w:r>
      <w:r>
        <w:rPr>
          <w:i/>
        </w:rPr>
        <w:t xml:space="preserve">p</w:t>
      </w:r>
      <w:r>
        <w:t xml:space="preserve"> </w:t>
      </w:r>
      <w:r>
        <w:t xml:space="preserve">= 0.018) smaller WC compared to low carbohydrate eaters in the crude model</w:t>
      </w:r>
      <w:r>
        <w:t xml:space="preserve"> </w:t>
      </w:r>
      <w:r>
        <w:rPr>
          <w:b/>
        </w:rPr>
        <w:t xml:space="preserve">(Table [tab:tab2WC])</w:t>
      </w:r>
      <w:r>
        <w:t xml:space="preserve">. However, after adjustment for age, living with partner or not, average household income, education level, hypertension, smoking status, total energy intake, and alcohol consumption, the association attenuated to no difference. The interaction effect of living with a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after restricting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had borderline significance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data from the NDNS RP, this project examined carbohydrate temporal eating patterns firstly at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throughout the hours of day (low percentage carbohydrate day); and 3) always having lunch and dinner day (regular meals day). From these day level classifications and their features, one might anticipate that individuals followed much of class 3) days, the regular meals day, might be eating a healthier diet because of regular eating habits. We might also speculate that those who followed either high or low carbohydrate percentage days would consume higher total energy than those who followed mostly regular meals days.</w:t>
      </w:r>
    </w:p>
    <w:p>
      <w:pPr>
        <w:pStyle w:val="BodyText"/>
      </w:pPr>
      <w:r>
        <w:t xml:space="preserve">However, when the MLCA extended the model to an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over the captured four days.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eating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had a higher proportion of energy contributed by both alcohol and fat across the 7 time slots. A high percentage of fat consumption was shown in all 7-time slots, energy coming from alcohol exceeded more than one-fifth of the total energy after 8 pm. These findings explained why they were actually consuming the highest energy among the three types of carbohydrate eaters. In the meantime, we also found that participants consuming low carbohydrate food had a higher prevalence of diabetes, hypertension, and obesity. These health issues might lead them to replace carbohydrates in their diet with other energy sources such as fat, protein, or even alcohol. Therefore, there is a possibility that they chose to follow low carbohydrate diets for health purposes,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the time period as late as after 10 pm. People who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mostly single, with lower average income, and lower education level. They might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[8,9]</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potentially eating a healthier diet compared with the other two eating patterns.</w:t>
      </w:r>
    </w:p>
    <w:p>
      <w:pPr>
        <w:pStyle w:val="BodyText"/>
      </w:pPr>
      <w:r>
        <w:t xml:space="preserve">Our analyses looking for different temporal carbohydrate eating patterns also highlighted the complexity of eating behaviours in the population and the utility of exploratory, data-driven methods to objectively identify eating patterns that reflect both timing and quantities of food intake, which may not have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Men who were classified as moderate carbohydrate eaters were estimated to have lower odds of having hypertension compared with low carbohydrate eaters, after adjustment for age, relationship status (living with a partner or not), educational level, BMI, smoking status and total energy intake. As discussed above, moderate carbohydrate eaters tended to have meals (or energy intake) later in time compared with high carbohydrate eaters. But, it is noteworthy that low carbohydrate eaters also obtained a large amount of energy from both fat and alcohol at night. Therefore, considering that moderate carbohydrate eaters were younger than low carbohydrate eaters (although age was adjusted in the full models), it is probable that reverse causality exists here (also due to the nature of cross-sectional study). That is, they were potentially both late eaters, however, with increased age (and so with increased health-related problems/concerns) some of the individuals modified their habits, replacing carbohydrate food with other energy sources (so that they became low carbohydrate eaters) leading to the phenomenon of lower odds of hypertension in moderate carbohydrate eaters. This phenomenon may be supported by some current trend in following low carbohydrate diets (ketogenic diets) which were found actually with limited weight losing effect and even associated with adverse events such as nonalcoholic fatty liver disease (NAFLD), and insulin resistance</w:t>
      </w:r>
      <w:r>
        <w:t xml:space="preserve"> </w:t>
      </w:r>
      <w:r>
        <w:t xml:space="preserve">[39]</w:t>
      </w:r>
      <w:r>
        <w:t xml:space="preserve">. Although these hypotheses cannot be determined by the cross-sectional data from NDNS RP, if they are true, the energy sources individuals used to replace carbohydrate in their diet were apparently not wisely chosen.</w:t>
      </w:r>
    </w:p>
    <w:p>
      <w:pPr>
        <w:pStyle w:val="BodyText"/>
      </w:pPr>
      <w:r>
        <w:t xml:space="preserve">Among women, relationship status acted as an interaction factor influencing the associations between carbohydrate eating patterns and BMI and abdominal obesity (WC). Directions of the associations were opposite to each other depending on whether women were living with a partner or not. This interaction effect was more noticeable when looking at abdominal obesity measurement. High carbohydrate eaters who lived with partners had lower BMI and WC than low carbohydrate eaters, while moderate carbohydrate eaters who lived alone had higher WC than their low carbohydrate eating counterparts, after adjustment of age, education level, smoking status, total energy intake, and alcohol consumption. High carbohydrate eaters who were characterised by high and early daily energy consumption and low fat and alcohol intake may reflect a healthier diet and lifestyle, but this might be different between women who lived alone and those who lived with their partners. It was often assumed that living alone may be associated with a lower diversity of food intake and a higher likelihood of having unhealthy dietary choices</w:t>
      </w:r>
      <w:r>
        <w:t xml:space="preserve"> </w:t>
      </w:r>
      <w:r>
        <w:t xml:space="preserve">[40]</w:t>
      </w:r>
      <w:r>
        <w:t xml:space="preserve">. Therefore, there may be differences in the actual contents consumed in their high carbohydrates, or there may be other social, psychological or lifestyle-related factors related with living alone which were not measured or were not included in the models. Since the inverse association between high carbohydrate eating pattern and BMI or abdominal obesity were only observed among women who lived with partners, further investigation of this hypothesis is needed. In addition,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Several limitations in the current project merit consideration.</w:t>
      </w:r>
    </w:p>
    <w:p>
      <w:pPr>
        <w:pStyle w:val="BodyText"/>
      </w:pPr>
      <w:r>
        <w:t xml:space="preserve">First,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the season, day of the week (weekdays or weekends), or sometimes depending on what one had consumed the day before, exchangeability of daily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[21]</w:t>
      </w:r>
      <w:r>
        <w:t xml:space="preserve">, or latent class growth analysis (LCGA)</w:t>
      </w:r>
      <w:r>
        <w:t xml:space="preserve"> </w:t>
      </w:r>
      <w:r>
        <w:t xml:space="preserve">[27,41,42]</w:t>
      </w:r>
      <w:r>
        <w:t xml:space="preserve"> </w:t>
      </w:r>
      <w:r>
        <w:t xml:space="preserve">are not applicable for the NDNS RP dataset. The NDNS RP participants were allowed to choose which days to begin their food diaries, but the alternative models above would require that the 3 or 4 repeated measurements of food diaries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 the classification of individuals to latent carbohydrate eating classes was defined by maximum posterior probability assignment rule. This approach assigns individuals to the class for which they have the highest posterior probability of membership</w:t>
      </w:r>
      <w:r>
        <w:t xml:space="preserve"> </w:t>
      </w:r>
      <w:r>
        <w:t xml:space="preserve">[43]</w:t>
      </w:r>
      <w:r>
        <w:t xml:space="preserve">. The other approach is multiple pseudo-class draws</w:t>
      </w:r>
      <w:r>
        <w:t xml:space="preserve"> </w:t>
      </w:r>
      <w:r>
        <w:t xml:space="preserve">[44]</w:t>
      </w:r>
      <w:r>
        <w:t xml:space="preserve">, which was proposed in an attempt to account for uncertainty in class assignment. However, the maximum probability rule is still believed to be able to minimise the number of incorrect assignments</w:t>
      </w:r>
      <w:r>
        <w:t xml:space="preserve"> </w:t>
      </w:r>
      <w:r>
        <w:t xml:space="preserve">[45]</w:t>
      </w:r>
      <w:r>
        <w:t xml:space="preserve">. A Monte Carlo simulation study</w:t>
      </w:r>
      <w:r>
        <w:t xml:space="preserve"> </w:t>
      </w:r>
      <w:r>
        <w:t xml:space="preserve">[46]</w:t>
      </w:r>
      <w:r>
        <w:t xml:space="preserve"> </w:t>
      </w:r>
      <w:r>
        <w:t xml:space="preserve">demonstrated that maximum probability assignment is less biased than multiple pseudo-class draws.</w:t>
      </w:r>
    </w:p>
    <w:p>
      <w:pPr>
        <w:pStyle w:val="BodyText"/>
      </w:pPr>
      <w:r>
        <w:t xml:space="preserve">Moreover, the Monte Carlo simulation study</w:t>
      </w:r>
      <w:r>
        <w:t xml:space="preserve"> </w:t>
      </w:r>
      <w:r>
        <w:t xml:space="preserve">[46]</w:t>
      </w:r>
      <w:r>
        <w:t xml:space="preserve"> </w:t>
      </w:r>
      <w:r>
        <w:t xml:space="preserve">also found that an inclusive LCA (i.e. LCA with covariates) would probably perform better than non-inclusive LCA and has the potential to reduce bias of class assignment. However, whether this advantage can be extended to MLCA in the current project is unknown. Also, because the associations between the latent classes and distal outcomes (hypertension, and obesity) are still under exploration, appropriate covariates for an inclusive LCA model may not be known.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 detailed information on the occupations of the participants was not available, and thus we could not account for those who had a shift or night work. But considering that completing a 4-consecutive-day food diary may be a tremendous burden for all participants, those with shift or night work might be less able to comply and complete their diary for at 4 days. However, the latter hypothesis cannot be verified in the NDNS RP dataset. If people on shifts were included in the NDNS RP sample, the classification in both levels, as well as their associations with either hypertension or BMI would be biased.</w:t>
      </w:r>
    </w:p>
    <w:p>
      <w:pPr>
        <w:pStyle w:val="BodyText"/>
      </w:pPr>
      <w:r>
        <w:t xml:space="preserve">Furthermore, under-reporting due to the burden of recording food and drink intake for 4 days for each occasion is also a concern in the current survey. To evaluate the influence of under-reporting in the NDNS RP sample, the study team conducted a doubly labelled water (DLW) sub-study within the survey. The details of this sub-study can be accessed from the Appendix X of the Official Reports provided by Public Health England</w:t>
      </w:r>
      <w:r>
        <w:t xml:space="preserve"> </w:t>
      </w:r>
      <w:r>
        <w:t xml:space="preserve">[16,18,19]</w:t>
      </w:r>
      <w:r>
        <w:t xml:space="preserve">. In the sub-study, there is an assumption that in healthy adults, if energy consumed in food matches total energy expended over a given time period, the individuals are deemed to be in energy balance. Using the DLW technique, total energy expenditure (TEE) from a sub-sample of NDNS RP participants were measured and compared with the estimates of energy consumption from their 4 day diaries. Results of the sub-study showed reasonable agreement between energy consumed and TEE (overall ratio: 0.73), indicating some potential misreporting. Reasons such as misreporting of actual consumption, under-reporting or modified usual intake due to the burden of the survey/DLW sub-study may contribute to under-reporting of their energy consumed. We cannot extrapolate the estimated under-reporting to the whole sample since other individuals’ diet might be differentially affected by under-reporting. Moreover, within NDNS RP, it is not possible to differentiate between under-reporting due to ill health vs actual misreporting. Subsequently, most previous studies using data from the NDNS RP do not adjust for under-reporting of nutrients intake in the models.</w:t>
      </w:r>
    </w:p>
    <w:p>
      <w:pPr>
        <w:pStyle w:val="BodyText"/>
      </w:pPr>
      <w:r>
        <w:t xml:space="preserve">Last, it should be noted that the findings from data-driven, exploratory methods may not be</w:t>
      </w:r>
      <w:r>
        <w:t xml:space="preserve"> </w:t>
      </w:r>
      <w:r>
        <w:t xml:space="preserve">generalizable to populations in other countries, since the carbohydrate eating patterns in both day level and individual level may only reflect the dietary habits of the current population. The latter reflect the socio-cultural and lifestyle characteristics of the adult population in the UK. Further research is warranted to explore and better understand the eating patterns in other populations. In particular, the cross-sectional study design prevented us from deducing any causal effect between the carbohydrate eating patterns and respective health outcomes including hypertension, BMI or abdominal obesity.</w:t>
      </w:r>
    </w:p>
    <w:p>
      <w:pPr>
        <w:pStyle w:val="BodyText"/>
      </w:pPr>
      <w:r>
        <w:t xml:space="preserve">Strengths of this study include the large, nationally representative sample of UK men and women. We applied a novel, objective approach using MLCA to examine the carbohydrate eating patterns while applying standardised criteria to determine the number of latent classes. The process of finding the classifications through model-based, data-driven procedure minimises reliance on researchers’ preconceived notions of eating patterns. Eating patterns were determined from 4 consecutive days of well-designed, fully-examined food diaries that provided detailed information of what and when food and drinks were eaten. MLCA correctly accounted for the multilevel structure of the data, where the 4-day diet diaries were nested within the participants. Our findings also captured the day-to-day variation of the respective carbohydrate eating patterns within individuals. Moreover, the examination of associations between the individual level carbohydrate eating patterns and hypertension, BMI, abdominal obesity took the complex and the clustered survey design into consideration, in addition to accounting for participant non-response to survey. Health outcomes such as weight, height, waist circumferences, and blood pressure, diabetes status were measured objectively by trained nurses in addition to lipid profile, glucose, and HbA1C being measured in blood. These approaches have an advantage over self-reported measurements as they may minimise bias caused by misclassification and under-reporting.</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UK adults using the NDNS RP database in both observation day level and individual level. Low carbohydrate eaters tended to have higher energy intake from fat and alcohol compared to other types of carbohydrate eaters. Moderate carbohydrate eaters reported the lowest total daily energy intake and tended to have a higher energy intake later in the day. High carbohydrate eaters obtained most of their carbohydrate as well as energy earlier in the day. These eating patterns specifically for carbohydrate intake were found to differ by timing, quantity, and contributions to energy consumption. Compared with low carbohydrate eaters, men with a moderate carbohydrate eating pattern had a lower prevalence of hypertension. Women in moderate carbohydrate eating pattern and lived alone had a larger waist circumference compared with low carbohydrate eaters. Among women who lived with partners, a high carbohydrate eating pattern was associated with both lower BMI and smaller waist circumferences. Longitudinal studies are needed to investigate whether the identified eating patterns themselves are changing over time and to study how such circadian eating patterns may relate to the change of blood pressure, obesity, and other health outcomes (incidence of cancer, cardiovascular diseases, or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1. Johnston JD. Physiological responses to food intake throughout the day. Nutrition Research Reviews. Cambridge University Press; 2014;27:107–18.</w:t>
      </w:r>
      <w:r>
        <w:t xml:space="preserve"> </w:t>
      </w:r>
    </w:p>
    <w:p>
      <w:pPr>
        <w:pStyle w:val="Bibliography"/>
      </w:pPr>
      <w:r>
        <w:t xml:space="preserve">2. Garaulet M, Gómez-Abellán P. Timing of food intake and obesity: A novel association. Physiology &amp; Behavior. Elsevier; 2014;134:44–50.</w:t>
      </w:r>
      <w:r>
        <w:t xml:space="preserve"> </w:t>
      </w:r>
    </w:p>
    <w:p>
      <w:pPr>
        <w:pStyle w:val="Bibliography"/>
      </w:pPr>
      <w:r>
        <w:t xml:space="preserve">3. Asher G, Sassone-Corsi P. Time for food: The intimate interplay between nutrition, metabolism, and the circadian clock. Cell. Elsevier; 2015;161:84–92.</w:t>
      </w:r>
      <w:r>
        <w:t xml:space="preserve"> </w:t>
      </w:r>
    </w:p>
    <w:p>
      <w:pPr>
        <w:pStyle w:val="Bibliography"/>
      </w:pPr>
      <w:r>
        <w:t xml:space="preserve">4. Uemura M, Yatsuya H, Hilawe EH, Li Y, Wang C, Chiang C, et al. Breakfast skipping is positively associated with incidence of type 2 diabetes mellitus: Evidence from the aichi workers’ cohort study. Journal of Epidemiology. Japan Epidemiological Association; 2015;25:351–8.</w:t>
      </w:r>
      <w:r>
        <w:t xml:space="preserve"> </w:t>
      </w:r>
    </w:p>
    <w:p>
      <w:pPr>
        <w:pStyle w:val="Bibliography"/>
      </w:pPr>
      <w:r>
        <w:t xml:space="preserve">5. De Bacquer D, Van Risseghem M, Clays E, Kittel F, De Backer G, Braeckman L. Rotating shift work and the metabolic syndrome: A prospective study. International Journal of Epidemiology. Oxford University Press; 2009;38:848–54.</w:t>
      </w:r>
      <w:r>
        <w:t xml:space="preserve"> </w:t>
      </w:r>
    </w:p>
    <w:p>
      <w:pPr>
        <w:pStyle w:val="Bibliography"/>
      </w:pPr>
      <w:r>
        <w:t xml:space="preserve">6. Pan A, Schernhammer ES, Sun Q, Hu FB. Rotating night shift work and risk of type 2 diabetes: Two prospective cohort studies in women. PLoS Medicine. Public Library of Science; 2011;8:e1001141.</w:t>
      </w:r>
      <w:r>
        <w:t xml:space="preserve"> </w:t>
      </w:r>
    </w:p>
    <w:p>
      <w:pPr>
        <w:pStyle w:val="Bibliography"/>
      </w:pPr>
      <w:r>
        <w:t xml:space="preserve">7. Almoosawi S, Vingeliene S, Karagounis L, Pot G. Chrono-nutrition: A review of current evidence from observational studies on global trends in time-of-day of energy intake and its association with obesity. Proceedings of the Nutrition Society. Cambridge University Press; 2016;75:487–500.</w:t>
      </w:r>
      <w:r>
        <w:t xml:space="preserve"> </w:t>
      </w:r>
    </w:p>
    <w:p>
      <w:pPr>
        <w:pStyle w:val="Bibliography"/>
      </w:pPr>
      <w:r>
        <w:t xml:space="preserve">8. Leech RM, Worsley A, Timperio A, McNaughton SA. Temporal eating patterns: A latent class analysis approach. International Journal of Behavioral Nutrition and Physical Activity. BioMed Central; 2017;14:3.</w:t>
      </w:r>
      <w:r>
        <w:t xml:space="preserve"> </w:t>
      </w:r>
    </w:p>
    <w:p>
      <w:pPr>
        <w:pStyle w:val="Bibliography"/>
      </w:pPr>
      <w:r>
        <w:t xml:space="preserve">9. Mansukhani R, Palla L. Investigating eating time patterns in uk adults from the 2008–2012 national diet and nutrition survey. Proceedings of the Nutrition Society. Cambridge University Press; 2018;77.</w:t>
      </w:r>
      <w:r>
        <w:t xml:space="preserve"> </w:t>
      </w:r>
    </w:p>
    <w:p>
      <w:pPr>
        <w:pStyle w:val="Bibliography"/>
      </w:pPr>
      <w:r>
        <w:t xml:space="preserve">10. Schulze MB, Martínez-González MA, Fung TT, Lichtenstein AH, Forouhi NG. Food based dietary patterns and chronic disease prevention. BMJ. British Medical Journal Publishing Group; 2018;361:k2396.</w:t>
      </w:r>
      <w:r>
        <w:t xml:space="preserve"> </w:t>
      </w:r>
    </w:p>
    <w:p>
      <w:pPr>
        <w:pStyle w:val="Bibliography"/>
      </w:pPr>
      <w:r>
        <w:t xml:space="preserve">11. Willett W. Nature of variation in diet. Nutritional epidemiology. Oxford University Press; 2012. pp. 34–48.</w:t>
      </w:r>
      <w:r>
        <w:t xml:space="preserve"> </w:t>
      </w:r>
    </w:p>
    <w:p>
      <w:pPr>
        <w:pStyle w:val="Bibliography"/>
      </w:pPr>
      <w:r>
        <w:t xml:space="preserve">12. Almoosawi S, Prynne C, Hardy R, Stephen A. Time-of-day and nutrient composition of eating occasions: Prospective association with the metabolic syndrome in the 1946 british birth cohort. International Journal of Obesity. Nature Publishing Group; 2013;37:725.</w:t>
      </w:r>
      <w:r>
        <w:t xml:space="preserve"> </w:t>
      </w:r>
    </w:p>
    <w:p>
      <w:pPr>
        <w:pStyle w:val="Bibliography"/>
      </w:pPr>
      <w:r>
        <w:t xml:space="preserve">13. Alhazmi A, Stojanovski E, McEvoy M, Garg ML. Macronutrient intakes and development of type 2 diabetes: A systematic review and meta-analysis of cohort studies. Journal of the American College of Nutrition. Taylor &amp; Francis; 2012;31:243–58.</w:t>
      </w:r>
      <w:r>
        <w:t xml:space="preserve"> </w:t>
      </w:r>
    </w:p>
    <w:p>
      <w:pPr>
        <w:pStyle w:val="Bibliography"/>
      </w:pPr>
      <w:r>
        <w:t xml:space="preserve">14.</w:t>
      </w:r>
      <w:r>
        <w:t xml:space="preserve">. National diet and nutrition survey years 1-8, 2008/09-2015/16. 9th Edition. 2018.</w:t>
      </w:r>
      <w:r>
        <w:t xml:space="preserve"> </w:t>
      </w:r>
    </w:p>
    <w:p>
      <w:pPr>
        <w:pStyle w:val="Bibliography"/>
      </w:pPr>
      <w:r>
        <w:t xml:space="preserve">15. Smithers G. MAFF’s nutrient databank. Nutrition &amp; Food Science. MCB UP Ltd; 1993;93:16–9.</w:t>
      </w:r>
      <w:r>
        <w:t xml:space="preserve"> </w:t>
      </w:r>
    </w:p>
    <w:p>
      <w:pPr>
        <w:pStyle w:val="Bibliography"/>
      </w:pPr>
      <w:r>
        <w:t xml:space="preserve">16.</w:t>
      </w:r>
      <w:r>
        <w:t xml:space="preserve">. National diet and nutrition survey rolling programme. 2018.</w:t>
      </w:r>
      <w:r>
        <w:t xml:space="preserve"> </w:t>
      </w:r>
    </w:p>
    <w:p>
      <w:pPr>
        <w:pStyle w:val="Bibliography"/>
      </w:pPr>
      <w:r>
        <w:t xml:space="preserve">17.</w:t>
      </w:r>
      <w:r>
        <w:t xml:space="preserve">. Mid 2008, 2009, 2010, 2011, 2012, 2013, 2014, 2015, and 2016 population estimates. 2018.</w:t>
      </w:r>
      <w:r>
        <w:t xml:space="preserve"> </w:t>
      </w:r>
    </w:p>
    <w:p>
      <w:pPr>
        <w:pStyle w:val="Bibliography"/>
      </w:pPr>
      <w:r>
        <w:t xml:space="preserve">18. Bates B, Lennox A, Prentice A, Bates CJ, Page P, Nicholson S, et al. National diet and nutrition survey: Results from years 1, 2, 3 and 4 (combined) of the rolling programme (2008/2009-2011/2012): A survey carried out on behalf of public health england and the food standards agency. Public Health England; 2014.</w:t>
      </w:r>
      <w:r>
        <w:t xml:space="preserve"> </w:t>
      </w:r>
    </w:p>
    <w:p>
      <w:pPr>
        <w:pStyle w:val="Bibliography"/>
      </w:pPr>
      <w:r>
        <w:t xml:space="preserve">19. Roberts C, Steer T, Maplethorpe N, Cox L, Meadows S, Nicholson S, et al. National diet and nutrition survey: Results from years 7 and 8 (combined) of the rolling programme (2014/2015–2015/2016). Public Health England; 2018;</w:t>
      </w:r>
      <w:r>
        <w:t xml:space="preserve"> </w:t>
      </w:r>
    </w:p>
    <w:p>
      <w:pPr>
        <w:pStyle w:val="Bibliography"/>
      </w:pPr>
      <w:r>
        <w:t xml:space="preserve">20. Besson H, Brage S, Jakes RW, Ekelund U, Wareham NJ. Estimating physical activity energy expenditure, sedentary time, and physical activity intensity by self-report in adults. The American Journal of Clinical Nutrition. Oxford University Press; 2009;91:106–14.</w:t>
      </w:r>
      <w:r>
        <w:t xml:space="preserve"> </w:t>
      </w:r>
    </w:p>
    <w:p>
      <w:pPr>
        <w:pStyle w:val="Bibliography"/>
      </w:pPr>
      <w:r>
        <w:t xml:space="preserve">21. Collins L, Lanza S. Latent class and latent transition analysis: With applications in the social, behavioral, and health sciences. Wiley; 2010.</w:t>
      </w:r>
      <w:r>
        <w:t xml:space="preserve"> </w:t>
      </w:r>
    </w:p>
    <w:p>
      <w:pPr>
        <w:pStyle w:val="Bibliography"/>
      </w:pPr>
      <w:r>
        <w:t xml:space="preserve">22. Vermunt JK. Multilevel latent class models. Sociological Methodology. 2003. pp. 213–39.</w:t>
      </w:r>
      <w:r>
        <w:t xml:space="preserve"> </w:t>
      </w:r>
    </w:p>
    <w:p>
      <w:pPr>
        <w:pStyle w:val="Bibliography"/>
      </w:pPr>
      <w:r>
        <w:t xml:space="preserve">23. Vermunt JK. Latent class and finite mixture models for multilevel data sets. Statistical Methods in Medical Research. Sage Publications Sage UK: London, England; 2008;17:33–51.</w:t>
      </w:r>
      <w:r>
        <w:t xml:space="preserve"> </w:t>
      </w:r>
    </w:p>
    <w:p>
      <w:pPr>
        <w:pStyle w:val="Bibliography"/>
      </w:pPr>
      <w:r>
        <w:t xml:space="preserve">24. Muthén B, Asparouhov T. Multilevel regression mixture analysis. Journal of the Royal Statistical Society: Series A (Statistics in Society). Wiley Online Library; 2009;172:639–57.</w:t>
      </w:r>
      <w:r>
        <w:t xml:space="preserve"> </w:t>
      </w:r>
    </w:p>
    <w:p>
      <w:pPr>
        <w:pStyle w:val="Bibliography"/>
      </w:pPr>
      <w:r>
        <w:t xml:space="preserve">25. Snijders T, Bosker R. Multilevel analysis: An introduction to basic and advanced multilevel modeling. SAGE Publications; 2011.</w:t>
      </w:r>
      <w:r>
        <w:t xml:space="preserve"> </w:t>
      </w:r>
    </w:p>
    <w:p>
      <w:pPr>
        <w:pStyle w:val="Bibliography"/>
      </w:pPr>
      <w:r>
        <w:t xml:space="preserve">26. Van Horn ML, Fagan AA, Jaki T, Brown EC, Hawkins JD, Arthur MW, et al. Using multilevel mixtures to evaluate intervention effects in group randomized trials. Multivariate Behavioral Research. Taylor &amp; Francis; 2008;43:289–326.</w:t>
      </w:r>
      <w:r>
        <w:t xml:space="preserve"> </w:t>
      </w:r>
    </w:p>
    <w:p>
      <w:pPr>
        <w:pStyle w:val="Bibliography"/>
      </w:pPr>
      <w:r>
        <w:t xml:space="preserve">27. Davidian M, Fitzmaurice G, Molenberghs G, Verbeke G. Growth mixture modeling: Analysis with non-gaussian random effects. Longitudinal data analysis. Chapman; Hall/CRC; 2008. pp. 157–80.</w:t>
      </w:r>
      <w:r>
        <w:t xml:space="preserve"> </w:t>
      </w:r>
    </w:p>
    <w:p>
      <w:pPr>
        <w:pStyle w:val="Bibliography"/>
      </w:pPr>
      <w:r>
        <w:t xml:space="preserve">28. Finch WH, French BF. Multilevel latent class analysis: Parametric and nonparametric models. The Journal of Experimental Education. Taylor &amp; Francis; 2014;82:307–33.</w:t>
      </w:r>
      <w:r>
        <w:t xml:space="preserve"> </w:t>
      </w:r>
    </w:p>
    <w:p>
      <w:pPr>
        <w:pStyle w:val="Bibliography"/>
      </w:pPr>
      <w:r>
        <w:t xml:space="preserve">29. Henry KL, Muthén B. Multilevel latent class analysis: An application of adolescent smoking typologies with individual and contextual predictors. Structural Equation Modeling. Taylor &amp; Francis; 2010;17:193–215.</w:t>
      </w:r>
      <w:r>
        <w:t xml:space="preserve"> </w:t>
      </w:r>
    </w:p>
    <w:p>
      <w:pPr>
        <w:pStyle w:val="Bibliography"/>
      </w:pPr>
      <w:r>
        <w:t xml:space="preserve">30. Lo Y, Mendell NR, Rubin DB. Testing the number of components in a normal mixture. Biometrika. Oxford University Press; 2001;88:767–78.</w:t>
      </w:r>
      <w:r>
        <w:t xml:space="preserve"> </w:t>
      </w:r>
    </w:p>
    <w:p>
      <w:pPr>
        <w:pStyle w:val="Bibliography"/>
      </w:pPr>
      <w:r>
        <w:t xml:space="preserve">31. Nylund KL, Asparouhov T, Muthén BO. Deciding on the number of classes in latent class analysis and growth mixture modeling: A monte carlo simulation study. Structural Equation Modeling. Taylor &amp; Francis; 2007;14:535–69.</w:t>
      </w:r>
      <w:r>
        <w:t xml:space="preserve"> </w:t>
      </w:r>
    </w:p>
    <w:p>
      <w:pPr>
        <w:pStyle w:val="Bibliography"/>
      </w:pPr>
      <w:r>
        <w:t xml:space="preserve">32. Muthén LK, Muthén BO. Mplus: Statistical analysis with latent variables: User’s guide. Muthén &amp; Muthén Los Angeles; 2017.</w:t>
      </w:r>
      <w:r>
        <w:t xml:space="preserve"> </w:t>
      </w:r>
    </w:p>
    <w:p>
      <w:pPr>
        <w:pStyle w:val="Bibliography"/>
      </w:pPr>
      <w:r>
        <w:t xml:space="preserve">33. Archer K. Goodness-of-fit tests for logistic regression models developed using data collected from a complex sampling design. Unpubl Ph Diss Ohio State Univ Columb OH. 2001;</w:t>
      </w:r>
      <w:r>
        <w:t xml:space="preserve"> </w:t>
      </w:r>
    </w:p>
    <w:p>
      <w:pPr>
        <w:pStyle w:val="Bibliography"/>
      </w:pPr>
      <w:r>
        <w:t xml:space="preserve">34. Archer KJ, Lemeshow S, Hosmer DW. Goodness-of-fit tests for logistic regression models when data are collected using a complex sampling design. Computational Statistics &amp; Data Analysis. Elsevier; 2007;51:4450–64.</w:t>
      </w:r>
      <w:r>
        <w:t xml:space="preserve"> </w:t>
      </w:r>
    </w:p>
    <w:p>
      <w:pPr>
        <w:pStyle w:val="Bibliography"/>
      </w:pPr>
      <w:r>
        <w:t xml:space="preserve">35. Archer KJ, Lemeshow S, others. Goodness-of-fit test for a logistic regression model fitted using survey sample data. Stata Journal. StataCorp LP; 2006;6:97–105.</w:t>
      </w:r>
      <w:r>
        <w:t xml:space="preserve"> </w:t>
      </w:r>
    </w:p>
    <w:p>
      <w:pPr>
        <w:pStyle w:val="Bibliography"/>
      </w:pPr>
      <w:r>
        <w:t xml:space="preserve">36. Pregibon D. Goodness of link tests for generalized linear models. Applied Statistics. JSTOR; 1980;15–4.</w:t>
      </w:r>
      <w:r>
        <w:t xml:space="preserve"> </w:t>
      </w:r>
    </w:p>
    <w:p>
      <w:pPr>
        <w:pStyle w:val="Bibliography"/>
      </w:pPr>
      <w:r>
        <w:t xml:space="preserve">37.</w:t>
      </w:r>
      <w:r>
        <w:t xml:space="preserve">. R: A language and environment for statistical computing [Internet]. Vienna, Austria: R Foundation for Statistical Computing; 2018. Available from:</w:t>
      </w:r>
      <w:r>
        <w:t xml:space="preserve"> </w:t>
      </w:r>
      <w:hyperlink r:id="rId79">
        <w:r>
          <w:rPr>
            <w:rStyle w:val="Hyperlink"/>
          </w:rPr>
          <w:t xml:space="preserve">https://www.R-project.org/</w:t>
        </w:r>
      </w:hyperlink>
    </w:p>
    <w:p>
      <w:pPr>
        <w:pStyle w:val="Bibliography"/>
      </w:pPr>
      <w:r>
        <w:t xml:space="preserve">38. StataCorp LLC. Stata statistical software: Release 15 [Internet]. 2017. Available from:</w:t>
      </w:r>
      <w:r>
        <w:t xml:space="preserve"> </w:t>
      </w:r>
      <w:hyperlink r:id="rId80">
        <w:r>
          <w:rPr>
            <w:rStyle w:val="Hyperlink"/>
          </w:rPr>
          <w:t xml:space="preserve">https://www.stata.com/</w:t>
        </w:r>
      </w:hyperlink>
    </w:p>
    <w:p>
      <w:pPr>
        <w:pStyle w:val="Bibliography"/>
      </w:pPr>
      <w:r>
        <w:t xml:space="preserve">39. Kosinski C, Jornayvaz FR. Effects of ketogenic diets on cardiovascular risk factors: Evidence from animal and human studies. Nutrients. Multidisciplinary Digital Publishing Institute; 2017;9:517.</w:t>
      </w:r>
      <w:r>
        <w:t xml:space="preserve"> </w:t>
      </w:r>
    </w:p>
    <w:p>
      <w:pPr>
        <w:pStyle w:val="Bibliography"/>
      </w:pPr>
      <w:r>
        <w:t xml:space="preserve">40. Hanna KL, Collins PF. Relationship between living alone and food and nutrient intake. Nutrition Reviews. Oxford University Press; 2015;73:594–611.</w:t>
      </w:r>
      <w:r>
        <w:t xml:space="preserve"> </w:t>
      </w:r>
    </w:p>
    <w:p>
      <w:pPr>
        <w:pStyle w:val="Bibliography"/>
      </w:pPr>
      <w:r>
        <w:t xml:space="preserve">41. Jung T, Wickrama K. An introduction to latent class growth analysis and growth mixture modeling. Social and Personality Psychology Compass. Wiley Online Library; 2008;2:302–17.</w:t>
      </w:r>
      <w:r>
        <w:t xml:space="preserve"> </w:t>
      </w:r>
    </w:p>
    <w:p>
      <w:pPr>
        <w:pStyle w:val="Bibliography"/>
      </w:pPr>
      <w:r>
        <w:t xml:space="preserve">42. Andruff H, Carraro N, Thompson A, Gaudreau P, Louvet B. Latent class growth modelling: A tutorial. Tutorials in Quantitative Methods for Psychology. 2009;5:11–24.</w:t>
      </w:r>
      <w:r>
        <w:t xml:space="preserve"> </w:t>
      </w:r>
    </w:p>
    <w:p>
      <w:pPr>
        <w:pStyle w:val="Bibliography"/>
      </w:pPr>
      <w:r>
        <w:t xml:space="preserve">43. Nagin DS. Group-based modeling of development. Harvard University Press; 2005.</w:t>
      </w:r>
      <w:r>
        <w:t xml:space="preserve"> </w:t>
      </w:r>
    </w:p>
    <w:p>
      <w:pPr>
        <w:pStyle w:val="Bibliography"/>
      </w:pPr>
      <w:r>
        <w:t xml:space="preserve">44. Wang C-P, Hendricks Brown C, Bandeen-Roche K. Residual diagnostics for growth mixture models: Examining the impact of a preventive intervention on multiple trajectories of aggressive behavior. Journal of the American Statistical Association. American Statistical Association; 2005;100:1054–76.</w:t>
      </w:r>
      <w:r>
        <w:t xml:space="preserve"> </w:t>
      </w:r>
    </w:p>
    <w:p>
      <w:pPr>
        <w:pStyle w:val="Bibliography"/>
      </w:pPr>
      <w:r>
        <w:t xml:space="preserve">45. Goodman LA. On the assignment of individuals to latent classes. Sociological Methodology. SAGE Publications Sage CA: Los Angeles, CA; 2007;37:1–22.</w:t>
      </w:r>
      <w:r>
        <w:t xml:space="preserve"> </w:t>
      </w:r>
    </w:p>
    <w:p>
      <w:pPr>
        <w:pStyle w:val="Bibliography"/>
      </w:pPr>
      <w:r>
        <w:t xml:space="preserve">46. Bray BC, Lanza ST, Tan X. Eliminating bias in classify-analyze approaches for latent class analysis. Structural Equation Modeling. Taylor &amp; Francis; 2015;22:1–11.</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667b9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2e2e0b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788cf1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2018-09-01T17:04:26Z</dcterms:created>
  <dcterms:modified xsi:type="dcterms:W3CDTF">2018-09-01T17:04:26Z</dcterms:modified>
</cp:coreProperties>
</file>