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aimed</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emerged.</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had</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w:t>
      </w:r>
      <w:r>
        <w:t xml:space="preserve"> </w:t>
      </w:r>
      <w:r>
        <w:t xml:space="preserve">of</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proportions of people who actually manage/fail to follow this doctrine, are people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the impact of which on nutrition and metabolism is still largely unknown</w:t>
      </w:r>
      <w:r>
        <w:t xml:space="preserve"> </w:t>
      </w:r>
      <w:r>
        <w:t xml:space="preserve">(Johnston 2014; Garaulet and Gómez-Abellán 2014; Asher and Sassone-Corsi 2015)</w:t>
      </w:r>
      <w:r>
        <w:t xml:space="preserve">. Some recent evidence have found that meal timing is associated with a wide variety of health outcomes. Skipping breakfast is associated with higher risk of type 2 diabetes</w:t>
      </w:r>
      <w:r>
        <w:t xml:space="preserve"> </w:t>
      </w:r>
      <w:r>
        <w:t xml:space="preserve">(Uemura et al. 2015)</w:t>
      </w:r>
      <w:r>
        <w:t xml:space="preserve">. Shift workers have a higher risk of developing metabolic syndrome</w:t>
      </w:r>
      <w:r>
        <w:t xml:space="preserve"> </w:t>
      </w:r>
      <w:r>
        <w:t xml:space="preserve">(De Bacquer et al. 2009)</w:t>
      </w:r>
      <w:r>
        <w:t xml:space="preserve"> </w:t>
      </w:r>
      <w:r>
        <w:t xml:space="preserve">and type 2 diabetes</w:t>
      </w:r>
      <w:r>
        <w:t xml:space="preserve"> </w:t>
      </w:r>
      <w:r>
        <w:t xml:space="preserve">(Pan et al. 2011)</w:t>
      </w:r>
      <w:r>
        <w:t xml:space="preserve">. Evening intake of energy is positively associated with overweight/obesity</w:t>
      </w:r>
      <w:r>
        <w:t xml:space="preserve"> </w:t>
      </w:r>
      <w:r>
        <w:t xml:space="preserve">(Almoosawi et al. 2016)</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(Leech et al. 2017; Mansukhani and Palla 2018)</w:t>
      </w:r>
      <w:r>
        <w:t xml:space="preserve">. Based on total energy consumption, the presence of 3 groups of eaters: grazers, early eaters, and late eaters were identified. So far, the temporal eating patterns were only based on averaging the total energy intake calculated from dietary recall, and therefore could not capture the day-to-day variation in temporal eating patterns. Thus, the question of how much variability of a person follows one or several specific temporal eating patterns in his/her everyday life remains unanswered. Many factors, such as day of the week or season, or culture may contribute to daily variation in dietary intake, however, most of the variation in an individual’s diet may seems to be without an obvious pattern. Intakes of macro-nutrients (carbohydrate, fat, and protein), due to the reason of their large contribution to the total energy intake, may have somewhat moderate degrees of day-to-day variation</w:t>
      </w:r>
      <w:r>
        <w:t xml:space="preserve"> </w:t>
      </w:r>
      <w:r>
        <w:t xml:space="preserve">(Willett 2012)</w:t>
      </w:r>
      <w:r>
        <w:t xml:space="preserve">. Novel analytic method that can account for this within 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(Almoosawi et al. 2013)</w:t>
      </w:r>
      <w:r>
        <w:t xml:space="preserve">. On the other hand, high total consumption of carbohydrate has been linked with higher risk of type 2 diabetes</w:t>
      </w:r>
      <w:r>
        <w:t xml:space="preserve"> </w:t>
      </w:r>
      <w:r>
        <w:t xml:space="preserve">(Alhazmi et al. 2012)</w:t>
      </w:r>
      <w:r>
        <w:t xml:space="preserve">. Whether the amount or the timing (or both) of carbohydrate consumption during the day actually matters, would be the question concerned by the public.</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w:t>
      </w:r>
      <w:r>
        <w:t xml:space="preserve"> </w:t>
      </w:r>
      <w:r>
        <w:t xml:space="preserve">2018)</w:t>
      </w:r>
      <w:r>
        <w:t xml:space="preserve"> </w:t>
      </w:r>
      <w:r>
        <w:t xml:space="preserve">was initially established in 1992 and started off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the addresses, clustered into postcode sectors from across the UK.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Subsequently, an additional potential aim, is to investigate the associations between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In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(Smithers 1993)</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w:t>
      </w:r>
      <w:r>
        <w:t xml:space="preserve"> </w:t>
      </w:r>
      <w:r>
        <w:t xml:space="preserve">2018)</w:t>
      </w:r>
      <w:r>
        <w:t xml:space="preserve">. Specifically, the main variables that we adopted in the current analysis were defined as:</w:t>
      </w:r>
    </w:p>
    <w:p>
      <w:pPr>
        <w:numPr>
          <w:numId w:val="1002"/>
          <w:ilvl w:val="0"/>
        </w:numPr>
      </w:pPr>
      <w:r>
        <w:t xml:space="preserve">Total energy intake = (protein(gram)</w:t>
      </w:r>
      <w:r>
        <w:t xml:space="preserve"> </w:t>
      </w:r>
      <m:oMath>
        <m:r>
          <m:t>×</m:t>
        </m:r>
      </m:oMath>
      <w:r>
        <w:t xml:space="preserve"> </w:t>
      </w:r>
      <w:r>
        <w:t xml:space="preserve">17) + (fat(gram)</w:t>
      </w:r>
      <w:r>
        <w:t xml:space="preserve"> </w:t>
      </w:r>
      <m:oMath>
        <m:r>
          <m:t>×</m:t>
        </m:r>
      </m:oMath>
      <w:r>
        <w:t xml:space="preserve"> </w:t>
      </w:r>
      <w:r>
        <w:t xml:space="preserve">37) + (carbohydrate(gram)</w:t>
      </w:r>
      <w:r>
        <w:t xml:space="preserve"> </w:t>
      </w:r>
      <m:oMath>
        <m:r>
          <m:t>×</m:t>
        </m:r>
      </m:oMath>
      <w:r>
        <w:t xml:space="preserve"> </w:t>
      </w:r>
      <w:r>
        <w:t xml:space="preserve">16) + (alcohol(gram)</w:t>
      </w:r>
      <w:r>
        <w:t xml:space="preserve"> </w:t>
      </w:r>
      <m:oMath>
        <m:r>
          <m:t>×</m:t>
        </m:r>
      </m:oMath>
      <w:r>
        <w:t xml:space="preserve"> </w:t>
      </w:r>
      <w:r>
        <w:t xml:space="preserve">29) kJ;</w:t>
      </w:r>
    </w:p>
    <w:p>
      <w:pPr>
        <w:numPr>
          <w:numId w:val="1002"/>
          <w:ilvl w:val="0"/>
        </w:numPr>
      </w:pPr>
      <w:r>
        <w:t xml:space="preserve">Carbohydrate intake = total sugars (gram) + starch (gram);</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sequence of discrete responses regarding the carbohydrate intake we are interested, the energy consumption within each time slot over the four days of survey for each participant were calculated. The percentages of energy that contributed by carbohydrate within each time slot were then estimated. Since we planned to apply latent class analysis (LCA) in the current study, in which the observed indicators for latent classes must be categorical, the responses were then dichotomised according to the carbohydrate contribution to the energy intake at cut-off value of 50%, i.e. if within a time slot where there is any energy intake occured, carbohydrate consumption was categorised into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w:t>
      </w:r>
    </w:p>
    <w:p>
      <w:pPr>
        <w:numPr>
          <w:numId w:val="1004"/>
          <w:ilvl w:val="0"/>
        </w:numPr>
      </w:pPr>
      <w:r>
        <w:t xml:space="preserve">Selected addresses were randomly allocated to one of two groups to determine whether an adult (aged 19 years or older) and a child (aged 1.5 to 18 years), or a child only, were selected for interview.</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that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weighting system are designed in the NDNS RP to assure that the combined sample will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w:t>
      </w:r>
      <w:r>
        <w:t xml:space="preserve"> </w:t>
      </w:r>
      <w:r>
        <w:t xml:space="preserve">2018)</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blood sample in adults were 51%, 57%, and 50% for years 1 to 4, 5 to 6, and 7 to 8, respectively. In creating the nurse/blood sample weight, a logistic regression model was used by the NDNS RP study team to model the relationship between response to nurse visit/giving blood sample and a set of predictor variables (socio-demographic, participant and catering/household unit characteristics). The model generated a predicted probability for each participant, which is the probability would agree to a nurse visit/provide blood sample, given the characteristics of the individual and the household unit. Participants with characteristics associated with non-response were under-represented in the sample and therefore receive a low predicted probability. The inverse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the Appendix B of the reports published by Public Health England (PHE)</w:t>
      </w:r>
      <w:r>
        <w:t xml:space="preserve"> </w:t>
      </w:r>
      <w:r>
        <w:t xml:space="preserve">(B. Bates et al. 2014; Roberts et al. 2018;</w:t>
      </w:r>
      <w:r>
        <w:t xml:space="preserve"> </w:t>
      </w:r>
      <w:r>
        <w:t xml:space="preserve"> </w:t>
      </w:r>
      <w:r>
        <w:t xml:space="preserve">2018)</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 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waist circumferences (WC) measured by the nurses.</w:t>
      </w:r>
    </w:p>
    <w:p>
      <w:pPr>
        <w:pStyle w:val="BodyText"/>
      </w:pPr>
      <w:r>
        <w:t xml:space="preserve">Specifically, blood pressure was measured in a sitting position using an automated, validated machine, the Omron HEM907, after a five-minute rest. The means of second and third readings, taken at one 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(Besson et al. 2009)</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(B. Bates et al. 2014; Roberts et al. 2018;</w:t>
      </w:r>
      <w:r>
        <w:t xml:space="preserve"> </w:t>
      </w:r>
      <w:r>
        <w:t xml:space="preserve"> </w:t>
      </w:r>
      <w:r>
        <w:t xml:space="preserve">2018)</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 Density Lipoprotein (HDL) and Low 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form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(L. Collins and Lanza 2010)</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k</m:t>
              </m:r>
            </m:sub>
          </m:sSub>
          <m:r>
            <m:t>=</m:t>
          </m:r>
          <m:sSub>
            <m:e>
              <m:r>
                <m:t>s</m:t>
              </m:r>
            </m:e>
            <m:sub>
              <m: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sequences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and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 level latent class to vary across individual 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(Jeroen K. Vermunt 2003; Jeroen K Vermunt 2008)</w:t>
      </w:r>
      <w:r>
        <w:t xml:space="preserve"> </w:t>
      </w:r>
      <w:r>
        <w:t xml:space="preserve">and Asparouhov and Muthén</w:t>
      </w:r>
      <w:r>
        <w:t xml:space="preserve"> </w:t>
      </w:r>
      <w:r>
        <w:t xml:space="preserve">(B. Muthén and Asparouhov 2009)</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individual 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(Snijders and Bosker 2011)</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 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 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 level (weekdays or weekends) and individual level, such as age, and sex.</w:t>
      </w:r>
    </w:p>
    <w:p>
      <w:pPr>
        <w:pStyle w:val="FirstParagraph"/>
      </w:pPr>
      <w:r>
        <w:t xml:space="preserve">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 level data to assess the log-odds of belonging to</w:t>
      </w:r>
      <w:r>
        <w:t xml:space="preserve"> </w:t>
      </w:r>
      <m:oMath>
        <m:r>
          <m:t>k</m:t>
        </m:r>
      </m:oMath>
      <w:r>
        <w:t xml:space="preserve">th type of carbohydrate eating pattern on a specific day of survey, and we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 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w:t>
      </w:r>
      <w:r>
        <w:t xml:space="preserve"> </w:t>
      </w:r>
      <m:oMath>
        <m:r>
          <m:t>i</m:t>
        </m:r>
      </m:oMath>
      <w:r>
        <w:t xml:space="preserve">th day of the survey, the total number of day 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(Van Horn et al. 2008; Jeroen K Vermunt 2008)</w:t>
      </w:r>
      <w:r>
        <w:t xml:space="preserve">, an alternative approach is using a non-parametric MLCA</w:t>
      </w:r>
      <w:r>
        <w:t xml:space="preserve"> </w:t>
      </w:r>
      <w:r>
        <w:t xml:space="preserve">(Davidian et al. 2008)</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 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t</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individual level latent class membership for</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day level and individual level indicators.</w:t>
      </w:r>
    </w:p>
    <w:p>
      <w:pPr>
        <w:pStyle w:val="FirstParagraph"/>
      </w:pPr>
      <w:r>
        <w:t xml:space="preserve">According to Finch and French’s simulation study</w:t>
      </w:r>
      <w:r>
        <w:t xml:space="preserve"> </w:t>
      </w:r>
      <w:r>
        <w:t xml:space="preserve">(Finch and French 2014)</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(Henry and Muthén 2010)</w:t>
      </w:r>
      <w:r>
        <w:t xml:space="preserve">:</w:t>
      </w:r>
    </w:p>
    <w:p>
      <w:pPr>
        <w:numPr>
          <w:numId w:val="1010"/>
          <w:ilvl w:val="0"/>
        </w:numPr>
      </w:pPr>
      <w:r>
        <w:t xml:space="preserve">Firstly,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structrure of the data. In these models, the number of day-level classes was based on the best fitting LCA model from the first step, and the LCA model at the individual level was estimated to identify the number of individual level latent classes;</w:t>
      </w:r>
    </w:p>
    <w:p>
      <w:pPr>
        <w:numPr>
          <w:numId w:val="1010"/>
          <w:ilvl w:val="0"/>
        </w:numPr>
      </w:pPr>
      <w:r>
        <w:t xml:space="preserve">Thirdly, when number of individual level latent classes is defined based on the previous stage, number of day-level classes was modified (one class lower and one class higher than in the second step) to see the effect of changing level 1 classes and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(Lo, Mendell, and Rubin 2001; Nylund, Asparouhov, and Muthén 2007)</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and most importantly, 3) pattern interpretability. In the steps of performing multilevel LCA, where LMR-LRT is not available, same rules of model fit indices and pattern interpretability were used to determine the optimal combination of latent classes in observation day level and individual level. MLCA models were fitted in Mplus 7.4</w:t>
      </w:r>
      <w:r>
        <w:t xml:space="preserve"> </w:t>
      </w:r>
      <w:r>
        <w:t xml:space="preserve">(L. K. Muthén and Muthén 2017)</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 level latent classes and individual level latent classes</w:t>
      </w:r>
    </w:p>
    <w:p>
      <w:pPr>
        <w:pStyle w:val="FirstParagraph"/>
      </w:pPr>
      <w:r>
        <w:t xml:space="preserve">Day level latent classes identified by the first step of MLCA were tabulated according to day of week and also whether the diary was recorded during weekends or not. A contingency table giving the frequency of responses across the 7 time slots of the survey days was produced. Descriptive statistics for the dietary day level recordings according to the latent class memberships were presented. Pearson</w:t>
      </w:r>
      <w:r>
        <w:t xml:space="preserve"> </w:t>
      </w:r>
      <m:oMath>
        <m:sSup>
          <m:e>
            <m:r>
              <m:t>χ</m:t>
            </m:r>
          </m:e>
          <m:sup>
            <m:r>
              <m:t>2</m:t>
            </m:r>
          </m:sup>
        </m:sSup>
      </m:oMath>
      <w:r>
        <w:t xml:space="preserve"> </w:t>
      </w:r>
      <w:r>
        <w:t xml:space="preserve">test was used to compare the distribution of categorical variables. One-way Analysis of Variance (ANOVA) was used to compare the means across the multiple groups for continuous variables.</w:t>
      </w:r>
    </w:p>
    <w:p>
      <w:pPr>
        <w:pStyle w:val="BodyText"/>
      </w:pPr>
      <w:r>
        <w:t xml:space="preserve">Person 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individual level, weighted estimates of nutrients consumption across the 7 time slots of the day were calculated for each individual 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 level latent classes and the prevalence of hypertension, and measurements of obesity</w:t>
      </w:r>
    </w:p>
    <w:p>
      <w:pPr>
        <w:pStyle w:val="FirstParagraph"/>
      </w:pPr>
      <w:r>
        <w:t xml:space="preserve">Associations between individual 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 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statisitical analyses conducted above, i.e. those are associated with both the exposure and the outcome and also not on the causal pathway were selected as potential confounders. Those are strongly related with the outcomes but may not associated with carbohydrate eating groups may reduce the standard errors and so improve the precisions are also considered in the linear regression models.</w:t>
      </w:r>
    </w:p>
    <w:p>
      <w:pPr>
        <w:numPr>
          <w:numId w:val="1011"/>
          <w:ilvl w:val="0"/>
        </w:numPr>
      </w:pPr>
      <w:r>
        <w:t xml:space="preserve">Confounding and/or interaction effect from each of the potential factors were checked one by one. Interaction effect were tested using the adjusted Wald test testing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(Archer, Lemeshow, and others 2006)</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assumption of independent observations is violated as soon as we weighted the sample. General checking such as QQ plots of the residuals (normality), plotting the residuals against fitted values (constant variance) are not available as well. Outliers, leverage, and Cook’s distance cannot be checked either, however, participants with extreme weightings (if exist) were checked by removing them and refit the models as a sensitivity analysis.</w:t>
      </w:r>
    </w:p>
    <w:p>
      <w:pPr>
        <w:numPr>
          <w:numId w:val="1011"/>
          <w:ilvl w:val="0"/>
        </w:numPr>
      </w:pPr>
      <w:r>
        <w:t xml:space="preserve">Since under survey design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the fitting of model</w:t>
      </w:r>
      <w:r>
        <w:t xml:space="preserve"> </w:t>
      </w:r>
      <w:r>
        <w:t xml:space="preserve">(Pregibon 1980)</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w:t>
      </w:r>
      <w:r>
        <w:t xml:space="preserve"> </w:t>
      </w:r>
      <w:r>
        <w:t xml:space="preserve">2018)</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(StataCorp LLC 2017)</w:t>
      </w:r>
      <w:r>
        <w:t xml:space="preserve">. The process of model fitting, covariates selection, interaction effect testings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7 time slots of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the number of day level classes increases. However, the improvement of BIC dropped to less than 1000 from 3 classes to 4 classes solutions (658.9) and from 4 classes to 5 classses solutions (361.7). Entropy index indicates that the 4 classes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From the parsimony point of view, we extended the model with random effects building on 2 classes, 3 classes and 4 classes solutions.</w:t>
      </w:r>
    </w:p>
    <w:p>
      <w:pPr>
        <w:pStyle w:val="BodyText"/>
      </w:pPr>
      <w:r>
        <w:t xml:space="preserve">The results of the random effect included models are presented in</w:t>
      </w:r>
      <w:r>
        <w:t xml:space="preserve"> </w:t>
      </w:r>
      <w:r>
        <w:rPr>
          <w:b/>
        </w:rPr>
        <w:t xml:space="preserve">Table [tab:mixmodels]</w:t>
      </w:r>
      <w:r>
        <w:t xml:space="preserve"> </w:t>
      </w:r>
      <w:r>
        <w:t xml:space="preserve">under the Random effects model section. It is obvious that the BIC improves with the addition of the random effects which account for the nested structure of the data. Entropy indicates that 2 classes in the day level and 4 classes in the individual level may be the best solution mathematically. However, after these solutions were checked in more details, the potentially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 slightly different from ours, we have provided other solutions in the</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in the day level. The overall counts and percentages for each responses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only 0.079 possibility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high percentage carbohydrate days, participants turned to consume the highest amount of fruit (107.40 g). There was no evidence of any difference for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 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 level latent classes</w:t>
      </w:r>
      <w:r>
        <w:t xml:space="preserve"> </w:t>
      </w:r>
      <w:r>
        <w:rPr>
          <w:b/>
        </w:rPr>
        <w:t xml:space="preserve">(Figure [fig:CB2level2])</w:t>
      </w:r>
      <w:r>
        <w:t xml:space="preserve">, one individual class is comprised of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to each other.</w:t>
      </w:r>
    </w:p>
    <w:p>
      <w:pPr>
        <w:pStyle w:val="BodyText"/>
      </w:pPr>
      <w:r>
        <w:t xml:space="preserve">With three individual level latent classes</w:t>
      </w:r>
      <w:r>
        <w:t xml:space="preserve"> </w:t>
      </w:r>
      <w:r>
        <w:rPr>
          <w:b/>
        </w:rPr>
        <w:t xml:space="preserve">(Figure [fig:level2])</w:t>
      </w:r>
      <w:r>
        <w:t xml:space="preserve">, a low-carbohydrate eaters class, a moderate-carbohydrate eaters class, and a high-carbohydrate eaters class emerges.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in the left 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 18.0% of their dietary diary were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are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 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were the highest for low carbohydrate eaters most of the time during the day (except for time between 10 pm to 6 am next morning). Most impressively, energy contributed by alcohol was always the highest in low carbohydrate eaters, percentages for energy from alcohol for the 7 times slots were 1.4% (6-9 am), 1.8% (9-12 noon), 3.1% (12-2 pm), 7.2% (2-5 pm), 8.4% (5-8 pm), 20.0% (8-10 pm), and 31.2% (10-6 am), respectively. Contributions from different energy sources were quite similar for moderate and high carbohydrate eaters, but their absolute amount of energy consumption at each time slot were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turn to have later breakfast, later lunch, and probably later dinner as well. They had the highest total energy consumption (599.7 kJ) at night (10 pm - 6 am) across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(10-6am). We also noticed that high carbohydrate eaters consumed their energy mainly from three time slots: 6-9 am, 12-2 pm, and 5-8 pm.</w:t>
      </w:r>
    </w:p>
    <w:p>
      <w:pPr>
        <w:pStyle w:val="BodyText"/>
      </w:pPr>
      <w:r>
        <w:t xml:space="preserve">As expected, 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in the high carbohydrate eaters, but was only 40.6% in the low carbohydrate eaters. In terms of the subtypes (components) of the carbohydrate consumed at each time slot, high carbohydrate eaters consumed as much as more than 2 times (compared to low carbohydrate eaters) and nearly 4 times (against moderate carbohydrate eaterss) the amount of sugar (37.9g 95% CI: 36.8, 39.2) and non-milk extrinsic sugar (i.e. free sugar) (11.1g 95%CI: 10.7, 11.6) between 6-9 am. Moderate carbohydrate eaters had their carbohydrate intake more spread out. They consumed more sugar and starch during 9-12 noon, 2-5 pm, 8-10 pm, and 10-6 am. Low carbohydrate eaters turned to have similar temporal pattern of consuming carbohydrates but the absolute amount of fibre, sugar, free sugar, and starch were usually lower than that in the high carbohydrate eaters except for time slots of 2-5 pm, and 10-6 am. Strong evidence (</w:t>
      </w:r>
      <w:r>
        <w:rPr>
          <w:i/>
        </w:rPr>
        <w:t xml:space="preserve">p</w:t>
      </w:r>
      <w:r>
        <w:t xml:space="preserve"> </w:t>
      </w:r>
      <w:r>
        <w:t xml:space="preserve">&lt; 0.001) suggested that the mean of total fibre consumption for low,</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moderate, and high carbohydrate eaters were different: 13.7g (13.4, 14.0), 12.5g (12.1, 12.9), and 14.7g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turned out to be changing with the year of survey. Low carbohydrate eaters represented 32.5% of the population in the first year of survey, but later dropped to lower than 30% (lowest in the third year, 22.6%) until the most recent year.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highest proportion of non-white population (20.5%), and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the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 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were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higher proportion of being classified as low or high carbohydrate eaters; total energy and carbohydrate intake was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ORs (95%CI) for moderate and high carbohydrate eaters compared with low carbohydrate eaters were 0.65 (0.41, 1.03) and 0.73 (0.51, 1.06),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for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average household income (</w:t>
      </w:r>
      <w:r>
        <w:rPr>
          <w:i/>
        </w:rPr>
        <w:t xml:space="preserve">p</w:t>
      </w:r>
      <w:r>
        <w:t xml:space="preserve"> </w:t>
      </w:r>
      <w:r>
        <w:t xml:space="preserve">= 0.011 for men, &lt; 0.001 for women) were decreasing with elevated BMI. Living with partner or not was strongly positively associated with obesity in men but not in women. Men with obesity were also found to have the lowest proportion of never being a smoker (47.9 %), and the highest proportion of being an ex-smoker (32.9%). Association between smoking status and obesity in women was only with very weak evidence (</w:t>
      </w:r>
      <w:r>
        <w:rPr>
          <w:i/>
        </w:rPr>
        <w:t xml:space="preserve">p</w:t>
      </w:r>
      <w:r>
        <w:t xml:space="preserve"> </w:t>
      </w:r>
      <w:r>
        <w:t xml:space="preserve">= 0.042) but similar pattern as in men was also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were seemingly not associated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interaction effect was found in whether live with a partner or not on the association between carbohydrate eating patterns and BMI (</w:t>
      </w:r>
      <w:r>
        <w:rPr>
          <w:i/>
        </w:rPr>
        <w:t xml:space="preserve">p</w:t>
      </w:r>
      <w:r>
        <w:t xml:space="preserve"> </w:t>
      </w:r>
      <w:r>
        <w:t xml:space="preserve">for interaction = 0.014 and 0.036 for women in total and without diabetes). For women who were 5.43living with partners, latent classes of carbohydrate eating patterns were negatively associated with BMI. Compared with women eating low carbohydrate food pattern, women having a high carbohydrate eating pattern were averagely associated with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 regression coefficients were not statistically different from 0.</w:t>
      </w:r>
    </w:p>
    <w:p>
      <w:pPr>
        <w:pStyle w:val="BodyText"/>
      </w:pPr>
      <w:r>
        <w:t xml:space="preserve">Similarly, when looking at the association between carbohydrate eating pattern and abdominal obesity (WC), men who were classified as moderate carbohydrate eaters were found to had about 3 cm (95%CI: 0.52, 5.49 cm,</w:t>
      </w:r>
      <w:r>
        <w:t xml:space="preserve"> </w:t>
      </w:r>
      <w:r>
        <w:rPr>
          <w:i/>
        </w:rPr>
        <w:t xml:space="preserve">p</w:t>
      </w:r>
      <w:r>
        <w:t xml:space="preserve"> </w:t>
      </w:r>
      <w:r>
        <w:t xml:space="preserve">= 0.018) smaller WC compared with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whether living with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when restricted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with borderline significant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 out the hours of day (low percentage carbohydrate day); and 3) always having lunch and dinner day (regular meals day). And from these day level classifications and their features, one might anticipate that individuals who managed to follow the regular meals day might be eating a relatively healthier diet because it seemed to be a regular temporal eating habit; at this time point, we also believed that those who followed either high or low carbohydrate percentage days would probably consume higher total energy than those who followed mostly regular meals days.</w:t>
      </w:r>
    </w:p>
    <w:p>
      <w:pPr>
        <w:pStyle w:val="BodyText"/>
      </w:pPr>
      <w:r>
        <w:t xml:space="preserve">However, when the MLCA extended the model to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 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higher proportion of energy contributed by both alcohol and fat. High percentage of fat consumption was shown in all 7 time slots, energy coming from alcohol exceeded more than one fifth of the total energy after 8 pm. These findings explained why they were actually consuming the highest energy among the three types of carbohydrate eaters. In the meantime, we also found that participants consuming low carbohydrate food had higher prevalence of diabetes, hypertension, and obesity. These health issues might possibly lead them (or advices were given from their physicians) to replace carbohydrates in their diet to other energy sources such as fat, protein, or even alcohol. Therefore, there is a possibility that they chose to follow low carbohydrate diets out of health purpose,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possibly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(Leech et al. 2017; Mansukhani and Palla 2018)</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have not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Among men, who were classified as moderate carbohydrate eaters probably had lower odds of having hypertension, after adjustment of age, live with partner or not, educational level, BMI, smoking status and total energy intake. As discussed above, moderate carbohydrate eaters turned to have meals (or energy consumption) later in time compared with high carbohydrate eaters. But, it is noteworthy that low carbohydrate eaters also consumed large amount of energy (from both fat and alcohol) at night. Therefore, considering that moderate carbohydrate eaters were younger than low carbohydrate eaters (although age was adjusted in the full models), there is probably reverse causality exists here (also due to the nature of cross-sectional study). That is, they were potentially both late eaters, however, with increased age (and so as increased health-related problems/concern) some of them modified their habits, such as quitting smoking, replacing carbohydrate food with other energy sources (so that they became low carbohydrate eaters with hypertension) which lead to the phenomenon of lower odds of hypertension in moderate carbohydrate eaters. Although these hypotheses cannot be determined by the cross-sectional data from NDNS RP, if they were true, the energy sources they used to replace carbohydrate in their diet were apparently not very wisely chosen.</w:t>
      </w:r>
    </w:p>
    <w:p>
      <w:pPr>
        <w:pStyle w:val="BodyText"/>
      </w:pPr>
      <w:r>
        <w:t xml:space="preserve">Among women, whether living with a partner became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had lower BMI and WC in those lived with their partners, while moderate carbohydrate eaters had higher WC in those who lived alone after adjustment of age, education level, smoking status, total energy intake, and alcohol consumption. High carbohydrate eaters who were characterised with high and early in the day energy consumption and low fat and alcohol intake may reflect a healthier diet and lifestyle, but this might be different between women who lived alone and those who lived with their partners. It was often assumed that live alone may associated with lower diversity of food intake, and a higher likelihood of having an unhealthy dietary choice</w:t>
      </w:r>
      <w:r>
        <w:t xml:space="preserve"> </w:t>
      </w:r>
      <w:r>
        <w:t xml:space="preserve">(Hanna and Collins 2015)</w:t>
      </w:r>
      <w:r>
        <w:t xml:space="preserve">. Therefore, there may be differences in the actual contents consumed in their high carbohydrates, or there may be other social, psychological or lifestyle related factors related with living alone which were not measured or did not included in the models. Thus, the inverse association between high carbohydrate eating pattern and BMI or abdominal obesity were only observed among women who lived with partners, further investigation on this hypothesis is needed. Whereas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There are several limitations in the current project that merits consideration.</w:t>
      </w:r>
    </w:p>
    <w:p>
      <w:pPr>
        <w:pStyle w:val="BodyText"/>
      </w:pPr>
      <w:r>
        <w:t xml:space="preserve">Firstly,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season, day of the week (weekdays or weekends), or sometimes depends on what they had consumed the day before, exchangeability of their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 </w:t>
      </w:r>
      <w:r>
        <w:t xml:space="preserve">(L. Collins and Lanza 2010)</w:t>
      </w:r>
      <w:r>
        <w:t xml:space="preserve">, or latent class growth analysis (LCGA)</w:t>
      </w:r>
      <w:r>
        <w:t xml:space="preserve"> </w:t>
      </w:r>
      <w:r>
        <w:t xml:space="preserve">(Davidian et al. 2008; Jung and Wickrama 2008; Andruff et al. 2009)</w:t>
      </w:r>
      <w:r>
        <w:t xml:space="preserve"> </w:t>
      </w:r>
      <w:r>
        <w:t xml:space="preserve">are not applicable for the NDNS RP dataset. For the purpose of maintaining the response rate, flexibility was allowed for the NDNS RP participants in their choice of which day to begin their diary. But the above mentioned alternative models require that the 3 or 4 repeated measurements of food diaries to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Secondly, the classification of individuals to latent carbohydrate eating classes were defined by maximum posterior probability assignment rule. This approach assigns individuals to the class for which they have the highest posterior probability of membership</w:t>
      </w:r>
      <w:r>
        <w:t xml:space="preserve"> </w:t>
      </w:r>
      <w:r>
        <w:t xml:space="preserve">(Nagin 2005)</w:t>
      </w:r>
      <w:r>
        <w:t xml:space="preserve">. The other approach is multiple pseudo-class draws</w:t>
      </w:r>
      <w:r>
        <w:t xml:space="preserve"> </w:t>
      </w:r>
      <w:r>
        <w:t xml:space="preserve">(C.-P. Wang, Hendricks Brown, and Bandeen-Roche 2005)</w:t>
      </w:r>
      <w:r>
        <w:t xml:space="preserve">, which was proposed in attempt to account for uncertainty in class assignment. However, the maximum probability rule is still believed to be able to minimize the number of incorrect assignments</w:t>
      </w:r>
      <w:r>
        <w:t xml:space="preserve"> </w:t>
      </w:r>
      <w:r>
        <w:t xml:space="preserve">(Goodman 2007)</w:t>
      </w:r>
      <w:r>
        <w:t xml:space="preserve">. A Monte Carlo simulation study</w:t>
      </w:r>
      <w:r>
        <w:t xml:space="preserve"> </w:t>
      </w:r>
      <w:r>
        <w:t xml:space="preserve">(Bray, Lanza, and Tan 2015)</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 and also due to the reason that the associations between the latent classes and distal outcomes (hypertension, and BMI) in our analyses are mostly still under exploration, therefore, the model for LCA with covariates can never be well-known before our analyses.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Thirdly, information regarding the detailed occupations of the participants was not available and because of which we could not exclude those who had a shift work involving night work. But considering that completing a 4-consecutive-day food diary would be a large burden for the participants, those had a shift work involving night work might possibly performed with relatively lower compliance and could not complete their diary for at least 3 days. But this hypothesis cannot be verified in the NDNS RP dataset. If people working with shift work were included in the NDNS RP sample, the classification in both levels as well as their associations with either hypertension or BMI would be biased. Furthermore, under-reporting due to the burden of writing down everything they eat at each occasion is also a concern in the food diaries collected. To evaluate the influence of under-reporting in the NDNS RP sample, study team of NDNS RP conducted doubly labelled water (DLW) sub-study within the survey. The details of this sub-study can be accessed from the Appendix X of the Official Reports provided by Public Health England</w:t>
      </w:r>
      <w:r>
        <w:t xml:space="preserve"> </w:t>
      </w:r>
      <w:r>
        <w:t xml:space="preserve">(B. Bates et al. 2014; Roberts et al. 2018;</w:t>
      </w:r>
      <w:r>
        <w:t xml:space="preserve"> </w:t>
      </w:r>
      <w:r>
        <w:t xml:space="preserve"> </w:t>
      </w:r>
      <w:r>
        <w:t xml:space="preserve">2018)</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under-reported or modified usual intake due to the burden of the survey/DLW sub-study are potential factors may contributed to under-reporting of their EI. We cannot extrapolate the estimated under-reporting to the whole sample since other individuals’ diet might be affected by under-reporting differentially.</w:t>
      </w:r>
    </w:p>
    <w:p>
      <w:pPr>
        <w:pStyle w:val="BodyText"/>
      </w:pPr>
      <w:r>
        <w:t xml:space="preserve">Lastly,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researches are warranted to explore and better understand the eating patterns in other populations. Besides, the cross-sectional study design also refrained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numbers of latent classes. The process of finding the classifications through model-based, data-driven procedure minimises reliance on researchers’ preconcieved notions of eating patterns. Eating patterns were determined from 4 consecutive days of well-designed, fully-examined food diaries. MLCA correctly accounted for the multilevel structure of the data which means that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turned to have more energy that contributed by both fat and alcohol. Moderate carbohydrate eaters consumed the lowest total energy, while they had the tendency of having meals later in time-of-day. High carbohydrate eaters consumed most of their carbohydrate as well as energy earlier in time-of-day. These dietary patterns specifically for carbohydrate intake were found to be differed by timing, quantity and contributions to energy consumption. Compared with low carbohydrate eaters, men had moderate carbohydrate eating pattern may associated with a lower prevalence of hypertension, women in this latent class who lived alone may associated with a larger waist circumferences. Among women who lived with partners, high carbohydrate eating pattern was associated with both lower BMI and smaller waist circumferences. Longitudinal designed studies are needed in finding whether the eating patterns themselves are changing over time and in investigating how such circadian eating patterns may relate to the change of blood pressure, obesity, and other health outcomes (incidence of cancer, cardiovascular diseases, or perhaps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Alhazmi, Amani, Elizabeth Stojanovski, Mark McEvoy, and Manohar L Garg. 2012. “Macronutrient Intakes and Development of Type 2 Diabetes: A Systematic Review and Meta-Analysis of Cohort Studies.”</w:t>
      </w:r>
      <w:r>
        <w:t xml:space="preserve"> </w:t>
      </w:r>
      <w:r>
        <w:rPr>
          <w:i/>
        </w:rPr>
        <w:t xml:space="preserve">Journal of the American College of Nutrition</w:t>
      </w:r>
      <w:r>
        <w:t xml:space="preserve"> </w:t>
      </w:r>
      <w:r>
        <w:t xml:space="preserve">31 (4). Taylor &amp; Francis: 243–58.</w:t>
      </w:r>
    </w:p>
    <w:p>
      <w:pPr>
        <w:pStyle w:val="Bibliography"/>
      </w:pPr>
      <w:r>
        <w:t xml:space="preserve">Almoosawi, S, CJ Prynne, R Hardy, and AM Stephen. 2013. “Time-of-Day and Nutrient Composition of Eating Occasions: Prospective Association with the Metabolic Syndrome in the 1946 British Birth Cohort.”</w:t>
      </w:r>
      <w:r>
        <w:t xml:space="preserve"> </w:t>
      </w:r>
      <w:r>
        <w:rPr>
          <w:i/>
        </w:rPr>
        <w:t xml:space="preserve">International Journal of Obesity</w:t>
      </w:r>
      <w:r>
        <w:t xml:space="preserve"> </w:t>
      </w:r>
      <w:r>
        <w:t xml:space="preserve">37 (5). Nature Publishing Group: 725.</w:t>
      </w:r>
    </w:p>
    <w:p>
      <w:pPr>
        <w:pStyle w:val="Bibliography"/>
      </w:pPr>
      <w:r>
        <w:t xml:space="preserve">Almoosawi, S, S Vingeliene, LG Karagounis, and GK Pot. 2016. “Chrono-Nutrition: A Review of Current Evidence from Observational Studies on Global Trends in Time-of-Day of Energy Intake and Its Association with Obesity.”</w:t>
      </w:r>
      <w:r>
        <w:t xml:space="preserve"> </w:t>
      </w:r>
      <w:r>
        <w:rPr>
          <w:i/>
        </w:rPr>
        <w:t xml:space="preserve">Proceedings of the Nutrition Society</w:t>
      </w:r>
      <w:r>
        <w:t xml:space="preserve"> </w:t>
      </w:r>
      <w:r>
        <w:t xml:space="preserve">75 (4). Cambridge University Press: 487–500.</w:t>
      </w:r>
    </w:p>
    <w:p>
      <w:pPr>
        <w:pStyle w:val="Bibliography"/>
      </w:pPr>
      <w:r>
        <w:t xml:space="preserve">Andruff, Heather, Natasha Carraro, Amanda Thompson, Patrick Gaudreau, and Benoît Louvet. 2009. “Latent Class Growth Modelling: A Tutorial.”</w:t>
      </w:r>
      <w:r>
        <w:t xml:space="preserve"> </w:t>
      </w:r>
      <w:r>
        <w:rPr>
          <w:i/>
        </w:rPr>
        <w:t xml:space="preserve">Tutorials in Quantitative Methods for Psychology</w:t>
      </w:r>
      <w:r>
        <w:t xml:space="preserve"> </w:t>
      </w:r>
      <w:r>
        <w:t xml:space="preserve">5 (1): 11–24.</w:t>
      </w:r>
    </w:p>
    <w:p>
      <w:pPr>
        <w:pStyle w:val="Bibliography"/>
      </w:pPr>
      <w:r>
        <w:t xml:space="preserve">Archer, Kellie J, Stanley Lemeshow, and others. 2006. “Goodness-of-Fit Test for a Logistic Regression Model Fitted Using Survey Sample Data.”</w:t>
      </w:r>
      <w:r>
        <w:t xml:space="preserve"> </w:t>
      </w:r>
      <w:r>
        <w:rPr>
          <w:i/>
        </w:rPr>
        <w:t xml:space="preserve">Stata Journal</w:t>
      </w:r>
      <w:r>
        <w:t xml:space="preserve"> </w:t>
      </w:r>
      <w:r>
        <w:t xml:space="preserve">6 (1). StataCorp LP: 97–105.</w:t>
      </w:r>
    </w:p>
    <w:p>
      <w:pPr>
        <w:pStyle w:val="Bibliography"/>
      </w:pPr>
      <w:r>
        <w:t xml:space="preserve">Asher, Gad, and Paolo Sassone-Corsi. 2015. “Time for Food: The Intimate Interplay Between Nutrition, Metabolism, and the Circadian Clock.”</w:t>
      </w:r>
      <w:r>
        <w:t xml:space="preserve"> </w:t>
      </w:r>
      <w:r>
        <w:rPr>
          <w:i/>
        </w:rPr>
        <w:t xml:space="preserve">Cell</w:t>
      </w:r>
      <w:r>
        <w:t xml:space="preserve"> </w:t>
      </w:r>
      <w:r>
        <w:t xml:space="preserve">161 (1). Elsevier: 84–92.</w:t>
      </w:r>
    </w:p>
    <w:p>
      <w:pPr>
        <w:pStyle w:val="Bibliography"/>
      </w:pPr>
      <w:r>
        <w:t xml:space="preserve">Bates, Beverley, Alison Lennox, Ann Prentice, Christopher J Bates, Polly Page, Sonja Nicholson, and Gillian Swan. 2014.</w:t>
      </w:r>
      <w:r>
        <w:t xml:space="preserve"> </w:t>
      </w:r>
      <w:r>
        <w:rPr>
          <w:i/>
        </w:rPr>
        <w:t xml:space="preserve">National Diet and Nutrition Survey: Results from Years 1, 2, 3 and 4 (Combined) of the Rolling Programme (2008/2009-2011/2012): A Survey Carried Out on Behalf of Public Health England and the Food Standards Agency</w:t>
      </w:r>
      <w:r>
        <w:t xml:space="preserve">. Public Health England.</w:t>
      </w:r>
    </w:p>
    <w:p>
      <w:pPr>
        <w:pStyle w:val="Bibliography"/>
      </w:pPr>
      <w:r>
        <w:t xml:space="preserve">Besson, Herve, Søren Brage, Rupert W Jakes, Ulf Ekelund, and Nicholas J Wareham. 2009. “Estimating Physical Activity Energy Expenditure, Sedentary Time, and Physical Activity Intensity by Self-Report in Adults.”</w:t>
      </w:r>
      <w:r>
        <w:t xml:space="preserve"> </w:t>
      </w:r>
      <w:r>
        <w:rPr>
          <w:i/>
        </w:rPr>
        <w:t xml:space="preserve">The American Journal of Clinical Nutrition</w:t>
      </w:r>
      <w:r>
        <w:t xml:space="preserve"> </w:t>
      </w:r>
      <w:r>
        <w:t xml:space="preserve">91 (1). Oxford University Press: 106–14.</w:t>
      </w:r>
    </w:p>
    <w:p>
      <w:pPr>
        <w:pStyle w:val="Bibliography"/>
      </w:pPr>
      <w:r>
        <w:t xml:space="preserve">Bray, Bethany C, Stephanie T Lanza, and Xianming Tan. 2015. “Eliminating Bias in Classify-Analyze Approaches for Latent Class Analysis.”</w:t>
      </w:r>
      <w:r>
        <w:t xml:space="preserve"> </w:t>
      </w:r>
      <w:r>
        <w:rPr>
          <w:i/>
        </w:rPr>
        <w:t xml:space="preserve">Structural Equation Modeling</w:t>
      </w:r>
      <w:r>
        <w:t xml:space="preserve"> </w:t>
      </w:r>
      <w:r>
        <w:t xml:space="preserve">22 (1). Taylor &amp; Francis: 1–11.</w:t>
      </w:r>
    </w:p>
    <w:p>
      <w:pPr>
        <w:pStyle w:val="Bibliography"/>
      </w:pPr>
      <w:r>
        <w:t xml:space="preserve">Collins, L.M., and S.T. Lanza. 2010.</w:t>
      </w:r>
      <w:r>
        <w:t xml:space="preserve"> </w:t>
      </w:r>
      <w:r>
        <w:rPr>
          <w:i/>
        </w:rPr>
        <w:t xml:space="preserve">Latent Class and Latent Transition Analysis: With Applications in the Social, Behavioral, and Health Sciences</w:t>
      </w:r>
      <w:r>
        <w:t xml:space="preserve">. Wiley Series in Probability and Statistics. Wiley.</w:t>
      </w:r>
    </w:p>
    <w:p>
      <w:pPr>
        <w:pStyle w:val="Bibliography"/>
      </w:pPr>
      <w:r>
        <w:t xml:space="preserve">Davidian, Marie, Garrett Fitzmaurice, Geert Molenberghs, and Geert Verbeke. 2008. “Growth Mixture Modeling: Analysis with Non-Gaussian Random Effects.” In</w:t>
      </w:r>
      <w:r>
        <w:t xml:space="preserve"> </w:t>
      </w:r>
      <w:r>
        <w:rPr>
          <w:i/>
        </w:rPr>
        <w:t xml:space="preserve">Longitudinal Data Analysis</w:t>
      </w:r>
      <w:r>
        <w:t xml:space="preserve">, 157–80. Chapman; Hall/CRC.</w:t>
      </w:r>
    </w:p>
    <w:p>
      <w:pPr>
        <w:pStyle w:val="Bibliography"/>
      </w:pPr>
      <w:r>
        <w:t xml:space="preserve">De Bacquer, Dirk, Marleen Van Risseghem, Els Clays, France Kittel, Gui De Backer, and Lutgart Braeckman. 2009. “Rotating Shift Work and the Metabolic Syndrome: A Prospective Study.”</w:t>
      </w:r>
      <w:r>
        <w:t xml:space="preserve"> </w:t>
      </w:r>
      <w:r>
        <w:rPr>
          <w:i/>
        </w:rPr>
        <w:t xml:space="preserve">International Journal of Epidemiology</w:t>
      </w:r>
      <w:r>
        <w:t xml:space="preserve"> </w:t>
      </w:r>
      <w:r>
        <w:t xml:space="preserve">38 (3). Oxford University Press: 848–54.</w:t>
      </w:r>
    </w:p>
    <w:p>
      <w:pPr>
        <w:pStyle w:val="Bibliography"/>
      </w:pPr>
      <w:r>
        <w:t xml:space="preserve">Finch, W Holmes, and Brian F French. 2014. “Multilevel Latent Class Analysis: Parametric and Nonparametric Models.”</w:t>
      </w:r>
      <w:r>
        <w:t xml:space="preserve"> </w:t>
      </w:r>
      <w:r>
        <w:rPr>
          <w:i/>
        </w:rPr>
        <w:t xml:space="preserve">The Journal of Experimental Education</w:t>
      </w:r>
      <w:r>
        <w:t xml:space="preserve"> </w:t>
      </w:r>
      <w:r>
        <w:t xml:space="preserve">82 (3). Taylor &amp; Francis: 307–33.</w:t>
      </w:r>
    </w:p>
    <w:p>
      <w:pPr>
        <w:pStyle w:val="Bibliography"/>
      </w:pPr>
      <w:r>
        <w:t xml:space="preserve">Garaulet, Marta, and Purificación Gómez-Abellán. 2014. “Timing of Food Intake and Obesity: A Novel Association.”</w:t>
      </w:r>
      <w:r>
        <w:t xml:space="preserve"> </w:t>
      </w:r>
      <w:r>
        <w:rPr>
          <w:i/>
        </w:rPr>
        <w:t xml:space="preserve">Physiology &amp; Behavior</w:t>
      </w:r>
      <w:r>
        <w:t xml:space="preserve"> </w:t>
      </w:r>
      <w:r>
        <w:t xml:space="preserve">134. Elsevier: 44–50.</w:t>
      </w:r>
    </w:p>
    <w:p>
      <w:pPr>
        <w:pStyle w:val="Bibliography"/>
      </w:pPr>
      <w:r>
        <w:t xml:space="preserve">Goodman, Leo A. 2007. “On the Assignment of Individuals to Latent Classes.”</w:t>
      </w:r>
      <w:r>
        <w:t xml:space="preserve"> </w:t>
      </w:r>
      <w:r>
        <w:rPr>
          <w:i/>
        </w:rPr>
        <w:t xml:space="preserve">Sociological Methodology</w:t>
      </w:r>
      <w:r>
        <w:t xml:space="preserve"> </w:t>
      </w:r>
      <w:r>
        <w:t xml:space="preserve">37 (1). SAGE Publications Sage CA: Los Angeles, CA: 1–22.</w:t>
      </w:r>
    </w:p>
    <w:p>
      <w:pPr>
        <w:pStyle w:val="Bibliography"/>
      </w:pPr>
      <w:r>
        <w:t xml:space="preserve">Hanna, Katherine L, and Peter F Collins. 2015. “Relationship Between Living Alone and Food and Nutrient Intake.”</w:t>
      </w:r>
      <w:r>
        <w:t xml:space="preserve"> </w:t>
      </w:r>
      <w:r>
        <w:rPr>
          <w:i/>
        </w:rPr>
        <w:t xml:space="preserve">Nutrition Reviews</w:t>
      </w:r>
      <w:r>
        <w:t xml:space="preserve"> </w:t>
      </w:r>
      <w:r>
        <w:t xml:space="preserve">73 (9). Oxford University Press: 594–611.</w:t>
      </w:r>
    </w:p>
    <w:p>
      <w:pPr>
        <w:pStyle w:val="Bibliography"/>
      </w:pPr>
      <w:r>
        <w:t xml:space="preserve">Henry, Kimberly L, and Bengt Muthén. 2010. “Multilevel Latent Class Analysis: An Application of Adolescent Smoking Typologies with Individual and Contextual Predictors.”</w:t>
      </w:r>
      <w:r>
        <w:t xml:space="preserve"> </w:t>
      </w:r>
      <w:r>
        <w:rPr>
          <w:i/>
        </w:rPr>
        <w:t xml:space="preserve">Structural Equation Modeling</w:t>
      </w:r>
      <w:r>
        <w:t xml:space="preserve"> </w:t>
      </w:r>
      <w:r>
        <w:t xml:space="preserve">17 (2). Taylor &amp; Francis: 193–215.</w:t>
      </w:r>
    </w:p>
    <w:p>
      <w:pPr>
        <w:pStyle w:val="Bibliography"/>
      </w:pPr>
      <w:r>
        <w:t xml:space="preserve">Johnston, Jonathan D. 2014. “Physiological Responses to Food Intake Throughout the Day.”</w:t>
      </w:r>
      <w:r>
        <w:t xml:space="preserve"> </w:t>
      </w:r>
      <w:r>
        <w:rPr>
          <w:i/>
        </w:rPr>
        <w:t xml:space="preserve">Nutrition Research Reviews</w:t>
      </w:r>
      <w:r>
        <w:t xml:space="preserve"> </w:t>
      </w:r>
      <w:r>
        <w:t xml:space="preserve">27 (1). Cambridge University Press: 107–18.</w:t>
      </w:r>
    </w:p>
    <w:p>
      <w:pPr>
        <w:pStyle w:val="Bibliography"/>
      </w:pPr>
      <w:r>
        <w:t xml:space="preserve">Jung, Tony, and KAS Wickrama. 2008. “An Introduction to Latent Class Growth Analysis and Growth Mixture Modeling.”</w:t>
      </w:r>
      <w:r>
        <w:t xml:space="preserve"> </w:t>
      </w:r>
      <w:r>
        <w:rPr>
          <w:i/>
        </w:rPr>
        <w:t xml:space="preserve">Social and Personality Psychology Compass</w:t>
      </w:r>
      <w:r>
        <w:t xml:space="preserve"> </w:t>
      </w:r>
      <w:r>
        <w:t xml:space="preserve">2 (1). Wiley Online Library: 302–17.</w:t>
      </w:r>
    </w:p>
    <w:p>
      <w:pPr>
        <w:pStyle w:val="Bibliography"/>
      </w:pPr>
      <w:r>
        <w:t xml:space="preserve">Leech, Rebecca M, Anthony Worsley, Anna Timperio, and Sarah A McNaughton. 2017. “Temporal Eating Patterns: A Latent Class Analysis Approach.”</w:t>
      </w:r>
      <w:r>
        <w:t xml:space="preserve"> </w:t>
      </w:r>
      <w:r>
        <w:rPr>
          <w:i/>
        </w:rPr>
        <w:t xml:space="preserve">International Journal of Behavioral Nutrition and Physical Activity</w:t>
      </w:r>
      <w:r>
        <w:t xml:space="preserve"> </w:t>
      </w:r>
      <w:r>
        <w:t xml:space="preserve">14 (1). BioMed Central: 3.</w:t>
      </w:r>
    </w:p>
    <w:p>
      <w:pPr>
        <w:pStyle w:val="Bibliography"/>
      </w:pPr>
      <w:r>
        <w:t xml:space="preserve">Lo, Yungtai, Nancy R Mendell, and Donald B Rubin. 2001. “Testing the Number of Components in a Normal Mixture.”</w:t>
      </w:r>
      <w:r>
        <w:t xml:space="preserve"> </w:t>
      </w:r>
      <w:r>
        <w:rPr>
          <w:i/>
        </w:rPr>
        <w:t xml:space="preserve">Biometrika</w:t>
      </w:r>
      <w:r>
        <w:t xml:space="preserve"> </w:t>
      </w:r>
      <w:r>
        <w:t xml:space="preserve">88 (3). Oxford University Press: 767–78.</w:t>
      </w:r>
    </w:p>
    <w:p>
      <w:pPr>
        <w:pStyle w:val="Bibliography"/>
      </w:pPr>
      <w:r>
        <w:t xml:space="preserve">Mansukhani, R, and L Palla. 2018. “Investigating Eating Time Patterns in Uk Adults from the 2008–2012 National Diet and Nutrition Survey.”</w:t>
      </w:r>
      <w:r>
        <w:t xml:space="preserve"> </w:t>
      </w:r>
      <w:r>
        <w:rPr>
          <w:i/>
        </w:rPr>
        <w:t xml:space="preserve">Proceedings of the Nutrition Society</w:t>
      </w:r>
      <w:r>
        <w:t xml:space="preserve"> </w:t>
      </w:r>
      <w:r>
        <w:t xml:space="preserve">77 (OCE1). Cambridge University Press.</w:t>
      </w:r>
    </w:p>
    <w:p>
      <w:pPr>
        <w:pStyle w:val="Bibliography"/>
      </w:pPr>
      <w:r>
        <w:t xml:space="preserve">Muthén, Bengt, and Tihomir Asparouhov. 2009. “Multilevel Regression Mixture Analysis.”</w:t>
      </w:r>
      <w:r>
        <w:t xml:space="preserve"> </w:t>
      </w:r>
      <w:r>
        <w:rPr>
          <w:i/>
        </w:rPr>
        <w:t xml:space="preserve">Journal of the Royal Statistical Society: Series A (Statistics in Society)</w:t>
      </w:r>
      <w:r>
        <w:t xml:space="preserve"> </w:t>
      </w:r>
      <w:r>
        <w:t xml:space="preserve">172 (3). Wiley Online Library: 639–57.</w:t>
      </w:r>
    </w:p>
    <w:p>
      <w:pPr>
        <w:pStyle w:val="Bibliography"/>
      </w:pPr>
      <w:r>
        <w:t xml:space="preserve">Muthén, Linda K, and Bengt O Muthén. 2017.</w:t>
      </w:r>
      <w:r>
        <w:t xml:space="preserve"> </w:t>
      </w:r>
      <w:r>
        <w:rPr>
          <w:i/>
        </w:rPr>
        <w:t xml:space="preserve">Mplus: Statistical Analysis with Latent Variables: User’s Guide</w:t>
      </w:r>
      <w:r>
        <w:t xml:space="preserve">. Muthén &amp; Muthén Los Angeles.</w:t>
      </w:r>
    </w:p>
    <w:p>
      <w:pPr>
        <w:pStyle w:val="Bibliography"/>
      </w:pPr>
      <w:r>
        <w:t xml:space="preserve">Nagin, Daniel S. 2005.</w:t>
      </w:r>
      <w:r>
        <w:t xml:space="preserve"> </w:t>
      </w:r>
      <w:r>
        <w:rPr>
          <w:i/>
        </w:rPr>
        <w:t xml:space="preserve">Group-Based Modeling of Development</w:t>
      </w:r>
      <w:r>
        <w:t xml:space="preserve">. Harvard University Press.</w:t>
      </w:r>
    </w:p>
    <w:p>
      <w:pPr>
        <w:pStyle w:val="Bibliography"/>
      </w:pPr>
      <w:r>
        <w:t xml:space="preserve">Nylund, Karen L, Tihomir Asparouhov, and Bengt O Muthén. 2007. “Deciding on the Number of Classes in Latent Class Analysis and Growth Mixture Modeling: A Monte Carlo Simulation Study.”</w:t>
      </w:r>
      <w:r>
        <w:t xml:space="preserve"> </w:t>
      </w:r>
      <w:r>
        <w:rPr>
          <w:i/>
        </w:rPr>
        <w:t xml:space="preserve">Structural Equation Modeling</w:t>
      </w:r>
      <w:r>
        <w:t xml:space="preserve"> </w:t>
      </w:r>
      <w:r>
        <w:t xml:space="preserve">14 (4). Taylor &amp; Francis: 535–69.</w:t>
      </w:r>
    </w:p>
    <w:p>
      <w:pPr>
        <w:pStyle w:val="Bibliography"/>
      </w:pPr>
      <w:r>
        <w:t xml:space="preserve">Pan, An, Eva S Schernhammer, Qi Sun, and Frank B Hu. 2011. “Rotating Night Shift Work and Risk of Type 2 Diabetes: Two Prospective Cohort Studies in Women.”</w:t>
      </w:r>
      <w:r>
        <w:t xml:space="preserve"> </w:t>
      </w:r>
      <w:r>
        <w:rPr>
          <w:i/>
        </w:rPr>
        <w:t xml:space="preserve">PLoS Medicine</w:t>
      </w:r>
      <w:r>
        <w:t xml:space="preserve"> </w:t>
      </w:r>
      <w:r>
        <w:t xml:space="preserve">8 (12). Public Library of Science: e1001141.</w:t>
      </w:r>
    </w:p>
    <w:p>
      <w:pPr>
        <w:pStyle w:val="Bibliography"/>
      </w:pPr>
      <w:r>
        <w:t xml:space="preserve">Pregibon, Daryl. 1980. “Goodness of Link Tests for Generalized Linear Models.”</w:t>
      </w:r>
      <w:r>
        <w:t xml:space="preserve"> </w:t>
      </w:r>
      <w:r>
        <w:rPr>
          <w:i/>
        </w:rPr>
        <w:t xml:space="preserve">Applied Statistics</w:t>
      </w:r>
      <w:r>
        <w:t xml:space="preserve">. JSTOR, 15–14.</w:t>
      </w:r>
    </w:p>
    <w:p>
      <w:pPr>
        <w:pStyle w:val="Bibliography"/>
      </w:pPr>
      <w:r>
        <w:t xml:space="preserve">Roberts, Caireen, Toni Steer, Natalie Maplethorpe, Lorna Cox, Sarah Meadows, Sonja Nicholson, Polly Page, and Gillian Swan. 2018. “National Diet and Nutrition Survey: Results from Years 7 and 8 (Combined) of the Rolling Programme (2014/2015–2015/2016).” Public Health England.</w:t>
      </w:r>
    </w:p>
    <w:p>
      <w:pPr>
        <w:pStyle w:val="Bibliography"/>
      </w:pPr>
      <w:r>
        <w:t xml:space="preserve">Smithers, Gillian. 1993. “MAFF’s Nutrient Databank.”</w:t>
      </w:r>
      <w:r>
        <w:t xml:space="preserve"> </w:t>
      </w:r>
      <w:r>
        <w:rPr>
          <w:i/>
        </w:rPr>
        <w:t xml:space="preserve">Nutrition &amp; Food Science</w:t>
      </w:r>
      <w:r>
        <w:t xml:space="preserve"> </w:t>
      </w:r>
      <w:r>
        <w:t xml:space="preserve">93 (2). MCB UP Ltd: 16–19.</w:t>
      </w:r>
    </w:p>
    <w:p>
      <w:pPr>
        <w:pStyle w:val="Bibliography"/>
      </w:pPr>
      <w:r>
        <w:t xml:space="preserve">Snijders, T.A.B., and R.J. Bosker. 2011.</w:t>
      </w:r>
      <w:r>
        <w:t xml:space="preserve"> </w:t>
      </w:r>
      <w:r>
        <w:rPr>
          <w:i/>
        </w:rPr>
        <w:t xml:space="preserve">Multilevel Analysis: An Introduction to Basic and Advanced Multilevel Modeling</w:t>
      </w:r>
      <w:r>
        <w:t xml:space="preserve">. SAGE Publications.</w:t>
      </w:r>
    </w:p>
    <w:p>
      <w:pPr>
        <w:pStyle w:val="Bibliography"/>
      </w:pPr>
      <w:r>
        <w:t xml:space="preserve">StataCorp LLC. 2017.</w:t>
      </w:r>
      <w:r>
        <w:t xml:space="preserve"> </w:t>
      </w:r>
      <w:r>
        <w:rPr>
          <w:i/>
        </w:rPr>
        <w:t xml:space="preserve">Stata Statistical Software: Release 15</w:t>
      </w:r>
      <w:r>
        <w:t xml:space="preserve"> </w:t>
      </w:r>
      <w:r>
        <w:t xml:space="preserve">(version 15.1).</w:t>
      </w:r>
      <w:r>
        <w:t xml:space="preserve"> </w:t>
      </w:r>
      <w:hyperlink r:id="rId79">
        <w:r>
          <w:rPr>
            <w:rStyle w:val="Hyperlink"/>
          </w:rPr>
          <w:t xml:space="preserve">https://www.stata.com/</w:t>
        </w:r>
      </w:hyperlink>
      <w:r>
        <w:t xml:space="preserve">.</w:t>
      </w:r>
    </w:p>
    <w:p>
      <w:pPr>
        <w:pStyle w:val="Bibliography"/>
      </w:pPr>
      <w:r>
        <w:t xml:space="preserve">Uemura, Mayu, Hiroshi Yatsuya, Esayas Haregot Hilawe, Yuanying Li, Chaochen Wang, Chifa Chiang, Rei Otsuka, Hideaki Toyoshima, Koji Tamakoshi, and Atsuko Aoyama. 2015. “Breakfast Skipping Is Positively Associated with Incidence of Type 2 Diabetes Mellitus: Evidence from the Aichi Workers’ Cohort Study.”</w:t>
      </w:r>
      <w:r>
        <w:t xml:space="preserve"> </w:t>
      </w:r>
      <w:r>
        <w:rPr>
          <w:i/>
        </w:rPr>
        <w:t xml:space="preserve">Journal of Epidemiology</w:t>
      </w:r>
      <w:r>
        <w:t xml:space="preserve"> </w:t>
      </w:r>
      <w:r>
        <w:t xml:space="preserve">25 (5). Japan Epidemiological Association: 351–58.</w:t>
      </w:r>
    </w:p>
    <w:p>
      <w:pPr>
        <w:pStyle w:val="Bibliography"/>
      </w:pPr>
      <w:r>
        <w:t xml:space="preserve">Van Horn, M Lee, Abigail A Fagan, Thomas Jaki, Eric C Brown, J David Hawkins, Michael W Arthur, Robert D Abbott, and Richard F Catalano. 2008. “Using Multilevel Mixtures to Evaluate Intervention Effects in Group Randomized Trials.”</w:t>
      </w:r>
      <w:r>
        <w:t xml:space="preserve"> </w:t>
      </w:r>
      <w:r>
        <w:rPr>
          <w:i/>
        </w:rPr>
        <w:t xml:space="preserve">Multivariate Behavioral Research</w:t>
      </w:r>
      <w:r>
        <w:t xml:space="preserve"> </w:t>
      </w:r>
      <w:r>
        <w:t xml:space="preserve">43 (2). Taylor &amp; Francis: 289–326.</w:t>
      </w:r>
    </w:p>
    <w:p>
      <w:pPr>
        <w:pStyle w:val="Bibliography"/>
      </w:pPr>
      <w:r>
        <w:t xml:space="preserve">Vermunt, Jeroen K. 2008. “Latent Class and Finite Mixture Models for Multilevel Data Sets.”</w:t>
      </w:r>
      <w:r>
        <w:t xml:space="preserve"> </w:t>
      </w:r>
      <w:r>
        <w:rPr>
          <w:i/>
        </w:rPr>
        <w:t xml:space="preserve">Statistical Methods in Medical Research</w:t>
      </w:r>
      <w:r>
        <w:t xml:space="preserve"> </w:t>
      </w:r>
      <w:r>
        <w:t xml:space="preserve">17 (1). Sage Publications Sage UK: London, England: 33–51.</w:t>
      </w:r>
    </w:p>
    <w:p>
      <w:pPr>
        <w:pStyle w:val="Bibliography"/>
      </w:pPr>
      <w:r>
        <w:t xml:space="preserve">Vermunt, Jeroen K. 2003.</w:t>
      </w:r>
      <w:r>
        <w:t xml:space="preserve"> </w:t>
      </w:r>
      <w:r>
        <w:rPr>
          <w:i/>
        </w:rPr>
        <w:t xml:space="preserve">Multilevel Latent Class Models</w:t>
      </w:r>
      <w:r>
        <w:t xml:space="preserve">.</w:t>
      </w:r>
      <w:r>
        <w:t xml:space="preserve"> </w:t>
      </w:r>
      <w:r>
        <w:rPr>
          <w:i/>
        </w:rPr>
        <w:t xml:space="preserve">Sociological Methodology</w:t>
      </w:r>
      <w:r>
        <w:t xml:space="preserve">. Vol. 33. 1. doi:</w:t>
      </w:r>
      <w:hyperlink r:id="rId80">
        <w:r>
          <w:rPr>
            <w:rStyle w:val="Hyperlink"/>
          </w:rPr>
          <w:t xml:space="preserve">10.1111/j.0081-1750.2003.t01-1-00131.x</w:t>
        </w:r>
      </w:hyperlink>
      <w:r>
        <w:t xml:space="preserve">.</w:t>
      </w:r>
    </w:p>
    <w:p>
      <w:pPr>
        <w:pStyle w:val="Bibliography"/>
      </w:pPr>
      <w:r>
        <w:t xml:space="preserve">Wang, Chen-Pin, C Hendricks Brown, and Karen Bandeen-Roche. 2005. “Residual Diagnostics for Growth Mixture Models: Examining the Impact of a Preventive Intervention on Multiple Trajectories of Aggressive Behavior.”</w:t>
      </w:r>
      <w:r>
        <w:t xml:space="preserve"> </w:t>
      </w:r>
      <w:r>
        <w:rPr>
          <w:i/>
        </w:rPr>
        <w:t xml:space="preserve">Journal of the American Statistical Association</w:t>
      </w:r>
      <w:r>
        <w:t xml:space="preserve"> </w:t>
      </w:r>
      <w:r>
        <w:t xml:space="preserve">100. American Statistical Association: 1054–76.</w:t>
      </w:r>
    </w:p>
    <w:p>
      <w:pPr>
        <w:pStyle w:val="Bibliography"/>
      </w:pPr>
      <w:r>
        <w:t xml:space="preserve">Willett, Walter. 2012. “Nature of Variation in Diet.” In</w:t>
      </w:r>
      <w:r>
        <w:t xml:space="preserve"> </w:t>
      </w:r>
      <w:r>
        <w:rPr>
          <w:i/>
        </w:rPr>
        <w:t xml:space="preserve">Nutritional Epidemiology</w:t>
      </w:r>
      <w:r>
        <w:t xml:space="preserve">, 34–48. Oxford University Press.</w:t>
      </w:r>
    </w:p>
    <w:p>
      <w:pPr>
        <w:pStyle w:val="Bibliography"/>
      </w:pPr>
      <w:r>
        <w:t xml:space="preserve">. 2018. “Mid 2008, 2009, 2010, 2011, 2012, 2013, 2014, 2015, and 2016 Population Estimates.”</w:t>
      </w:r>
    </w:p>
    <w:p>
      <w:pPr>
        <w:pStyle w:val="Bibliography"/>
      </w:pPr>
      <w:r>
        <w:t xml:space="preserve">. 2018. “National Diet and Nutrition Survey Rolling Programme.”</w:t>
      </w:r>
    </w:p>
    <w:p>
      <w:pPr>
        <w:pStyle w:val="Bibliography"/>
      </w:pPr>
      <w:r>
        <w:t xml:space="preserve">. 2018. “National Diet and Nutrition Survey Years 1-8, 2008/09-2015/16.”</w:t>
      </w:r>
    </w:p>
    <w:p>
      <w:pPr>
        <w:pStyle w:val="Bibliography"/>
      </w:pPr>
      <w:r>
        <w:t xml:space="preserve">. 2018.</w:t>
      </w:r>
      <w:r>
        <w:t xml:space="preserve"> </w:t>
      </w:r>
      <w:r>
        <w:rPr>
          <w:i/>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71736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bbf201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a84425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80" Target="https://doi.org/10.1111/j.0081-1750.2003.t01-1-00131.x" TargetMode="External" /><Relationship Type="http://schemas.openxmlformats.org/officeDocument/2006/relationships/hyperlink" Id="rId81"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79"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80" Target="https://doi.org/10.1111/j.0081-1750.2003.t01-1-00131.x" TargetMode="External" /><Relationship Type="http://schemas.openxmlformats.org/officeDocument/2006/relationships/hyperlink" Id="rId81"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79"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2018-08-21T13:48:02Z</dcterms:created>
  <dcterms:modified xsi:type="dcterms:W3CDTF">2018-08-21T13:48:02Z</dcterms:modified>
</cp:coreProperties>
</file>