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9D48B" w14:textId="77777777" w:rsidR="0070733D" w:rsidRPr="0070733D" w:rsidRDefault="0070733D" w:rsidP="0070733D">
      <w:pPr>
        <w:jc w:val="center"/>
        <w:rPr>
          <w:bCs/>
        </w:rPr>
      </w:pPr>
      <w:r w:rsidRPr="0070733D">
        <w:rPr>
          <w:bCs/>
        </w:rPr>
        <w:t xml:space="preserve">Supplementary Material for </w:t>
      </w:r>
      <w:r w:rsidRPr="0070733D">
        <w:rPr>
          <w:bCs/>
          <w:color w:val="000033"/>
          <w:shd w:val="clear" w:color="auto" w:fill="FFFFFF"/>
        </w:rPr>
        <w:t>SRL-D-20-00335R2</w:t>
      </w:r>
    </w:p>
    <w:p w14:paraId="3DE7D8FE" w14:textId="5FAB9E67" w:rsidR="0070733D" w:rsidRDefault="0070733D" w:rsidP="0070733D">
      <w:pPr>
        <w:spacing w:line="480" w:lineRule="auto"/>
        <w:jc w:val="center"/>
        <w:rPr>
          <w:b/>
        </w:rPr>
      </w:pPr>
    </w:p>
    <w:p w14:paraId="139A5559" w14:textId="748F70D0" w:rsidR="0070733D" w:rsidRDefault="0070733D" w:rsidP="0070733D">
      <w:pPr>
        <w:spacing w:line="480" w:lineRule="auto"/>
        <w:jc w:val="center"/>
        <w:rPr>
          <w:b/>
        </w:rPr>
      </w:pPr>
      <w:r>
        <w:rPr>
          <w:b/>
        </w:rPr>
        <w:t>New Insights into the Lake Erie Fault System from the 2019 M</w:t>
      </w:r>
      <w:r w:rsidRPr="00E6754D">
        <w:rPr>
          <w:b/>
          <w:vertAlign w:val="subscript"/>
        </w:rPr>
        <w:t>L</w:t>
      </w:r>
      <w:r>
        <w:rPr>
          <w:b/>
        </w:rPr>
        <w:t>4.0 Ohio Earthquake Sequence</w:t>
      </w:r>
    </w:p>
    <w:p w14:paraId="3680658C" w14:textId="55E8C150" w:rsidR="0070733D" w:rsidRDefault="0070733D" w:rsidP="0070733D">
      <w:pPr>
        <w:jc w:val="center"/>
      </w:pPr>
      <w:r>
        <w:t xml:space="preserve">Dongdong Yao, </w:t>
      </w:r>
      <w:proofErr w:type="spellStart"/>
      <w:r>
        <w:t>Yihe</w:t>
      </w:r>
      <w:proofErr w:type="spellEnd"/>
      <w:r>
        <w:t xml:space="preserve"> Huang, Jeffrey L. Fox</w:t>
      </w:r>
    </w:p>
    <w:p w14:paraId="1CE0AAF0" w14:textId="7A7BD29D" w:rsidR="0070733D" w:rsidRDefault="0070733D" w:rsidP="0070733D">
      <w:pPr>
        <w:jc w:val="both"/>
      </w:pPr>
    </w:p>
    <w:p w14:paraId="7B4BC10D" w14:textId="77777777" w:rsidR="0070733D" w:rsidRDefault="0070733D" w:rsidP="0070733D">
      <w:pPr>
        <w:jc w:val="both"/>
      </w:pPr>
    </w:p>
    <w:p w14:paraId="1525855D" w14:textId="2439FED8" w:rsidR="0070733D" w:rsidRPr="0070733D" w:rsidRDefault="0070733D" w:rsidP="0070733D">
      <w:pPr>
        <w:jc w:val="both"/>
        <w:rPr>
          <w:b/>
          <w:bCs/>
        </w:rPr>
      </w:pPr>
      <w:r w:rsidRPr="0070733D">
        <w:rPr>
          <w:b/>
          <w:bCs/>
        </w:rPr>
        <w:t>List of Supplemental Table Captions</w:t>
      </w:r>
    </w:p>
    <w:p w14:paraId="2266AEE4" w14:textId="58502A55" w:rsidR="0070733D" w:rsidRDefault="0070733D" w:rsidP="0070733D">
      <w:pPr>
        <w:jc w:val="both"/>
      </w:pPr>
    </w:p>
    <w:p w14:paraId="7B2DDD12" w14:textId="2026FDC6" w:rsidR="00D149FB" w:rsidRDefault="00D149FB" w:rsidP="0070733D">
      <w:pPr>
        <w:jc w:val="both"/>
        <w:rPr>
          <w:b/>
          <w:bCs/>
        </w:rPr>
      </w:pPr>
      <w:r>
        <w:rPr>
          <w:b/>
          <w:bCs/>
        </w:rPr>
        <w:t xml:space="preserve">Table S1: </w:t>
      </w:r>
      <w:r w:rsidRPr="00D149FB">
        <w:t>1D velocity model for synthetic seismograms</w:t>
      </w:r>
    </w:p>
    <w:p w14:paraId="1674DFFD" w14:textId="10FA4D2F" w:rsidR="0070733D" w:rsidRDefault="0070733D" w:rsidP="0070733D">
      <w:pPr>
        <w:jc w:val="both"/>
      </w:pPr>
      <w:r w:rsidRPr="0070733D">
        <w:rPr>
          <w:b/>
          <w:bCs/>
        </w:rPr>
        <w:t>Table S</w:t>
      </w:r>
      <w:r w:rsidR="00D149FB">
        <w:rPr>
          <w:b/>
          <w:bCs/>
        </w:rPr>
        <w:t>2</w:t>
      </w:r>
      <w:r>
        <w:t>: A list of earthquake templates</w:t>
      </w:r>
    </w:p>
    <w:p w14:paraId="40D1A280" w14:textId="74E0EB5D" w:rsidR="0070733D" w:rsidRDefault="0070733D" w:rsidP="0070733D">
      <w:pPr>
        <w:jc w:val="both"/>
      </w:pPr>
      <w:r w:rsidRPr="0070733D">
        <w:rPr>
          <w:b/>
          <w:bCs/>
        </w:rPr>
        <w:t>Table S</w:t>
      </w:r>
      <w:r w:rsidR="00D149FB">
        <w:rPr>
          <w:b/>
          <w:bCs/>
        </w:rPr>
        <w:t>3</w:t>
      </w:r>
      <w:r>
        <w:t>: Detected earthquake catalog</w:t>
      </w:r>
    </w:p>
    <w:p w14:paraId="661E7CEB" w14:textId="16937F71" w:rsidR="0070733D" w:rsidRDefault="0070733D" w:rsidP="0070733D">
      <w:pPr>
        <w:jc w:val="both"/>
      </w:pPr>
      <w:r w:rsidRPr="0070733D">
        <w:rPr>
          <w:b/>
          <w:bCs/>
        </w:rPr>
        <w:t>Table S</w:t>
      </w:r>
      <w:r w:rsidR="00D149FB">
        <w:rPr>
          <w:b/>
          <w:bCs/>
        </w:rPr>
        <w:t>4</w:t>
      </w:r>
      <w:r>
        <w:t>: Location results from HYPOINVERSE</w:t>
      </w:r>
    </w:p>
    <w:p w14:paraId="681779E3" w14:textId="150EC15C" w:rsidR="0070733D" w:rsidRDefault="0070733D" w:rsidP="0070733D">
      <w:pPr>
        <w:jc w:val="both"/>
      </w:pPr>
      <w:r w:rsidRPr="0070733D">
        <w:rPr>
          <w:b/>
          <w:bCs/>
        </w:rPr>
        <w:t>Table S</w:t>
      </w:r>
      <w:r w:rsidR="00D149FB">
        <w:rPr>
          <w:b/>
          <w:bCs/>
        </w:rPr>
        <w:t>5</w:t>
      </w:r>
      <w:r>
        <w:t>: Relative location results from HypoDD</w:t>
      </w:r>
    </w:p>
    <w:p w14:paraId="721CA02E" w14:textId="4F39F763" w:rsidR="00DB1F72" w:rsidRDefault="00DB1F72" w:rsidP="0070733D">
      <w:pPr>
        <w:jc w:val="both"/>
      </w:pPr>
    </w:p>
    <w:p w14:paraId="7DD47E22" w14:textId="35DCF749" w:rsidR="00DB1F72" w:rsidRDefault="00DB1F72" w:rsidP="0070733D">
      <w:pPr>
        <w:jc w:val="both"/>
      </w:pPr>
      <w:r w:rsidRPr="0055182B">
        <w:rPr>
          <w:b/>
          <w:bCs/>
        </w:rPr>
        <w:t>Table S2-S5</w:t>
      </w:r>
      <w:r>
        <w:t xml:space="preserve"> are uploaded separately. </w:t>
      </w:r>
    </w:p>
    <w:p w14:paraId="4F8EEE65" w14:textId="77777777" w:rsidR="0070733D" w:rsidRDefault="0070733D" w:rsidP="0070733D">
      <w:pPr>
        <w:jc w:val="both"/>
      </w:pPr>
    </w:p>
    <w:p w14:paraId="7A518DEB" w14:textId="77777777" w:rsidR="0070733D" w:rsidRPr="0070733D" w:rsidRDefault="0070733D" w:rsidP="0070733D">
      <w:pPr>
        <w:jc w:val="both"/>
        <w:rPr>
          <w:b/>
          <w:bCs/>
        </w:rPr>
      </w:pPr>
      <w:r w:rsidRPr="0070733D">
        <w:rPr>
          <w:b/>
          <w:bCs/>
        </w:rPr>
        <w:t>List of Supplemental Figure Captions</w:t>
      </w:r>
    </w:p>
    <w:p w14:paraId="17B7B4B8" w14:textId="77777777" w:rsidR="0070733D" w:rsidRDefault="0070733D" w:rsidP="0070733D">
      <w:pPr>
        <w:jc w:val="both"/>
      </w:pPr>
    </w:p>
    <w:p w14:paraId="1C3C3796" w14:textId="77777777" w:rsidR="0070733D" w:rsidRDefault="0070733D" w:rsidP="0070733D">
      <w:pPr>
        <w:jc w:val="both"/>
      </w:pPr>
      <w:r w:rsidRPr="0070733D">
        <w:rPr>
          <w:b/>
          <w:bCs/>
        </w:rPr>
        <w:t>Figure S1</w:t>
      </w:r>
      <w:r>
        <w:t>. Remaining stations for focal plane solution of the 2019 Ohio mainshock. Black and red are observed ground velocity and synthetic seismogram, respectively. Station name (with epicentral distance in km/constant shift in second) and time shift in seconds and cross-correlation coefficient (%) of individual waveforms are labeled.</w:t>
      </w:r>
    </w:p>
    <w:p w14:paraId="14F65976" w14:textId="77777777" w:rsidR="0070733D" w:rsidRDefault="0070733D" w:rsidP="0070733D">
      <w:pPr>
        <w:jc w:val="both"/>
      </w:pPr>
    </w:p>
    <w:p w14:paraId="4B407DC8" w14:textId="77777777" w:rsidR="0070733D" w:rsidRDefault="0070733D" w:rsidP="0070733D">
      <w:pPr>
        <w:jc w:val="both"/>
      </w:pPr>
      <w:r w:rsidRPr="0070733D">
        <w:rPr>
          <w:b/>
          <w:bCs/>
        </w:rPr>
        <w:t>Figure S2</w:t>
      </w:r>
      <w:r>
        <w:t xml:space="preserve">. Magnitude distribution for all detected events. The standard deviation of the measured magnitude for each event across all used stations is shown with gray vertical bar. The bold black curve marks the cumulative number of events. </w:t>
      </w:r>
    </w:p>
    <w:p w14:paraId="491030F5" w14:textId="77777777" w:rsidR="0070733D" w:rsidRDefault="0070733D" w:rsidP="0070733D">
      <w:pPr>
        <w:jc w:val="both"/>
      </w:pPr>
    </w:p>
    <w:p w14:paraId="2CC776EC" w14:textId="77777777" w:rsidR="0070733D" w:rsidRDefault="0070733D" w:rsidP="0070733D">
      <w:pPr>
        <w:jc w:val="both"/>
      </w:pPr>
      <w:r w:rsidRPr="0070733D">
        <w:rPr>
          <w:b/>
          <w:bCs/>
        </w:rPr>
        <w:t>Figure S3</w:t>
      </w:r>
      <w:r>
        <w:t>. Three component waveform envelope function (log scale) in the first 12000s since the mainshock (red filled triangle). Black and red vertical dashed lines indicate all detected events and verified earthquakes with visible S arrivals, respectively. Black filled circles are M2.0+ EQs.</w:t>
      </w:r>
    </w:p>
    <w:p w14:paraId="1742C8D2" w14:textId="77777777" w:rsidR="0070733D" w:rsidRDefault="0070733D" w:rsidP="0070733D">
      <w:pPr>
        <w:jc w:val="both"/>
      </w:pPr>
    </w:p>
    <w:p w14:paraId="4B24D5EC" w14:textId="77777777" w:rsidR="0070733D" w:rsidRDefault="0070733D" w:rsidP="0070733D">
      <w:pPr>
        <w:jc w:val="both"/>
      </w:pPr>
      <w:r w:rsidRPr="0070733D">
        <w:rPr>
          <w:b/>
          <w:bCs/>
        </w:rPr>
        <w:t>Figure S4</w:t>
      </w:r>
      <w:r>
        <w:t xml:space="preserve">. Top panel: magnitude-time distribution for nearby seismicity (20 km radius). Bottom panel: Spatial distribution of nearby seismicity. Two large circles have a radius of 5 km and 10 km, respectively. Events since 2019 are labeled as red circles. </w:t>
      </w:r>
    </w:p>
    <w:p w14:paraId="43418B71" w14:textId="77777777" w:rsidR="0070733D" w:rsidRDefault="0070733D" w:rsidP="0070733D">
      <w:pPr>
        <w:jc w:val="both"/>
      </w:pPr>
    </w:p>
    <w:p w14:paraId="5307C85B" w14:textId="5F2FAE60" w:rsidR="0070733D" w:rsidRDefault="0070733D" w:rsidP="0070733D">
      <w:pPr>
        <w:jc w:val="both"/>
      </w:pPr>
      <w:r w:rsidRPr="0070733D">
        <w:rPr>
          <w:b/>
          <w:bCs/>
        </w:rPr>
        <w:t>Figure S5</w:t>
      </w:r>
      <w:r>
        <w:t xml:space="preserve">. Frequency-magnitude distribution of seismicity. Red and blue symbols and dashed lines correspond to both all detected events and verified earthquakes. b-values are also labeled. </w:t>
      </w:r>
    </w:p>
    <w:p w14:paraId="3152DBCD" w14:textId="77777777" w:rsidR="0070733D" w:rsidRDefault="0070733D" w:rsidP="0070733D">
      <w:pPr>
        <w:jc w:val="both"/>
      </w:pPr>
    </w:p>
    <w:p w14:paraId="56A1821F" w14:textId="5603EE4D" w:rsidR="0070733D" w:rsidRDefault="005A7B47" w:rsidP="0070733D">
      <w:pPr>
        <w:spacing w:line="480" w:lineRule="auto"/>
        <w:jc w:val="center"/>
      </w:pPr>
      <w:r>
        <w:rPr>
          <w:noProof/>
        </w:rPr>
        <w:lastRenderedPageBreak/>
        <w:drawing>
          <wp:inline distT="0" distB="0" distL="0" distR="0" wp14:anchorId="6FD9D8E9" wp14:editId="4A6AFA71">
            <wp:extent cx="5943600" cy="7209790"/>
            <wp:effectExtent l="0" t="0" r="0" b="381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7209790"/>
                    </a:xfrm>
                    <a:prstGeom prst="rect">
                      <a:avLst/>
                    </a:prstGeom>
                  </pic:spPr>
                </pic:pic>
              </a:graphicData>
            </a:graphic>
          </wp:inline>
        </w:drawing>
      </w:r>
    </w:p>
    <w:p w14:paraId="7D9CB1E2" w14:textId="77777777" w:rsidR="0070733D" w:rsidRDefault="0070733D" w:rsidP="0070733D">
      <w:pPr>
        <w:spacing w:line="480" w:lineRule="auto"/>
        <w:jc w:val="both"/>
      </w:pPr>
      <w:r>
        <w:t xml:space="preserve">Figure S1. Remaining stations for focal plane solution of the 2019 Ohio mainshock. Black and red are observed ground velocity and synthetic seismogram, respectively. Station name (with </w:t>
      </w:r>
      <w:r>
        <w:lastRenderedPageBreak/>
        <w:t>epicentral distance in km/constant shift in second) and time shift in seconds and cross-correlation coefficient (%) of individual waveforms are labeled.</w:t>
      </w:r>
    </w:p>
    <w:p w14:paraId="4B7EB00E" w14:textId="77777777" w:rsidR="0070733D" w:rsidRDefault="0070733D" w:rsidP="0070733D">
      <w:pPr>
        <w:spacing w:line="480" w:lineRule="auto"/>
        <w:jc w:val="both"/>
      </w:pPr>
    </w:p>
    <w:p w14:paraId="5634D690" w14:textId="77777777" w:rsidR="0070733D" w:rsidRDefault="0070733D" w:rsidP="0070733D">
      <w:pPr>
        <w:spacing w:line="480" w:lineRule="auto"/>
        <w:jc w:val="both"/>
      </w:pPr>
      <w:r>
        <w:t xml:space="preserve"> </w:t>
      </w:r>
      <w:r>
        <w:rPr>
          <w:noProof/>
        </w:rPr>
        <w:drawing>
          <wp:inline distT="0" distB="0" distL="0" distR="0" wp14:anchorId="3AD36A2E" wp14:editId="5B9D33F6">
            <wp:extent cx="5422900" cy="34671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22900" cy="3467100"/>
                    </a:xfrm>
                    <a:prstGeom prst="rect">
                      <a:avLst/>
                    </a:prstGeom>
                  </pic:spPr>
                </pic:pic>
              </a:graphicData>
            </a:graphic>
          </wp:inline>
        </w:drawing>
      </w:r>
    </w:p>
    <w:p w14:paraId="4418251C" w14:textId="77777777" w:rsidR="0070733D" w:rsidRDefault="0070733D" w:rsidP="0070733D">
      <w:pPr>
        <w:spacing w:line="480" w:lineRule="auto"/>
        <w:jc w:val="both"/>
      </w:pPr>
      <w:r>
        <w:t xml:space="preserve">Figure S2. Magnitude distribution for all detected events. The standard deviation of the measured magnitude for each event across all used stations is shown with gray vertical bar. The bold black curve marks the cumulative number of events. </w:t>
      </w:r>
    </w:p>
    <w:p w14:paraId="6D5471FE" w14:textId="77777777" w:rsidR="0070733D" w:rsidRDefault="0070733D" w:rsidP="0070733D">
      <w:pPr>
        <w:spacing w:line="480" w:lineRule="auto"/>
        <w:jc w:val="center"/>
      </w:pPr>
      <w:r>
        <w:rPr>
          <w:noProof/>
        </w:rPr>
        <w:lastRenderedPageBreak/>
        <w:drawing>
          <wp:inline distT="0" distB="0" distL="0" distR="0" wp14:anchorId="38DF489F" wp14:editId="68F1D6F3">
            <wp:extent cx="4615367" cy="3681413"/>
            <wp:effectExtent l="0" t="0" r="0" b="0"/>
            <wp:docPr id="7" name="image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4.png" descr="Chart&#10;&#10;Description automatically generated"/>
                    <pic:cNvPicPr preferRelativeResize="0"/>
                  </pic:nvPicPr>
                  <pic:blipFill>
                    <a:blip r:embed="rId6"/>
                    <a:srcRect/>
                    <a:stretch>
                      <a:fillRect/>
                    </a:stretch>
                  </pic:blipFill>
                  <pic:spPr>
                    <a:xfrm>
                      <a:off x="0" y="0"/>
                      <a:ext cx="4615367" cy="3681413"/>
                    </a:xfrm>
                    <a:prstGeom prst="rect">
                      <a:avLst/>
                    </a:prstGeom>
                    <a:ln/>
                  </pic:spPr>
                </pic:pic>
              </a:graphicData>
            </a:graphic>
          </wp:inline>
        </w:drawing>
      </w:r>
    </w:p>
    <w:p w14:paraId="5BA620C5" w14:textId="77777777" w:rsidR="0070733D" w:rsidRDefault="0070733D" w:rsidP="0070733D">
      <w:pPr>
        <w:spacing w:line="480" w:lineRule="auto"/>
        <w:jc w:val="both"/>
      </w:pPr>
      <w:r>
        <w:t>Figure S3. Three component waveform envelope function (log scale) in the first 12000s since the mainshock (red filled triangle). Black and red vertical dashed lines indicate all detected events and verified earthquakes with visible S arrivals, respectively. Black filled circles are M2.0+ EQs.</w:t>
      </w:r>
    </w:p>
    <w:p w14:paraId="0F441D61" w14:textId="77777777" w:rsidR="0070733D" w:rsidRDefault="0070733D" w:rsidP="0070733D">
      <w:pPr>
        <w:spacing w:line="480" w:lineRule="auto"/>
        <w:jc w:val="center"/>
      </w:pPr>
      <w:r>
        <w:rPr>
          <w:noProof/>
        </w:rPr>
        <w:lastRenderedPageBreak/>
        <w:drawing>
          <wp:inline distT="0" distB="0" distL="0" distR="0" wp14:anchorId="20D0044B" wp14:editId="0B986A68">
            <wp:extent cx="4426660" cy="6493933"/>
            <wp:effectExtent l="0" t="0" r="571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28623" cy="6496812"/>
                    </a:xfrm>
                    <a:prstGeom prst="rect">
                      <a:avLst/>
                    </a:prstGeom>
                  </pic:spPr>
                </pic:pic>
              </a:graphicData>
            </a:graphic>
          </wp:inline>
        </w:drawing>
      </w:r>
    </w:p>
    <w:p w14:paraId="4327D6B9" w14:textId="77777777" w:rsidR="0070733D" w:rsidRDefault="0070733D" w:rsidP="0070733D">
      <w:pPr>
        <w:spacing w:line="480" w:lineRule="auto"/>
        <w:jc w:val="both"/>
      </w:pPr>
      <w:r>
        <w:t xml:space="preserve">Figure S4. Top panel: magnitude-time distribution for nearby seismicity (20 km radius). Bottom panel: Spatial distribution of nearby seismicity. Two large circles have a radius of 5 km and 10 km, respectively. Events since 2019 are labeled as red circles. </w:t>
      </w:r>
    </w:p>
    <w:p w14:paraId="6A6551CB" w14:textId="77777777" w:rsidR="0070733D" w:rsidRDefault="0070733D" w:rsidP="0070733D">
      <w:pPr>
        <w:spacing w:line="480" w:lineRule="auto"/>
        <w:jc w:val="center"/>
      </w:pPr>
      <w:r>
        <w:rPr>
          <w:rFonts w:hint="eastAsia"/>
          <w:noProof/>
        </w:rPr>
        <w:lastRenderedPageBreak/>
        <w:drawing>
          <wp:inline distT="0" distB="0" distL="0" distR="0" wp14:anchorId="53125B42" wp14:editId="3D3E05C5">
            <wp:extent cx="4351867" cy="3497036"/>
            <wp:effectExtent l="0" t="0" r="444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55342" cy="3499829"/>
                    </a:xfrm>
                    <a:prstGeom prst="rect">
                      <a:avLst/>
                    </a:prstGeom>
                  </pic:spPr>
                </pic:pic>
              </a:graphicData>
            </a:graphic>
          </wp:inline>
        </w:drawing>
      </w:r>
    </w:p>
    <w:p w14:paraId="4BFFC9BD" w14:textId="2FF77FB8" w:rsidR="0070733D" w:rsidRDefault="0070733D" w:rsidP="0070733D">
      <w:pPr>
        <w:spacing w:line="480" w:lineRule="auto"/>
        <w:jc w:val="both"/>
      </w:pPr>
      <w:r>
        <w:t xml:space="preserve">Figure S5. Frequency-magnitude distribution of seismicity. Red and blue symbols and dashed lines correspond to both all detected events and verified earthquakes. b-values are also labeled. </w:t>
      </w:r>
    </w:p>
    <w:p w14:paraId="44EB83EB" w14:textId="1A30B28E" w:rsidR="00D149FB" w:rsidRDefault="00D149FB" w:rsidP="0070733D">
      <w:pPr>
        <w:spacing w:line="480" w:lineRule="auto"/>
        <w:jc w:val="both"/>
      </w:pPr>
    </w:p>
    <w:p w14:paraId="593E9F71" w14:textId="0F70319C" w:rsidR="00D149FB" w:rsidRDefault="00D149FB" w:rsidP="00D149FB">
      <w:pPr>
        <w:spacing w:line="480" w:lineRule="auto"/>
        <w:jc w:val="both"/>
      </w:pPr>
      <w:r>
        <w:t>TableS1: 1D velocity model used for synthetic seismograms (CUS model)</w:t>
      </w:r>
    </w:p>
    <w:tbl>
      <w:tblPr>
        <w:tblStyle w:val="TableGrid"/>
        <w:tblW w:w="0" w:type="auto"/>
        <w:jc w:val="center"/>
        <w:tblLook w:val="04A0" w:firstRow="1" w:lastRow="0" w:firstColumn="1" w:lastColumn="0" w:noHBand="0" w:noVBand="1"/>
      </w:tblPr>
      <w:tblGrid>
        <w:gridCol w:w="2510"/>
        <w:gridCol w:w="1870"/>
        <w:gridCol w:w="1870"/>
      </w:tblGrid>
      <w:tr w:rsidR="00D149FB" w14:paraId="5BFFB108" w14:textId="77777777" w:rsidTr="0055182B">
        <w:trPr>
          <w:jc w:val="center"/>
        </w:trPr>
        <w:tc>
          <w:tcPr>
            <w:tcW w:w="2510" w:type="dxa"/>
          </w:tcPr>
          <w:p w14:paraId="05126BEB" w14:textId="77777777" w:rsidR="0055182B" w:rsidRDefault="00D149FB" w:rsidP="0070733D">
            <w:pPr>
              <w:spacing w:line="480" w:lineRule="auto"/>
              <w:jc w:val="both"/>
            </w:pPr>
            <w:r>
              <w:t xml:space="preserve">H(km) </w:t>
            </w:r>
          </w:p>
          <w:p w14:paraId="4A0F0CB5" w14:textId="46E07872" w:rsidR="00D149FB" w:rsidRDefault="0055182B" w:rsidP="0070733D">
            <w:pPr>
              <w:spacing w:line="480" w:lineRule="auto"/>
              <w:jc w:val="both"/>
            </w:pPr>
            <w:r>
              <w:t>T</w:t>
            </w:r>
            <w:r w:rsidR="00B74C85">
              <w:t>hickness</w:t>
            </w:r>
          </w:p>
        </w:tc>
        <w:tc>
          <w:tcPr>
            <w:tcW w:w="1870" w:type="dxa"/>
          </w:tcPr>
          <w:p w14:paraId="139075BC" w14:textId="77777777" w:rsidR="0055182B" w:rsidRDefault="00D149FB" w:rsidP="0070733D">
            <w:pPr>
              <w:spacing w:line="480" w:lineRule="auto"/>
              <w:jc w:val="both"/>
            </w:pPr>
            <w:proofErr w:type="spellStart"/>
            <w:r>
              <w:t>Vp</w:t>
            </w:r>
            <w:proofErr w:type="spellEnd"/>
            <w:r>
              <w:t xml:space="preserve"> (km/s) </w:t>
            </w:r>
          </w:p>
          <w:p w14:paraId="3E675299" w14:textId="642B2EBE" w:rsidR="0055182B" w:rsidRDefault="0055182B" w:rsidP="0070733D">
            <w:pPr>
              <w:spacing w:line="480" w:lineRule="auto"/>
              <w:jc w:val="both"/>
            </w:pPr>
            <w:r>
              <w:t>P velocity</w:t>
            </w:r>
          </w:p>
        </w:tc>
        <w:tc>
          <w:tcPr>
            <w:tcW w:w="1870" w:type="dxa"/>
          </w:tcPr>
          <w:p w14:paraId="79A9195C" w14:textId="77777777" w:rsidR="00D149FB" w:rsidRDefault="00D149FB" w:rsidP="0070733D">
            <w:pPr>
              <w:spacing w:line="480" w:lineRule="auto"/>
              <w:jc w:val="both"/>
            </w:pPr>
            <w:r>
              <w:t>Vs (km/s)</w:t>
            </w:r>
          </w:p>
          <w:p w14:paraId="1CD87F11" w14:textId="66A5915D" w:rsidR="0055182B" w:rsidRDefault="0055182B" w:rsidP="0070733D">
            <w:pPr>
              <w:spacing w:line="480" w:lineRule="auto"/>
              <w:jc w:val="both"/>
            </w:pPr>
            <w:r>
              <w:t>S velocity</w:t>
            </w:r>
          </w:p>
        </w:tc>
      </w:tr>
      <w:tr w:rsidR="00D149FB" w14:paraId="347DA93F" w14:textId="77777777" w:rsidTr="0055182B">
        <w:trPr>
          <w:jc w:val="center"/>
        </w:trPr>
        <w:tc>
          <w:tcPr>
            <w:tcW w:w="2510" w:type="dxa"/>
          </w:tcPr>
          <w:p w14:paraId="7B375E8A" w14:textId="715BAB0E" w:rsidR="00D149FB" w:rsidRDefault="00D149FB" w:rsidP="0070733D">
            <w:pPr>
              <w:spacing w:line="480" w:lineRule="auto"/>
              <w:jc w:val="both"/>
            </w:pPr>
            <w:r>
              <w:t>1.0</w:t>
            </w:r>
          </w:p>
        </w:tc>
        <w:tc>
          <w:tcPr>
            <w:tcW w:w="1870" w:type="dxa"/>
          </w:tcPr>
          <w:p w14:paraId="1632BDC9" w14:textId="49839353" w:rsidR="00D149FB" w:rsidRDefault="00D149FB" w:rsidP="0070733D">
            <w:pPr>
              <w:spacing w:line="480" w:lineRule="auto"/>
              <w:jc w:val="both"/>
            </w:pPr>
            <w:r>
              <w:t>5.00</w:t>
            </w:r>
          </w:p>
        </w:tc>
        <w:tc>
          <w:tcPr>
            <w:tcW w:w="1870" w:type="dxa"/>
          </w:tcPr>
          <w:p w14:paraId="33A77FFE" w14:textId="2A62F663" w:rsidR="00D149FB" w:rsidRDefault="00D149FB" w:rsidP="0070733D">
            <w:pPr>
              <w:spacing w:line="480" w:lineRule="auto"/>
              <w:jc w:val="both"/>
            </w:pPr>
            <w:r>
              <w:t>2.89</w:t>
            </w:r>
          </w:p>
        </w:tc>
      </w:tr>
      <w:tr w:rsidR="00D149FB" w14:paraId="67543C7E" w14:textId="77777777" w:rsidTr="0055182B">
        <w:trPr>
          <w:jc w:val="center"/>
        </w:trPr>
        <w:tc>
          <w:tcPr>
            <w:tcW w:w="2510" w:type="dxa"/>
          </w:tcPr>
          <w:p w14:paraId="53D2B486" w14:textId="013D9847" w:rsidR="00D149FB" w:rsidRDefault="00D149FB" w:rsidP="0070733D">
            <w:pPr>
              <w:spacing w:line="480" w:lineRule="auto"/>
              <w:jc w:val="both"/>
            </w:pPr>
            <w:r>
              <w:t>9.0</w:t>
            </w:r>
          </w:p>
        </w:tc>
        <w:tc>
          <w:tcPr>
            <w:tcW w:w="1870" w:type="dxa"/>
          </w:tcPr>
          <w:p w14:paraId="556452F8" w14:textId="3093DE59" w:rsidR="00D149FB" w:rsidRDefault="00D149FB" w:rsidP="0070733D">
            <w:pPr>
              <w:spacing w:line="480" w:lineRule="auto"/>
              <w:jc w:val="both"/>
            </w:pPr>
            <w:r>
              <w:t>6.10</w:t>
            </w:r>
          </w:p>
        </w:tc>
        <w:tc>
          <w:tcPr>
            <w:tcW w:w="1870" w:type="dxa"/>
          </w:tcPr>
          <w:p w14:paraId="04CFC937" w14:textId="0ABCD41F" w:rsidR="00D149FB" w:rsidRDefault="00D149FB" w:rsidP="0070733D">
            <w:pPr>
              <w:spacing w:line="480" w:lineRule="auto"/>
              <w:jc w:val="both"/>
            </w:pPr>
            <w:r>
              <w:t>3.52</w:t>
            </w:r>
          </w:p>
        </w:tc>
      </w:tr>
      <w:tr w:rsidR="00D149FB" w14:paraId="1A49786D" w14:textId="77777777" w:rsidTr="0055182B">
        <w:trPr>
          <w:jc w:val="center"/>
        </w:trPr>
        <w:tc>
          <w:tcPr>
            <w:tcW w:w="2510" w:type="dxa"/>
          </w:tcPr>
          <w:p w14:paraId="25A19793" w14:textId="69201BFD" w:rsidR="00D149FB" w:rsidRDefault="00D149FB" w:rsidP="0070733D">
            <w:pPr>
              <w:spacing w:line="480" w:lineRule="auto"/>
              <w:jc w:val="both"/>
            </w:pPr>
            <w:r>
              <w:t>10.0</w:t>
            </w:r>
          </w:p>
        </w:tc>
        <w:tc>
          <w:tcPr>
            <w:tcW w:w="1870" w:type="dxa"/>
          </w:tcPr>
          <w:p w14:paraId="4340A829" w14:textId="62535E4F" w:rsidR="00D149FB" w:rsidRDefault="00D149FB" w:rsidP="0070733D">
            <w:pPr>
              <w:spacing w:line="480" w:lineRule="auto"/>
              <w:jc w:val="both"/>
            </w:pPr>
            <w:r>
              <w:t>6.40</w:t>
            </w:r>
          </w:p>
        </w:tc>
        <w:tc>
          <w:tcPr>
            <w:tcW w:w="1870" w:type="dxa"/>
          </w:tcPr>
          <w:p w14:paraId="22800ADB" w14:textId="51237DF0" w:rsidR="00D149FB" w:rsidRDefault="00D149FB" w:rsidP="0070733D">
            <w:pPr>
              <w:spacing w:line="480" w:lineRule="auto"/>
              <w:jc w:val="both"/>
            </w:pPr>
            <w:r>
              <w:t>3.70</w:t>
            </w:r>
          </w:p>
        </w:tc>
      </w:tr>
      <w:tr w:rsidR="00D149FB" w14:paraId="71EE2C9E" w14:textId="77777777" w:rsidTr="0055182B">
        <w:trPr>
          <w:jc w:val="center"/>
        </w:trPr>
        <w:tc>
          <w:tcPr>
            <w:tcW w:w="2510" w:type="dxa"/>
          </w:tcPr>
          <w:p w14:paraId="0F9DB77B" w14:textId="0E1B1733" w:rsidR="00D149FB" w:rsidRDefault="00D149FB" w:rsidP="0070733D">
            <w:pPr>
              <w:spacing w:line="480" w:lineRule="auto"/>
              <w:jc w:val="both"/>
            </w:pPr>
            <w:r>
              <w:t>20.0</w:t>
            </w:r>
          </w:p>
        </w:tc>
        <w:tc>
          <w:tcPr>
            <w:tcW w:w="1870" w:type="dxa"/>
          </w:tcPr>
          <w:p w14:paraId="3094A0E8" w14:textId="3E1A37DB" w:rsidR="00D149FB" w:rsidRDefault="00D149FB" w:rsidP="0070733D">
            <w:pPr>
              <w:spacing w:line="480" w:lineRule="auto"/>
              <w:jc w:val="both"/>
            </w:pPr>
            <w:r>
              <w:t>6.70</w:t>
            </w:r>
          </w:p>
        </w:tc>
        <w:tc>
          <w:tcPr>
            <w:tcW w:w="1870" w:type="dxa"/>
          </w:tcPr>
          <w:p w14:paraId="50EDB919" w14:textId="4EA9F2B2" w:rsidR="00D149FB" w:rsidRDefault="00D149FB" w:rsidP="0070733D">
            <w:pPr>
              <w:spacing w:line="480" w:lineRule="auto"/>
              <w:jc w:val="both"/>
            </w:pPr>
            <w:r>
              <w:t>3.87</w:t>
            </w:r>
          </w:p>
        </w:tc>
      </w:tr>
      <w:tr w:rsidR="00D149FB" w14:paraId="712F081A" w14:textId="77777777" w:rsidTr="0055182B">
        <w:trPr>
          <w:jc w:val="center"/>
        </w:trPr>
        <w:tc>
          <w:tcPr>
            <w:tcW w:w="2510" w:type="dxa"/>
          </w:tcPr>
          <w:p w14:paraId="5932A15C" w14:textId="796DC7D6" w:rsidR="00D149FB" w:rsidRDefault="00D149FB" w:rsidP="0070733D">
            <w:pPr>
              <w:spacing w:line="480" w:lineRule="auto"/>
              <w:jc w:val="both"/>
            </w:pPr>
            <w:r>
              <w:t>0.0</w:t>
            </w:r>
          </w:p>
        </w:tc>
        <w:tc>
          <w:tcPr>
            <w:tcW w:w="1870" w:type="dxa"/>
          </w:tcPr>
          <w:p w14:paraId="066518EC" w14:textId="31B09CDB" w:rsidR="00D149FB" w:rsidRDefault="00D149FB" w:rsidP="0070733D">
            <w:pPr>
              <w:spacing w:line="480" w:lineRule="auto"/>
              <w:jc w:val="both"/>
            </w:pPr>
            <w:r>
              <w:t>8.15</w:t>
            </w:r>
          </w:p>
        </w:tc>
        <w:tc>
          <w:tcPr>
            <w:tcW w:w="1870" w:type="dxa"/>
          </w:tcPr>
          <w:p w14:paraId="6F79C8AF" w14:textId="0FB56F1A" w:rsidR="00D149FB" w:rsidRDefault="00D149FB" w:rsidP="0070733D">
            <w:pPr>
              <w:spacing w:line="480" w:lineRule="auto"/>
              <w:jc w:val="both"/>
            </w:pPr>
            <w:r>
              <w:t>4.70</w:t>
            </w:r>
          </w:p>
        </w:tc>
      </w:tr>
    </w:tbl>
    <w:p w14:paraId="5E2BD562" w14:textId="7DCA0981" w:rsidR="00D149FB" w:rsidRDefault="00D149FB" w:rsidP="0070733D">
      <w:pPr>
        <w:spacing w:line="480" w:lineRule="auto"/>
        <w:jc w:val="both"/>
      </w:pPr>
    </w:p>
    <w:p w14:paraId="4ADB85C2" w14:textId="1909E27C" w:rsidR="00D149FB" w:rsidRDefault="00D149FB" w:rsidP="0070733D">
      <w:pPr>
        <w:spacing w:line="480" w:lineRule="auto"/>
        <w:jc w:val="both"/>
      </w:pPr>
      <w:r>
        <w:t xml:space="preserve">Note: last layer corresponds to </w:t>
      </w:r>
      <w:r w:rsidR="009A4B5C">
        <w:t xml:space="preserve">the </w:t>
      </w:r>
      <w:r>
        <w:t>bottom half space model</w:t>
      </w:r>
      <w:r w:rsidR="009A4B5C">
        <w:t xml:space="preserve"> (set as a thickness of 0)</w:t>
      </w:r>
    </w:p>
    <w:p w14:paraId="2EEB2E34" w14:textId="22BFE595" w:rsidR="0070733D" w:rsidRDefault="0070733D" w:rsidP="0070733D">
      <w:pPr>
        <w:spacing w:line="480" w:lineRule="auto"/>
        <w:jc w:val="center"/>
      </w:pPr>
    </w:p>
    <w:p w14:paraId="25058E97" w14:textId="77777777" w:rsidR="0070733D" w:rsidRDefault="0070733D" w:rsidP="0070733D">
      <w:pPr>
        <w:jc w:val="both"/>
      </w:pPr>
    </w:p>
    <w:sectPr w:rsidR="00707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3D"/>
    <w:rsid w:val="0055182B"/>
    <w:rsid w:val="005A7B47"/>
    <w:rsid w:val="0070733D"/>
    <w:rsid w:val="009A4B5C"/>
    <w:rsid w:val="00B74C85"/>
    <w:rsid w:val="00D149FB"/>
    <w:rsid w:val="00DB1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89E0E4"/>
  <w15:chartTrackingRefBased/>
  <w15:docId w15:val="{6C8F2153-F7E5-5744-A5D9-3B60DCAB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33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80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Dongdong</dc:creator>
  <cp:keywords/>
  <dc:description/>
  <cp:lastModifiedBy>Yao, Dongdong</cp:lastModifiedBy>
  <cp:revision>10</cp:revision>
  <dcterms:created xsi:type="dcterms:W3CDTF">2021-02-16T21:08:00Z</dcterms:created>
  <dcterms:modified xsi:type="dcterms:W3CDTF">2021-03-10T17:20:00Z</dcterms:modified>
</cp:coreProperties>
</file>