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EA20E4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EA20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EA20E4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EA20E4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EA20E4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EA20E4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EA20E4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EA20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EA20E4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EA20E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EA20E4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EA20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EA20E4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6015F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6015FD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6015F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6015FD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6015F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6015F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5333F4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6015F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131C5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171ED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6015F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6015FD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6015FD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5333F4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5333F4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0F3E0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0F3E06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0F3E06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0F3E06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Cod/document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0F3E06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1114A0FD" w14:textId="5EEDC640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2DB7E42" w14:textId="77777777" w:rsidR="00FF0591" w:rsidRDefault="00FF0591" w:rsidP="00044C95">
            <w:pPr>
              <w:rPr>
                <w:rFonts w:eastAsia="Calibri" w:hint="cs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0F3E06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6FCAD4A" w14:textId="370F2B65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41A5" w14:textId="77777777" w:rsidR="00EA20E4" w:rsidRDefault="00EA20E4" w:rsidP="00904E57">
      <w:pPr>
        <w:spacing w:after="0" w:line="240" w:lineRule="auto"/>
      </w:pPr>
      <w:r>
        <w:separator/>
      </w:r>
    </w:p>
  </w:endnote>
  <w:endnote w:type="continuationSeparator" w:id="0">
    <w:p w14:paraId="3B77CDA3" w14:textId="77777777" w:rsidR="00EA20E4" w:rsidRDefault="00EA20E4" w:rsidP="00904E57">
      <w:pPr>
        <w:spacing w:after="0" w:line="240" w:lineRule="auto"/>
      </w:pPr>
      <w:r>
        <w:continuationSeparator/>
      </w:r>
    </w:p>
  </w:endnote>
  <w:endnote w:type="continuationNotice" w:id="1">
    <w:p w14:paraId="1836179F" w14:textId="77777777" w:rsidR="00EA20E4" w:rsidRDefault="00EA20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50185D6C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4E19D4" w:rsidRPr="004E19D4">
          <w:rPr>
            <w:rFonts w:cs="TH Sarabun New"/>
            <w:noProof/>
            <w:szCs w:val="32"/>
            <w:lang w:val="th-TH"/>
          </w:rPr>
          <w:t>43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620B2845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4E19D4" w:rsidRPr="004E19D4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5F1C" w14:textId="77777777" w:rsidR="00EA20E4" w:rsidRDefault="00EA20E4" w:rsidP="00904E57">
      <w:pPr>
        <w:spacing w:after="0" w:line="240" w:lineRule="auto"/>
      </w:pPr>
      <w:r>
        <w:separator/>
      </w:r>
    </w:p>
  </w:footnote>
  <w:footnote w:type="continuationSeparator" w:id="0">
    <w:p w14:paraId="1A841CB2" w14:textId="77777777" w:rsidR="00EA20E4" w:rsidRDefault="00EA20E4" w:rsidP="00904E57">
      <w:pPr>
        <w:spacing w:after="0" w:line="240" w:lineRule="auto"/>
      </w:pPr>
      <w:r>
        <w:continuationSeparator/>
      </w:r>
    </w:p>
  </w:footnote>
  <w:footnote w:type="continuationNotice" w:id="1">
    <w:p w14:paraId="106D6296" w14:textId="77777777" w:rsidR="00EA20E4" w:rsidRDefault="00EA20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9D4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9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6B9C7-6AE2-4CA4-B5F9-32FC3BCC0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77</Pages>
  <Words>12362</Words>
  <Characters>70464</Characters>
  <Application>Microsoft Office Word</Application>
  <DocSecurity>0</DocSecurity>
  <Lines>587</Lines>
  <Paragraphs>165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  <vt:variant>
        <vt:lpstr>ชื่อเรื่อง</vt:lpstr>
      </vt:variant>
      <vt:variant>
        <vt:i4>1</vt:i4>
      </vt:variant>
    </vt:vector>
  </HeadingPairs>
  <TitlesOfParts>
    <vt:vector size="29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>7. Test Deliverables</vt:lpstr>
      <vt:lpstr>    7.1 Test Deliverables</vt:lpstr>
      <vt:lpstr/>
    </vt:vector>
  </TitlesOfParts>
  <Company/>
  <LinksUpToDate>false</LinksUpToDate>
  <CharactersWithSpaces>82661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Benjapon Kasikitwasuntara</cp:lastModifiedBy>
  <cp:revision>3</cp:revision>
  <cp:lastPrinted>2022-01-14T13:23:00Z</cp:lastPrinted>
  <dcterms:created xsi:type="dcterms:W3CDTF">2022-01-12T13:19:00Z</dcterms:created>
  <dcterms:modified xsi:type="dcterms:W3CDTF">2022-01-14T13:37:00Z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