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EC8" w:rsidRDefault="00051EC8" w:rsidP="00051EC8">
      <w:pPr>
        <w:rPr>
          <w:rFonts w:asciiTheme="majorBidi" w:hAnsiTheme="majorBidi" w:cstheme="majorBidi"/>
          <w:b/>
          <w:bCs/>
          <w:color w:val="000000"/>
        </w:rPr>
      </w:pPr>
      <w:r>
        <w:rPr>
          <w:rFonts w:asciiTheme="majorBidi" w:hAnsiTheme="majorBidi" w:cstheme="majorBidi"/>
          <w:b/>
          <w:bCs/>
          <w:color w:val="000000"/>
        </w:rPr>
        <w:t>Group Activity Materials</w:t>
      </w:r>
      <w:r w:rsidRPr="001F2369">
        <w:rPr>
          <w:rFonts w:asciiTheme="majorBidi" w:hAnsiTheme="majorBidi" w:cstheme="majorBidi"/>
          <w:b/>
          <w:bCs/>
          <w:color w:val="000000"/>
        </w:rPr>
        <w:t xml:space="preserve">: </w:t>
      </w:r>
    </w:p>
    <w:p w:rsidR="00051EC8" w:rsidRDefault="00051EC8" w:rsidP="00051EC8">
      <w:pPr>
        <w:rPr>
          <w:rFonts w:asciiTheme="majorBidi" w:hAnsiTheme="majorBidi" w:cstheme="majorBidi"/>
          <w:b/>
          <w:bCs/>
          <w:color w:val="000000"/>
        </w:rPr>
      </w:pPr>
      <w:r>
        <w:rPr>
          <w:rFonts w:asciiTheme="majorBidi" w:hAnsiTheme="majorBidi" w:cstheme="majorBidi"/>
          <w:b/>
          <w:bCs/>
          <w:color w:val="000000"/>
        </w:rPr>
        <w:t>Activity 1: Which one is the correct paraphrase? Why?</w:t>
      </w:r>
    </w:p>
    <w:tbl>
      <w:tblPr>
        <w:tblStyle w:val="TableGrid"/>
        <w:tblW w:w="0" w:type="auto"/>
        <w:tblLook w:val="04A0" w:firstRow="1" w:lastRow="0" w:firstColumn="1" w:lastColumn="0" w:noHBand="0" w:noVBand="1"/>
      </w:tblPr>
      <w:tblGrid>
        <w:gridCol w:w="9350"/>
      </w:tblGrid>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bookmarkStart w:id="0" w:name="_Hlk510566517"/>
            <w:r>
              <w:rPr>
                <w:rFonts w:asciiTheme="majorBidi" w:hAnsiTheme="majorBidi" w:cstheme="majorBidi"/>
                <w:b/>
                <w:bCs/>
                <w:color w:val="000000"/>
              </w:rPr>
              <w:t>Group 1</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Original Source</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t>“A 68-year-old man scared off two men trying to break into his home. He had a gun on his walker. He taped a note to his door to warn them. It said he would be waiting for them if they came back.”</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1</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t>A 68-year-old man scared off two men trying to break into his home. He had a gun on his walker. He taped a note to his door to warn them. It said he would be waiting for them if they came back.</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2</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t>Two men attempted to break into a 68-year-old man’s home; however, they were scared off by the gun the man kept on his walker. Afterwards, the man taped a note to the door warning that he’d be waiting for the burglars if they came back.</w:t>
            </w:r>
          </w:p>
        </w:tc>
      </w:tr>
    </w:tbl>
    <w:p w:rsidR="00051EC8" w:rsidRDefault="00051EC8" w:rsidP="00051EC8">
      <w:pPr>
        <w:spacing w:line="360" w:lineRule="auto"/>
      </w:pPr>
    </w:p>
    <w:tbl>
      <w:tblPr>
        <w:tblStyle w:val="TableGrid"/>
        <w:tblW w:w="0" w:type="auto"/>
        <w:tblLook w:val="04A0" w:firstRow="1" w:lastRow="0" w:firstColumn="1" w:lastColumn="0" w:noHBand="0" w:noVBand="1"/>
      </w:tblPr>
      <w:tblGrid>
        <w:gridCol w:w="9350"/>
      </w:tblGrid>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bookmarkStart w:id="1" w:name="_Hlk510566531"/>
            <w:bookmarkEnd w:id="0"/>
            <w:r>
              <w:rPr>
                <w:rFonts w:asciiTheme="majorBidi" w:hAnsiTheme="majorBidi" w:cstheme="majorBidi"/>
                <w:b/>
                <w:bCs/>
                <w:color w:val="000000"/>
              </w:rPr>
              <w:t>Group 2</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Original Source</w:t>
            </w:r>
          </w:p>
        </w:tc>
      </w:tr>
      <w:tr w:rsidR="00051EC8" w:rsidTr="00CB64E0">
        <w:tc>
          <w:tcPr>
            <w:tcW w:w="0" w:type="auto"/>
            <w:vAlign w:val="center"/>
          </w:tcPr>
          <w:p w:rsidR="00051EC8" w:rsidRPr="00F15B17" w:rsidRDefault="00051EC8" w:rsidP="00CB64E0">
            <w:pPr>
              <w:spacing w:line="360" w:lineRule="auto"/>
            </w:pPr>
            <w:r>
              <w:t>“VINELAND, N.J. (AP) — Police in New Jersey say a man told officers he fled the scene of an auto accident because he ‘didn’t want to deal with his girlfriend yelling at him.’”</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1</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t>A man in New Jersey seemed to think leaving the scene of a car crash and being arrested was a better option than listening to his girlfriend yell. He told the police he fled because he didn’t want to listen to her yell at him.</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2</w:t>
            </w:r>
          </w:p>
        </w:tc>
      </w:tr>
      <w:tr w:rsidR="00051EC8" w:rsidTr="00CB64E0">
        <w:tc>
          <w:tcPr>
            <w:tcW w:w="0" w:type="auto"/>
            <w:vAlign w:val="center"/>
          </w:tcPr>
          <w:p w:rsidR="00051EC8" w:rsidRPr="00F15B17" w:rsidRDefault="00051EC8" w:rsidP="00CB64E0">
            <w:pPr>
              <w:spacing w:line="360" w:lineRule="auto"/>
            </w:pPr>
            <w:r>
              <w:t>New Jersey police state a man said he left the scene of a car accident because he didn’t want to deal with his girlfriend yelling at him.</w:t>
            </w:r>
          </w:p>
        </w:tc>
      </w:tr>
      <w:bookmarkEnd w:id="1"/>
    </w:tbl>
    <w:p w:rsidR="00051EC8" w:rsidRDefault="00051EC8" w:rsidP="00051EC8">
      <w:pPr>
        <w:spacing w:line="360" w:lineRule="auto"/>
      </w:pPr>
    </w:p>
    <w:p w:rsidR="00051EC8" w:rsidRDefault="00051EC8" w:rsidP="00051EC8">
      <w:pPr>
        <w:spacing w:line="360" w:lineRule="auto"/>
      </w:pPr>
    </w:p>
    <w:p w:rsidR="00051EC8" w:rsidRDefault="00051EC8" w:rsidP="00051EC8">
      <w:pPr>
        <w:spacing w:line="360" w:lineRule="auto"/>
      </w:pPr>
    </w:p>
    <w:tbl>
      <w:tblPr>
        <w:tblStyle w:val="TableGrid"/>
        <w:tblW w:w="0" w:type="auto"/>
        <w:tblLook w:val="04A0" w:firstRow="1" w:lastRow="0" w:firstColumn="1" w:lastColumn="0" w:noHBand="0" w:noVBand="1"/>
      </w:tblPr>
      <w:tblGrid>
        <w:gridCol w:w="9350"/>
      </w:tblGrid>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bookmarkStart w:id="2" w:name="_Hlk510566543"/>
            <w:r>
              <w:rPr>
                <w:rFonts w:asciiTheme="majorBidi" w:hAnsiTheme="majorBidi" w:cstheme="majorBidi"/>
                <w:b/>
                <w:bCs/>
                <w:color w:val="000000"/>
              </w:rPr>
              <w:lastRenderedPageBreak/>
              <w:t>Group 3</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Original Source</w:t>
            </w:r>
          </w:p>
        </w:tc>
      </w:tr>
      <w:tr w:rsidR="00051EC8" w:rsidTr="00CB64E0">
        <w:tc>
          <w:tcPr>
            <w:tcW w:w="0" w:type="auto"/>
            <w:vAlign w:val="center"/>
          </w:tcPr>
          <w:p w:rsidR="00051EC8" w:rsidRPr="00F15B17" w:rsidRDefault="00051EC8" w:rsidP="00CB64E0">
            <w:pPr>
              <w:spacing w:line="360" w:lineRule="auto"/>
            </w:pPr>
            <w:r>
              <w:t>“College admissions officers all advise against writing a college admission essay about something that an applicant learned while stoned or drunk. “But we still get a few of those essays,” a college admissions officer tells me. “We even got the classic one about how the student, while stoned, realized that the solar system is an atom and the earth is an electron. You’ll remember, that conversation occurred in the movie Animal House.”</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1</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t>A college admissions officer told the story of a student who didn’t get into college because he wrote an admission essay about the movie Animal House.</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2</w:t>
            </w:r>
          </w:p>
        </w:tc>
      </w:tr>
      <w:tr w:rsidR="00051EC8" w:rsidTr="00CB64E0">
        <w:tc>
          <w:tcPr>
            <w:tcW w:w="0" w:type="auto"/>
            <w:vAlign w:val="center"/>
          </w:tcPr>
          <w:p w:rsidR="00051EC8" w:rsidRPr="00F15B17" w:rsidRDefault="00051EC8" w:rsidP="00CB64E0">
            <w:pPr>
              <w:spacing w:line="360" w:lineRule="auto"/>
            </w:pPr>
            <w:r>
              <w:t>College admissions officers generally tell students not to write their admissions essays about a lesson they learned when being stoned or drunk; however, some students still ignore the advice. For instance, one student wrote about the conversation in Animal House, as if it were his own stoned experience, about the solar system as an atom and the earth as an election.</w:t>
            </w:r>
          </w:p>
        </w:tc>
      </w:tr>
      <w:bookmarkEnd w:id="2"/>
    </w:tbl>
    <w:p w:rsidR="00051EC8" w:rsidRDefault="00051EC8" w:rsidP="00051EC8">
      <w:pPr>
        <w:spacing w:line="360" w:lineRule="auto"/>
      </w:pPr>
    </w:p>
    <w:tbl>
      <w:tblPr>
        <w:tblStyle w:val="TableGrid"/>
        <w:tblW w:w="0" w:type="auto"/>
        <w:tblLook w:val="04A0" w:firstRow="1" w:lastRow="0" w:firstColumn="1" w:lastColumn="0" w:noHBand="0" w:noVBand="1"/>
      </w:tblPr>
      <w:tblGrid>
        <w:gridCol w:w="9350"/>
      </w:tblGrid>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bookmarkStart w:id="3" w:name="_Hlk510566554"/>
            <w:r>
              <w:rPr>
                <w:rFonts w:asciiTheme="majorBidi" w:hAnsiTheme="majorBidi" w:cstheme="majorBidi"/>
                <w:b/>
                <w:bCs/>
                <w:color w:val="000000"/>
              </w:rPr>
              <w:t>Group 4</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Original Source</w:t>
            </w:r>
          </w:p>
        </w:tc>
      </w:tr>
      <w:tr w:rsidR="00051EC8" w:rsidTr="00CB64E0">
        <w:tc>
          <w:tcPr>
            <w:tcW w:w="0" w:type="auto"/>
            <w:vAlign w:val="center"/>
          </w:tcPr>
          <w:p w:rsidR="00051EC8" w:rsidRPr="00F15B17" w:rsidRDefault="00051EC8" w:rsidP="00CB64E0">
            <w:pPr>
              <w:spacing w:line="360" w:lineRule="auto"/>
            </w:pPr>
            <w:r>
              <w:t>Original source: “For some reason, cheese-topped donuts are quite popular in Indonesia, and in September 2013 KFC decided to get in on the action, offering a glazed donut topped with shredded Swiss and cheddar cheese.”</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1</w:t>
            </w:r>
          </w:p>
        </w:tc>
      </w:tr>
      <w:tr w:rsidR="00051EC8" w:rsidTr="00CB64E0">
        <w:tc>
          <w:tcPr>
            <w:tcW w:w="0" w:type="auto"/>
            <w:vAlign w:val="center"/>
          </w:tcPr>
          <w:p w:rsidR="00051EC8" w:rsidRPr="00F15B17" w:rsidRDefault="00051EC8" w:rsidP="00CB64E0">
            <w:pPr>
              <w:spacing w:line="360" w:lineRule="auto"/>
            </w:pPr>
            <w:r>
              <w:t>In 2013, a KFC in Indonesia began selling shredded Swiss and cheddar cheese topped glazed donuts, a treat that is popular in this Asian country.</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rPr>
                <w:rFonts w:asciiTheme="majorBidi" w:hAnsiTheme="majorBidi" w:cstheme="majorBidi"/>
                <w:b/>
                <w:bCs/>
                <w:color w:val="000000"/>
              </w:rPr>
              <w:t>Paraphrase 2</w:t>
            </w:r>
          </w:p>
        </w:tc>
      </w:tr>
      <w:tr w:rsidR="00051EC8" w:rsidTr="00CB64E0">
        <w:tc>
          <w:tcPr>
            <w:tcW w:w="0" w:type="auto"/>
            <w:vAlign w:val="center"/>
          </w:tcPr>
          <w:p w:rsidR="00051EC8" w:rsidRDefault="00051EC8" w:rsidP="00CB64E0">
            <w:pPr>
              <w:spacing w:line="360" w:lineRule="auto"/>
              <w:rPr>
                <w:rFonts w:asciiTheme="majorBidi" w:hAnsiTheme="majorBidi" w:cstheme="majorBidi"/>
                <w:b/>
                <w:bCs/>
                <w:color w:val="000000"/>
              </w:rPr>
            </w:pPr>
            <w:r>
              <w:t>Cheese-topped donuts are popular in Indonesia. In September 2013, KFC decided to offer a glazed donut topped with shredded Swiss and cheddar cheese.</w:t>
            </w:r>
          </w:p>
        </w:tc>
      </w:tr>
      <w:bookmarkEnd w:id="3"/>
    </w:tbl>
    <w:p w:rsidR="00051EC8" w:rsidRDefault="00051EC8" w:rsidP="00051EC8"/>
    <w:p w:rsidR="000301C3" w:rsidRDefault="000301C3">
      <w:bookmarkStart w:id="4" w:name="_GoBack"/>
      <w:bookmarkEnd w:id="4"/>
    </w:p>
    <w:sectPr w:rsidR="00030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C8"/>
    <w:rsid w:val="000301C3"/>
    <w:rsid w:val="0005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B0807-75EC-4EB8-A6A6-E6595D0E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EC8"/>
    <w:pPr>
      <w:spacing w:after="0" w:line="480" w:lineRule="auto"/>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Wirda Ningsih</dc:creator>
  <cp:keywords/>
  <dc:description/>
  <cp:lastModifiedBy>Wirda Ningsih</cp:lastModifiedBy>
  <cp:revision>1</cp:revision>
  <dcterms:created xsi:type="dcterms:W3CDTF">2018-04-04T13:29:00Z</dcterms:created>
  <dcterms:modified xsi:type="dcterms:W3CDTF">2018-04-04T13:30:00Z</dcterms:modified>
</cp:coreProperties>
</file>