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39DA2" w14:textId="77777777" w:rsidR="007F22A3" w:rsidRDefault="0026464F" w:rsidP="007F22A3">
      <w:pPr>
        <w:jc w:val="center"/>
        <w:rPr>
          <w:b/>
          <w:sz w:val="28"/>
          <w:szCs w:val="28"/>
        </w:rPr>
      </w:pPr>
      <w:r>
        <w:rPr>
          <w:b/>
          <w:sz w:val="28"/>
          <w:szCs w:val="28"/>
        </w:rPr>
        <w:fldChar w:fldCharType="begin"/>
      </w:r>
      <w:r>
        <w:rPr>
          <w:b/>
          <w:sz w:val="28"/>
          <w:szCs w:val="28"/>
        </w:rPr>
        <w:instrText xml:space="preserve"> MACROBUTTON MTEditEquationSection2 </w:instrText>
      </w:r>
      <w:r w:rsidRPr="0026464F">
        <w:rPr>
          <w:rStyle w:val="MTEquationSection"/>
        </w:rPr>
        <w:instrText>Equation Chapter 1 Section 1</w:instrText>
      </w:r>
      <w:r>
        <w:rPr>
          <w:b/>
          <w:sz w:val="28"/>
          <w:szCs w:val="28"/>
        </w:rPr>
        <w:fldChar w:fldCharType="begin"/>
      </w:r>
      <w:r>
        <w:rPr>
          <w:b/>
          <w:sz w:val="28"/>
          <w:szCs w:val="28"/>
        </w:rPr>
        <w:instrText xml:space="preserve"> SEQ MTEqn \r \h \* MERGEFORMAT </w:instrText>
      </w:r>
      <w:r>
        <w:rPr>
          <w:b/>
          <w:sz w:val="28"/>
          <w:szCs w:val="28"/>
        </w:rPr>
        <w:fldChar w:fldCharType="end"/>
      </w:r>
      <w:r>
        <w:rPr>
          <w:b/>
          <w:sz w:val="28"/>
          <w:szCs w:val="28"/>
        </w:rPr>
        <w:fldChar w:fldCharType="begin"/>
      </w:r>
      <w:r>
        <w:rPr>
          <w:b/>
          <w:sz w:val="28"/>
          <w:szCs w:val="28"/>
        </w:rPr>
        <w:instrText xml:space="preserve"> SEQ MTSec \r 1 \h \* MERGEFORMAT </w:instrText>
      </w:r>
      <w:r>
        <w:rPr>
          <w:b/>
          <w:sz w:val="28"/>
          <w:szCs w:val="28"/>
        </w:rPr>
        <w:fldChar w:fldCharType="end"/>
      </w:r>
      <w:r>
        <w:rPr>
          <w:b/>
          <w:sz w:val="28"/>
          <w:szCs w:val="28"/>
        </w:rPr>
        <w:fldChar w:fldCharType="begin"/>
      </w:r>
      <w:r>
        <w:rPr>
          <w:b/>
          <w:sz w:val="28"/>
          <w:szCs w:val="28"/>
        </w:rPr>
        <w:instrText xml:space="preserve"> SEQ MTChap \r 1 \h \* MERGEFORMAT </w:instrText>
      </w:r>
      <w:r>
        <w:rPr>
          <w:b/>
          <w:sz w:val="28"/>
          <w:szCs w:val="28"/>
        </w:rPr>
        <w:fldChar w:fldCharType="end"/>
      </w:r>
      <w:r>
        <w:rPr>
          <w:b/>
          <w:sz w:val="28"/>
          <w:szCs w:val="28"/>
        </w:rPr>
        <w:fldChar w:fldCharType="end"/>
      </w:r>
      <w:r w:rsidR="007F22A3" w:rsidRPr="007F22A3">
        <w:rPr>
          <w:sz w:val="36"/>
          <w:szCs w:val="36"/>
        </w:rPr>
        <w:t>The Model ‘F’ Signal Laboratory User’s Guide</w:t>
      </w:r>
    </w:p>
    <w:p w14:paraId="45F316E3" w14:textId="77777777" w:rsidR="007F22A3" w:rsidRDefault="007F22A3">
      <w:pPr>
        <w:rPr>
          <w:b/>
          <w:sz w:val="28"/>
          <w:szCs w:val="28"/>
        </w:rPr>
      </w:pPr>
    </w:p>
    <w:p w14:paraId="19C1D470" w14:textId="77777777" w:rsidR="00706EB1" w:rsidRPr="00DC512E" w:rsidRDefault="007F22A3" w:rsidP="007F22A3">
      <w:pPr>
        <w:ind w:left="8640"/>
        <w:rPr>
          <w:b/>
          <w:sz w:val="28"/>
          <w:szCs w:val="28"/>
        </w:rPr>
      </w:pPr>
      <w:r>
        <w:rPr>
          <w:b/>
          <w:sz w:val="28"/>
          <w:szCs w:val="28"/>
        </w:rPr>
        <w:t xml:space="preserve">     </w:t>
      </w:r>
      <w:r w:rsidR="00FA4A71" w:rsidRPr="00C81E81">
        <w:rPr>
          <w:sz w:val="72"/>
          <w:szCs w:val="72"/>
        </w:rPr>
        <w:t>1</w:t>
      </w:r>
    </w:p>
    <w:p w14:paraId="3BFF9B96" w14:textId="77777777" w:rsidR="00287D92" w:rsidRDefault="00287D92"/>
    <w:p w14:paraId="5800AD98" w14:textId="77777777" w:rsidR="00C65649" w:rsidRPr="00BB402B" w:rsidRDefault="00086304" w:rsidP="00086304">
      <w:pPr>
        <w:jc w:val="right"/>
        <w:rPr>
          <w:sz w:val="32"/>
          <w:szCs w:val="32"/>
        </w:rPr>
      </w:pPr>
      <w:r w:rsidRPr="00BB402B">
        <w:rPr>
          <w:sz w:val="32"/>
          <w:szCs w:val="32"/>
        </w:rPr>
        <w:t>Introduction</w:t>
      </w:r>
    </w:p>
    <w:p w14:paraId="2D1093D6" w14:textId="77777777" w:rsidR="00BB46D4" w:rsidRDefault="00BB46D4"/>
    <w:p w14:paraId="700436A1" w14:textId="77777777" w:rsidR="00086304" w:rsidRPr="00086304" w:rsidRDefault="00086304" w:rsidP="00141FFC">
      <w:pPr>
        <w:jc w:val="both"/>
        <w:rPr>
          <w:sz w:val="22"/>
          <w:szCs w:val="22"/>
        </w:rPr>
      </w:pPr>
      <w:r w:rsidRPr="00086304">
        <w:rPr>
          <w:sz w:val="22"/>
          <w:szCs w:val="22"/>
        </w:rPr>
        <w:t xml:space="preserve">This </w:t>
      </w:r>
      <w:r w:rsidR="00B4276E">
        <w:rPr>
          <w:i/>
          <w:sz w:val="22"/>
          <w:szCs w:val="22"/>
        </w:rPr>
        <w:t>User’s</w:t>
      </w:r>
      <w:r w:rsidRPr="00086304">
        <w:rPr>
          <w:i/>
          <w:sz w:val="22"/>
          <w:szCs w:val="22"/>
        </w:rPr>
        <w:t xml:space="preserve"> </w:t>
      </w:r>
      <w:r w:rsidR="00B4276E">
        <w:rPr>
          <w:i/>
          <w:sz w:val="22"/>
          <w:szCs w:val="22"/>
        </w:rPr>
        <w:t>Guide</w:t>
      </w:r>
      <w:r w:rsidRPr="00086304">
        <w:rPr>
          <w:sz w:val="22"/>
          <w:szCs w:val="22"/>
        </w:rPr>
        <w:t xml:space="preserve"> provides an overview of the </w:t>
      </w:r>
      <w:r w:rsidR="0014212A">
        <w:rPr>
          <w:sz w:val="22"/>
          <w:szCs w:val="22"/>
        </w:rPr>
        <w:t>Model ‘F’ signaling and wireless energy transfer</w:t>
      </w:r>
      <w:r w:rsidRPr="00086304">
        <w:rPr>
          <w:sz w:val="22"/>
          <w:szCs w:val="22"/>
        </w:rPr>
        <w:t xml:space="preserve"> development environment to get you started </w:t>
      </w:r>
      <w:r w:rsidR="0014212A">
        <w:rPr>
          <w:sz w:val="22"/>
          <w:szCs w:val="22"/>
        </w:rPr>
        <w:t>working with</w:t>
      </w:r>
      <w:r w:rsidRPr="00086304">
        <w:rPr>
          <w:sz w:val="22"/>
          <w:szCs w:val="22"/>
        </w:rPr>
        <w:t xml:space="preserve"> the product right away. It also tells you where to look for details about the tools and features available in </w:t>
      </w:r>
      <w:r w:rsidR="0014212A">
        <w:rPr>
          <w:sz w:val="22"/>
          <w:szCs w:val="22"/>
        </w:rPr>
        <w:t>the device and the array of configurations available</w:t>
      </w:r>
      <w:r w:rsidRPr="00086304">
        <w:rPr>
          <w:sz w:val="22"/>
          <w:szCs w:val="22"/>
        </w:rPr>
        <w:t>.</w:t>
      </w:r>
    </w:p>
    <w:p w14:paraId="6CB0C009" w14:textId="77777777" w:rsidR="00086304" w:rsidRPr="00086304" w:rsidRDefault="00086304" w:rsidP="00141FFC">
      <w:pPr>
        <w:jc w:val="both"/>
        <w:rPr>
          <w:sz w:val="22"/>
          <w:szCs w:val="22"/>
        </w:rPr>
      </w:pPr>
    </w:p>
    <w:p w14:paraId="53C41BB8" w14:textId="77777777" w:rsidR="00086304" w:rsidRPr="00086304" w:rsidRDefault="00086304" w:rsidP="00141FFC">
      <w:pPr>
        <w:jc w:val="both"/>
        <w:rPr>
          <w:sz w:val="22"/>
          <w:szCs w:val="22"/>
        </w:rPr>
      </w:pPr>
      <w:r w:rsidRPr="00086304">
        <w:rPr>
          <w:sz w:val="22"/>
          <w:szCs w:val="22"/>
        </w:rPr>
        <w:t xml:space="preserve">Chapter 2, “A tour of the </w:t>
      </w:r>
      <w:r w:rsidR="00B4276E">
        <w:rPr>
          <w:sz w:val="22"/>
          <w:szCs w:val="22"/>
        </w:rPr>
        <w:t>apparatus</w:t>
      </w:r>
      <w:r w:rsidRPr="00086304">
        <w:rPr>
          <w:sz w:val="22"/>
          <w:szCs w:val="22"/>
        </w:rPr>
        <w:t xml:space="preserve">” describes the main tools on the WebPort desktop, or </w:t>
      </w:r>
      <w:r w:rsidR="00784988">
        <w:rPr>
          <w:sz w:val="22"/>
          <w:szCs w:val="22"/>
        </w:rPr>
        <w:t>signaling desktop environment (S</w:t>
      </w:r>
      <w:r w:rsidRPr="00086304">
        <w:rPr>
          <w:sz w:val="22"/>
          <w:szCs w:val="22"/>
        </w:rPr>
        <w:t>DE). Chapter 3, “</w:t>
      </w:r>
      <w:r w:rsidR="001010FB">
        <w:rPr>
          <w:sz w:val="22"/>
          <w:szCs w:val="22"/>
        </w:rPr>
        <w:t>Transmitting</w:t>
      </w:r>
      <w:r w:rsidRPr="00086304">
        <w:rPr>
          <w:sz w:val="22"/>
          <w:szCs w:val="22"/>
        </w:rPr>
        <w:t xml:space="preserve"> with </w:t>
      </w:r>
      <w:r w:rsidR="001010FB">
        <w:rPr>
          <w:sz w:val="22"/>
          <w:szCs w:val="22"/>
        </w:rPr>
        <w:t>‘F’</w:t>
      </w:r>
      <w:r w:rsidRPr="00086304">
        <w:rPr>
          <w:sz w:val="22"/>
          <w:szCs w:val="22"/>
        </w:rPr>
        <w:t xml:space="preserve">” explains </w:t>
      </w:r>
      <w:r w:rsidR="001010FB">
        <w:rPr>
          <w:sz w:val="22"/>
          <w:szCs w:val="22"/>
        </w:rPr>
        <w:t xml:space="preserve">the tools used </w:t>
      </w:r>
      <w:r w:rsidRPr="00086304">
        <w:rPr>
          <w:sz w:val="22"/>
          <w:szCs w:val="22"/>
        </w:rPr>
        <w:t xml:space="preserve">to create a managed </w:t>
      </w:r>
      <w:r w:rsidR="001010FB">
        <w:rPr>
          <w:sz w:val="22"/>
          <w:szCs w:val="22"/>
        </w:rPr>
        <w:t>transmission and some of the physics behind it</w:t>
      </w:r>
      <w:r w:rsidRPr="00086304">
        <w:rPr>
          <w:sz w:val="22"/>
          <w:szCs w:val="22"/>
        </w:rPr>
        <w:t xml:space="preserve">. Chapter 4, “Creating a managed </w:t>
      </w:r>
      <w:r w:rsidR="001010FB">
        <w:rPr>
          <w:sz w:val="22"/>
          <w:szCs w:val="22"/>
        </w:rPr>
        <w:t>transmission</w:t>
      </w:r>
      <w:r w:rsidRPr="00086304">
        <w:rPr>
          <w:sz w:val="22"/>
          <w:szCs w:val="22"/>
        </w:rPr>
        <w:t xml:space="preserve">—a tutorial” takes you step by step through a </w:t>
      </w:r>
      <w:r w:rsidR="001010FB">
        <w:rPr>
          <w:sz w:val="22"/>
          <w:szCs w:val="22"/>
        </w:rPr>
        <w:t>process</w:t>
      </w:r>
      <w:r w:rsidRPr="00086304">
        <w:rPr>
          <w:sz w:val="22"/>
          <w:szCs w:val="22"/>
        </w:rPr>
        <w:t xml:space="preserve"> to create all the </w:t>
      </w:r>
      <w:r w:rsidR="001010FB">
        <w:rPr>
          <w:sz w:val="22"/>
          <w:szCs w:val="22"/>
        </w:rPr>
        <w:t>components</w:t>
      </w:r>
      <w:r w:rsidRPr="00086304">
        <w:rPr>
          <w:sz w:val="22"/>
          <w:szCs w:val="22"/>
        </w:rPr>
        <w:t xml:space="preserve"> for your </w:t>
      </w:r>
      <w:r w:rsidR="001010FB">
        <w:rPr>
          <w:sz w:val="22"/>
          <w:szCs w:val="22"/>
        </w:rPr>
        <w:t>environment</w:t>
      </w:r>
      <w:r w:rsidRPr="00086304">
        <w:rPr>
          <w:sz w:val="22"/>
          <w:szCs w:val="22"/>
        </w:rPr>
        <w:t xml:space="preserve"> complete with a webshop ready for </w:t>
      </w:r>
      <w:r w:rsidR="00F841C8" w:rsidRPr="00086304">
        <w:rPr>
          <w:sz w:val="22"/>
          <w:szCs w:val="22"/>
        </w:rPr>
        <w:t>activation</w:t>
      </w:r>
      <w:r w:rsidRPr="00086304">
        <w:rPr>
          <w:sz w:val="22"/>
          <w:szCs w:val="22"/>
        </w:rPr>
        <w:t xml:space="preserve"> the moment you complete the tutorial. Chapter 5, “</w:t>
      </w:r>
      <w:r w:rsidR="00537240">
        <w:rPr>
          <w:sz w:val="22"/>
          <w:szCs w:val="22"/>
        </w:rPr>
        <w:t>The signal laboratory</w:t>
      </w:r>
      <w:r w:rsidRPr="00086304">
        <w:rPr>
          <w:sz w:val="22"/>
          <w:szCs w:val="22"/>
        </w:rPr>
        <w:t xml:space="preserve">” describes how you can </w:t>
      </w:r>
      <w:r w:rsidR="00537240">
        <w:rPr>
          <w:sz w:val="22"/>
          <w:szCs w:val="22"/>
        </w:rPr>
        <w:t xml:space="preserve">analyze and process the data for </w:t>
      </w:r>
      <w:r w:rsidRPr="00086304">
        <w:rPr>
          <w:sz w:val="22"/>
          <w:szCs w:val="22"/>
        </w:rPr>
        <w:t>your development needs.</w:t>
      </w:r>
    </w:p>
    <w:p w14:paraId="256844D3" w14:textId="77777777" w:rsidR="00086304" w:rsidRDefault="00086304"/>
    <w:p w14:paraId="2C252A78" w14:textId="77777777" w:rsidR="00086304" w:rsidRPr="00086304" w:rsidRDefault="00086304">
      <w:pPr>
        <w:pBdr>
          <w:bottom w:val="single" w:sz="6" w:space="1" w:color="auto"/>
        </w:pBdr>
        <w:rPr>
          <w:sz w:val="28"/>
          <w:szCs w:val="28"/>
        </w:rPr>
      </w:pPr>
      <w:r w:rsidRPr="00086304">
        <w:rPr>
          <w:sz w:val="28"/>
          <w:szCs w:val="28"/>
        </w:rPr>
        <w:t xml:space="preserve">What is </w:t>
      </w:r>
      <w:r w:rsidR="0014212A">
        <w:rPr>
          <w:sz w:val="28"/>
          <w:szCs w:val="28"/>
        </w:rPr>
        <w:t>the wireless energy transport device</w:t>
      </w:r>
      <w:r w:rsidRPr="00086304">
        <w:rPr>
          <w:sz w:val="28"/>
          <w:szCs w:val="28"/>
        </w:rPr>
        <w:t>?</w:t>
      </w:r>
    </w:p>
    <w:p w14:paraId="28DB12F0" w14:textId="77777777" w:rsidR="00086304" w:rsidRDefault="00086304"/>
    <w:p w14:paraId="777256C1" w14:textId="77777777" w:rsidR="00382D4C" w:rsidRDefault="00CA7B3E" w:rsidP="00141FFC">
      <w:pPr>
        <w:jc w:val="both"/>
        <w:rPr>
          <w:sz w:val="22"/>
          <w:szCs w:val="22"/>
        </w:rPr>
      </w:pPr>
      <w:r>
        <w:rPr>
          <w:sz w:val="22"/>
          <w:szCs w:val="22"/>
        </w:rPr>
        <w:t>The Model ‘F’</w:t>
      </w:r>
      <w:r w:rsidR="00DA513D">
        <w:rPr>
          <w:sz w:val="22"/>
          <w:szCs w:val="22"/>
        </w:rPr>
        <w:t xml:space="preserve"> is a</w:t>
      </w:r>
      <w:r>
        <w:rPr>
          <w:sz w:val="22"/>
          <w:szCs w:val="22"/>
        </w:rPr>
        <w:t xml:space="preserve"> modular, time-domain independent wireless energy and signaling device for rapid and efficient transmission and distribution of current to a multitude of </w:t>
      </w:r>
      <w:r w:rsidR="00DA513D">
        <w:rPr>
          <w:sz w:val="22"/>
          <w:szCs w:val="22"/>
        </w:rPr>
        <w:t>object</w:t>
      </w:r>
      <w:r w:rsidR="00382D4C">
        <w:rPr>
          <w:sz w:val="22"/>
          <w:szCs w:val="22"/>
        </w:rPr>
        <w:t xml:space="preserve">s. </w:t>
      </w:r>
    </w:p>
    <w:p w14:paraId="78771495" w14:textId="77777777" w:rsidR="00382D4C" w:rsidRDefault="00382D4C" w:rsidP="00141FFC">
      <w:pPr>
        <w:jc w:val="both"/>
        <w:rPr>
          <w:sz w:val="22"/>
          <w:szCs w:val="22"/>
        </w:rPr>
      </w:pPr>
    </w:p>
    <w:p w14:paraId="0B5D9CAE" w14:textId="77777777" w:rsidR="00086304" w:rsidRDefault="00DA513D" w:rsidP="00141FFC">
      <w:pPr>
        <w:jc w:val="both"/>
        <w:rPr>
          <w:sz w:val="22"/>
          <w:szCs w:val="22"/>
        </w:rPr>
      </w:pPr>
      <w:r>
        <w:rPr>
          <w:sz w:val="22"/>
          <w:szCs w:val="22"/>
        </w:rPr>
        <w:t>Using WebPort, you can create highly efficient applications</w:t>
      </w:r>
      <w:r w:rsidR="00BB17F2">
        <w:rPr>
          <w:sz w:val="22"/>
          <w:szCs w:val="22"/>
        </w:rPr>
        <w:t xml:space="preserve"> and program templates</w:t>
      </w:r>
      <w:r>
        <w:rPr>
          <w:sz w:val="22"/>
          <w:szCs w:val="22"/>
        </w:rPr>
        <w:t xml:space="preserve"> with robust data-connectivity layers for Microsoft Internet Information Services (IIS) </w:t>
      </w:r>
      <w:r w:rsidR="00BB17F2">
        <w:rPr>
          <w:sz w:val="22"/>
          <w:szCs w:val="22"/>
        </w:rPr>
        <w:t xml:space="preserve">and Microsoft SQL </w:t>
      </w:r>
      <w:r>
        <w:rPr>
          <w:sz w:val="22"/>
          <w:szCs w:val="22"/>
        </w:rPr>
        <w:t xml:space="preserve">with a minimum of manual coding. </w:t>
      </w:r>
      <w:r w:rsidR="00BB17F2">
        <w:rPr>
          <w:sz w:val="22"/>
          <w:szCs w:val="22"/>
        </w:rPr>
        <w:t>WebPort also provides a simple cross-platform solution when used in conju</w:t>
      </w:r>
      <w:r w:rsidR="00F97FDE">
        <w:rPr>
          <w:sz w:val="22"/>
          <w:szCs w:val="22"/>
        </w:rPr>
        <w:t>nction with Cylix, NovoPort’s R</w:t>
      </w:r>
      <w:r w:rsidR="00BB17F2">
        <w:rPr>
          <w:sz w:val="22"/>
          <w:szCs w:val="22"/>
        </w:rPr>
        <w:t>A</w:t>
      </w:r>
      <w:r w:rsidR="00F97FDE">
        <w:rPr>
          <w:sz w:val="22"/>
          <w:szCs w:val="22"/>
        </w:rPr>
        <w:t>I</w:t>
      </w:r>
      <w:r w:rsidR="00BB17F2">
        <w:rPr>
          <w:sz w:val="22"/>
          <w:szCs w:val="22"/>
        </w:rPr>
        <w:t>D tool for Macintosh OSX and Xylix, a RAID tool for Linux using the Mono Framework. WebPort provides all the tools you need to develop, test, and deploy applications, including a large library of reusable components with the ability to be expanded as you need them, a suite of design tools for your innovative ideas, webform templates, and programming wizards.</w:t>
      </w:r>
    </w:p>
    <w:p w14:paraId="21507F21" w14:textId="77777777" w:rsidR="0017007D" w:rsidRDefault="0017007D">
      <w:pPr>
        <w:rPr>
          <w:sz w:val="22"/>
          <w:szCs w:val="22"/>
        </w:rPr>
      </w:pPr>
    </w:p>
    <w:p w14:paraId="2829C625" w14:textId="77777777" w:rsidR="0017007D" w:rsidRPr="007553DB" w:rsidRDefault="0017007D">
      <w:pPr>
        <w:pBdr>
          <w:bottom w:val="single" w:sz="6" w:space="1" w:color="auto"/>
        </w:pBdr>
        <w:rPr>
          <w:sz w:val="28"/>
          <w:szCs w:val="28"/>
        </w:rPr>
      </w:pPr>
      <w:r w:rsidRPr="007553DB">
        <w:rPr>
          <w:sz w:val="28"/>
          <w:szCs w:val="28"/>
        </w:rPr>
        <w:t xml:space="preserve">Finding </w:t>
      </w:r>
      <w:r w:rsidR="007553DB" w:rsidRPr="007553DB">
        <w:rPr>
          <w:sz w:val="28"/>
          <w:szCs w:val="28"/>
        </w:rPr>
        <w:t>Information</w:t>
      </w:r>
    </w:p>
    <w:p w14:paraId="65A332E9" w14:textId="77777777" w:rsidR="0017007D" w:rsidRDefault="0017007D">
      <w:pPr>
        <w:rPr>
          <w:sz w:val="22"/>
          <w:szCs w:val="22"/>
        </w:rPr>
      </w:pPr>
    </w:p>
    <w:p w14:paraId="40E4FAB2" w14:textId="77777777" w:rsidR="0017007D" w:rsidRDefault="0017007D">
      <w:pPr>
        <w:rPr>
          <w:sz w:val="22"/>
          <w:szCs w:val="22"/>
        </w:rPr>
      </w:pPr>
      <w:r>
        <w:rPr>
          <w:sz w:val="22"/>
          <w:szCs w:val="22"/>
        </w:rPr>
        <w:t xml:space="preserve">You can find information on </w:t>
      </w:r>
      <w:r w:rsidR="008F2798">
        <w:rPr>
          <w:sz w:val="22"/>
          <w:szCs w:val="22"/>
        </w:rPr>
        <w:t>the Model ‘F’</w:t>
      </w:r>
      <w:r>
        <w:rPr>
          <w:sz w:val="22"/>
          <w:szCs w:val="22"/>
        </w:rPr>
        <w:t xml:space="preserve"> in the following ways, described in this chapter:</w:t>
      </w:r>
    </w:p>
    <w:p w14:paraId="2B7267A4" w14:textId="77777777" w:rsidR="0017007D" w:rsidRDefault="0017007D">
      <w:pPr>
        <w:rPr>
          <w:sz w:val="22"/>
          <w:szCs w:val="22"/>
        </w:rPr>
      </w:pPr>
    </w:p>
    <w:p w14:paraId="5EFEC469" w14:textId="77777777" w:rsidR="0017007D" w:rsidRDefault="0017007D">
      <w:pPr>
        <w:rPr>
          <w:sz w:val="22"/>
          <w:szCs w:val="22"/>
        </w:rPr>
      </w:pPr>
      <w:r>
        <w:rPr>
          <w:sz w:val="22"/>
          <w:szCs w:val="22"/>
        </w:rPr>
        <w:t>●  Online Help</w:t>
      </w:r>
    </w:p>
    <w:p w14:paraId="6EC1D512" w14:textId="77777777" w:rsidR="0017007D" w:rsidRDefault="0017007D">
      <w:pPr>
        <w:rPr>
          <w:sz w:val="22"/>
          <w:szCs w:val="22"/>
        </w:rPr>
      </w:pPr>
      <w:r>
        <w:rPr>
          <w:sz w:val="22"/>
          <w:szCs w:val="22"/>
        </w:rPr>
        <w:t>●  Printed documentation</w:t>
      </w:r>
    </w:p>
    <w:p w14:paraId="1D180715" w14:textId="77777777" w:rsidR="0017007D" w:rsidRPr="00086304" w:rsidRDefault="0017007D">
      <w:pPr>
        <w:rPr>
          <w:sz w:val="22"/>
          <w:szCs w:val="22"/>
        </w:rPr>
      </w:pPr>
      <w:r>
        <w:rPr>
          <w:sz w:val="22"/>
          <w:szCs w:val="22"/>
        </w:rPr>
        <w:t xml:space="preserve">●  </w:t>
      </w:r>
      <w:r w:rsidR="008F2798">
        <w:rPr>
          <w:sz w:val="22"/>
          <w:szCs w:val="22"/>
        </w:rPr>
        <w:t>Cartheur</w:t>
      </w:r>
      <w:r>
        <w:rPr>
          <w:sz w:val="22"/>
          <w:szCs w:val="22"/>
        </w:rPr>
        <w:t xml:space="preserve"> developer support services and Web site</w:t>
      </w:r>
    </w:p>
    <w:p w14:paraId="3DD467B4" w14:textId="77777777" w:rsidR="00086304" w:rsidRDefault="00086304">
      <w:pPr>
        <w:rPr>
          <w:sz w:val="22"/>
          <w:szCs w:val="22"/>
        </w:rPr>
      </w:pPr>
    </w:p>
    <w:p w14:paraId="189B2B47" w14:textId="77777777" w:rsidR="0017007D" w:rsidRDefault="0017007D">
      <w:pPr>
        <w:rPr>
          <w:sz w:val="22"/>
          <w:szCs w:val="22"/>
        </w:rPr>
      </w:pPr>
      <w:r>
        <w:rPr>
          <w:sz w:val="22"/>
          <w:szCs w:val="22"/>
        </w:rPr>
        <w:t xml:space="preserve">For information about new features in this release, refer to What’s New in the online Help Contents and to the </w:t>
      </w:r>
      <w:r w:rsidRPr="00296880">
        <w:rPr>
          <w:sz w:val="22"/>
          <w:szCs w:val="22"/>
        </w:rPr>
        <w:t>www.</w:t>
      </w:r>
      <w:r w:rsidR="008F2798">
        <w:rPr>
          <w:sz w:val="22"/>
          <w:szCs w:val="22"/>
        </w:rPr>
        <w:t>cartheur</w:t>
      </w:r>
      <w:r w:rsidRPr="00296880">
        <w:rPr>
          <w:sz w:val="22"/>
          <w:szCs w:val="22"/>
        </w:rPr>
        <w:t>.com</w:t>
      </w:r>
      <w:r>
        <w:rPr>
          <w:sz w:val="22"/>
          <w:szCs w:val="22"/>
        </w:rPr>
        <w:t xml:space="preserve"> Web site.</w:t>
      </w:r>
    </w:p>
    <w:p w14:paraId="13D7EFD4" w14:textId="77777777" w:rsidR="0017007D" w:rsidRDefault="0017007D">
      <w:pPr>
        <w:rPr>
          <w:sz w:val="22"/>
          <w:szCs w:val="22"/>
        </w:rPr>
      </w:pPr>
    </w:p>
    <w:p w14:paraId="5E1851DC" w14:textId="77777777" w:rsidR="0017007D" w:rsidRPr="001F0F1B" w:rsidRDefault="001F0F1B">
      <w:pPr>
        <w:pBdr>
          <w:bottom w:val="single" w:sz="6" w:space="1" w:color="auto"/>
        </w:pBdr>
        <w:rPr>
          <w:sz w:val="28"/>
          <w:szCs w:val="28"/>
        </w:rPr>
      </w:pPr>
      <w:r w:rsidRPr="001F0F1B">
        <w:rPr>
          <w:sz w:val="28"/>
          <w:szCs w:val="28"/>
        </w:rPr>
        <w:t>Online Help</w:t>
      </w:r>
    </w:p>
    <w:p w14:paraId="66094773" w14:textId="77777777" w:rsidR="001F0F1B" w:rsidRDefault="001F0F1B">
      <w:pPr>
        <w:rPr>
          <w:sz w:val="22"/>
          <w:szCs w:val="22"/>
        </w:rPr>
      </w:pPr>
    </w:p>
    <w:p w14:paraId="0D070183" w14:textId="77777777" w:rsidR="001F0F1B" w:rsidRDefault="001F0F1B" w:rsidP="00141FFC">
      <w:pPr>
        <w:jc w:val="both"/>
        <w:rPr>
          <w:sz w:val="22"/>
          <w:szCs w:val="22"/>
        </w:rPr>
      </w:pPr>
      <w:r>
        <w:rPr>
          <w:sz w:val="22"/>
          <w:szCs w:val="22"/>
        </w:rPr>
        <w:lastRenderedPageBreak/>
        <w:t xml:space="preserve">The online Help system provides detailed information about user interface features, object and control implementation, programming tasks, and the components in the Visual Component Library Reference (VCL). It includes all the material in the WebPort </w:t>
      </w:r>
      <w:r w:rsidR="002241B3">
        <w:rPr>
          <w:i/>
          <w:sz w:val="22"/>
          <w:szCs w:val="22"/>
        </w:rPr>
        <w:t>Experimento</w:t>
      </w:r>
      <w:r>
        <w:rPr>
          <w:i/>
          <w:sz w:val="22"/>
          <w:szCs w:val="22"/>
        </w:rPr>
        <w:t>r’s Guide</w:t>
      </w:r>
      <w:r>
        <w:rPr>
          <w:sz w:val="22"/>
          <w:szCs w:val="22"/>
        </w:rPr>
        <w:t xml:space="preserve"> and a host of Help files for other features bundled with WebPort such as the Module Developer’s Package (MDP).</w:t>
      </w:r>
    </w:p>
    <w:p w14:paraId="60D1C64B" w14:textId="77777777" w:rsidR="001F0F1B" w:rsidRDefault="001F0F1B">
      <w:pPr>
        <w:rPr>
          <w:sz w:val="22"/>
          <w:szCs w:val="22"/>
        </w:rPr>
      </w:pPr>
    </w:p>
    <w:p w14:paraId="6AB124ED" w14:textId="77777777" w:rsidR="001F0F1B" w:rsidRDefault="001F0F1B" w:rsidP="00141FFC">
      <w:pPr>
        <w:jc w:val="both"/>
        <w:rPr>
          <w:sz w:val="22"/>
          <w:szCs w:val="22"/>
        </w:rPr>
      </w:pPr>
      <w:r>
        <w:rPr>
          <w:sz w:val="22"/>
          <w:szCs w:val="22"/>
        </w:rPr>
        <w:t>To view the table of contents, choose Help | WebPort Help and Help | WebPort Tools, and click the Contents tab. To look up VCL or MDP objects or any other topic, click the Index or Find tab and type your request.</w:t>
      </w:r>
    </w:p>
    <w:p w14:paraId="28E297B4" w14:textId="77777777" w:rsidR="001F0F1B" w:rsidRDefault="001F0F1B">
      <w:pPr>
        <w:rPr>
          <w:sz w:val="22"/>
          <w:szCs w:val="22"/>
        </w:rPr>
      </w:pPr>
    </w:p>
    <w:p w14:paraId="17E294AF" w14:textId="77777777" w:rsidR="001F0F1B" w:rsidRPr="001F0F1B" w:rsidRDefault="001F0F1B">
      <w:pPr>
        <w:pBdr>
          <w:bottom w:val="single" w:sz="6" w:space="1" w:color="auto"/>
        </w:pBdr>
        <w:rPr>
          <w:sz w:val="28"/>
          <w:szCs w:val="28"/>
        </w:rPr>
      </w:pPr>
      <w:r w:rsidRPr="001F0F1B">
        <w:rPr>
          <w:sz w:val="28"/>
          <w:szCs w:val="28"/>
        </w:rPr>
        <w:t>Printed documentation</w:t>
      </w:r>
    </w:p>
    <w:p w14:paraId="6A6EAB34" w14:textId="77777777" w:rsidR="001F0F1B" w:rsidRDefault="001F0F1B">
      <w:pPr>
        <w:rPr>
          <w:sz w:val="22"/>
          <w:szCs w:val="22"/>
        </w:rPr>
      </w:pPr>
    </w:p>
    <w:p w14:paraId="32AADB7C" w14:textId="77777777" w:rsidR="001F0F1B" w:rsidRDefault="00340D03">
      <w:pPr>
        <w:rPr>
          <w:sz w:val="22"/>
          <w:szCs w:val="22"/>
        </w:rPr>
      </w:pPr>
      <w:r>
        <w:rPr>
          <w:sz w:val="22"/>
          <w:szCs w:val="22"/>
        </w:rPr>
        <w:t xml:space="preserve">This </w:t>
      </w:r>
      <w:r>
        <w:rPr>
          <w:i/>
          <w:sz w:val="22"/>
          <w:szCs w:val="22"/>
        </w:rPr>
        <w:t>Quick Start</w:t>
      </w:r>
      <w:r>
        <w:rPr>
          <w:sz w:val="22"/>
          <w:szCs w:val="22"/>
        </w:rPr>
        <w:t xml:space="preserve"> is an </w:t>
      </w:r>
      <w:r w:rsidR="00F841C8">
        <w:rPr>
          <w:sz w:val="22"/>
          <w:szCs w:val="22"/>
        </w:rPr>
        <w:t>introduction</w:t>
      </w:r>
      <w:r>
        <w:rPr>
          <w:sz w:val="22"/>
          <w:szCs w:val="22"/>
        </w:rPr>
        <w:t xml:space="preserve"> to WebPort. To order additional printed documentation, such as the </w:t>
      </w:r>
      <w:r>
        <w:rPr>
          <w:i/>
          <w:sz w:val="22"/>
          <w:szCs w:val="22"/>
        </w:rPr>
        <w:t>Module Developer’s Guide</w:t>
      </w:r>
      <w:r>
        <w:rPr>
          <w:sz w:val="22"/>
          <w:szCs w:val="22"/>
        </w:rPr>
        <w:t>, refer to</w:t>
      </w:r>
      <w:r w:rsidR="00240BE9">
        <w:rPr>
          <w:sz w:val="22"/>
          <w:szCs w:val="22"/>
        </w:rPr>
        <w:t xml:space="preserve"> the latest offerings at</w:t>
      </w:r>
      <w:r>
        <w:rPr>
          <w:sz w:val="22"/>
          <w:szCs w:val="22"/>
        </w:rPr>
        <w:t xml:space="preserve"> shop.novoport.</w:t>
      </w:r>
      <w:r w:rsidR="00240BE9">
        <w:rPr>
          <w:sz w:val="22"/>
          <w:szCs w:val="22"/>
        </w:rPr>
        <w:t>net</w:t>
      </w:r>
      <w:r>
        <w:rPr>
          <w:sz w:val="22"/>
          <w:szCs w:val="22"/>
        </w:rPr>
        <w:t>.</w:t>
      </w:r>
    </w:p>
    <w:p w14:paraId="5FB2E59C" w14:textId="77777777" w:rsidR="00340D03" w:rsidRDefault="00340D03">
      <w:pPr>
        <w:rPr>
          <w:sz w:val="22"/>
          <w:szCs w:val="22"/>
        </w:rPr>
      </w:pPr>
    </w:p>
    <w:p w14:paraId="6D1F6909" w14:textId="77777777" w:rsidR="00340D03" w:rsidRPr="00F841C8" w:rsidRDefault="00340D03">
      <w:pPr>
        <w:pBdr>
          <w:bottom w:val="single" w:sz="6" w:space="1" w:color="auto"/>
        </w:pBdr>
        <w:rPr>
          <w:sz w:val="28"/>
          <w:szCs w:val="28"/>
        </w:rPr>
      </w:pPr>
      <w:r w:rsidRPr="00F841C8">
        <w:rPr>
          <w:sz w:val="28"/>
          <w:szCs w:val="28"/>
        </w:rPr>
        <w:t>Developer support services and Web site</w:t>
      </w:r>
    </w:p>
    <w:p w14:paraId="690D7687" w14:textId="77777777" w:rsidR="00340D03" w:rsidRDefault="00340D03">
      <w:pPr>
        <w:rPr>
          <w:sz w:val="22"/>
          <w:szCs w:val="22"/>
        </w:rPr>
      </w:pPr>
    </w:p>
    <w:p w14:paraId="4489076A" w14:textId="77777777" w:rsidR="00340D03" w:rsidRDefault="00296880" w:rsidP="00141FFC">
      <w:pPr>
        <w:jc w:val="both"/>
        <w:rPr>
          <w:sz w:val="22"/>
          <w:szCs w:val="22"/>
        </w:rPr>
      </w:pPr>
      <w:r>
        <w:rPr>
          <w:sz w:val="22"/>
          <w:szCs w:val="22"/>
        </w:rPr>
        <w:t xml:space="preserve">NovoPort also offers a variety of support options to meet the needs of its diverse developer community. To find out about support, refer to </w:t>
      </w:r>
      <w:r w:rsidRPr="00296880">
        <w:rPr>
          <w:sz w:val="22"/>
          <w:szCs w:val="22"/>
        </w:rPr>
        <w:t>http://www.novoport.</w:t>
      </w:r>
      <w:r w:rsidR="00DA5E02">
        <w:rPr>
          <w:sz w:val="22"/>
          <w:szCs w:val="22"/>
        </w:rPr>
        <w:t>net</w:t>
      </w:r>
      <w:r w:rsidR="00271E85">
        <w:rPr>
          <w:sz w:val="22"/>
          <w:szCs w:val="22"/>
        </w:rPr>
        <w:t>/developer</w:t>
      </w:r>
      <w:r w:rsidRPr="00296880">
        <w:rPr>
          <w:sz w:val="22"/>
          <w:szCs w:val="22"/>
        </w:rPr>
        <w:t>/</w:t>
      </w:r>
      <w:r>
        <w:rPr>
          <w:sz w:val="22"/>
          <w:szCs w:val="22"/>
        </w:rPr>
        <w:t>.</w:t>
      </w:r>
    </w:p>
    <w:p w14:paraId="57EE3656" w14:textId="77777777" w:rsidR="00296880" w:rsidRDefault="00296880" w:rsidP="00141FFC">
      <w:pPr>
        <w:jc w:val="both"/>
        <w:rPr>
          <w:sz w:val="22"/>
          <w:szCs w:val="22"/>
        </w:rPr>
      </w:pPr>
    </w:p>
    <w:p w14:paraId="68A7705C" w14:textId="77777777" w:rsidR="00296880" w:rsidRPr="00340D03" w:rsidRDefault="00296880" w:rsidP="00141FFC">
      <w:pPr>
        <w:jc w:val="both"/>
        <w:rPr>
          <w:sz w:val="22"/>
          <w:szCs w:val="22"/>
        </w:rPr>
      </w:pPr>
      <w:r>
        <w:rPr>
          <w:sz w:val="22"/>
          <w:szCs w:val="22"/>
        </w:rPr>
        <w:t>From the Web site, you can access many newsgroups where WebPort developers exchange information, tips, and techniques. The site also includes a list of books about WebPort, additional WebPort technical documents, and Frequently Asked Questions (FAQs).</w:t>
      </w:r>
    </w:p>
    <w:p w14:paraId="7A8E6192" w14:textId="77777777" w:rsidR="00086304" w:rsidRDefault="00086304"/>
    <w:p w14:paraId="43420A50" w14:textId="77777777" w:rsidR="00824570" w:rsidRPr="00824570" w:rsidRDefault="00824570">
      <w:pPr>
        <w:pBdr>
          <w:bottom w:val="single" w:sz="6" w:space="1" w:color="auto"/>
        </w:pBdr>
        <w:rPr>
          <w:sz w:val="28"/>
          <w:szCs w:val="28"/>
        </w:rPr>
      </w:pPr>
      <w:r w:rsidRPr="00824570">
        <w:rPr>
          <w:sz w:val="28"/>
          <w:szCs w:val="28"/>
        </w:rPr>
        <w:t>Typographic conventions</w:t>
      </w:r>
    </w:p>
    <w:p w14:paraId="579264AB" w14:textId="77777777" w:rsidR="00824570" w:rsidRDefault="00824570"/>
    <w:p w14:paraId="262CEA82" w14:textId="77777777" w:rsidR="00824570" w:rsidRPr="00824570" w:rsidRDefault="00824570">
      <w:pPr>
        <w:rPr>
          <w:sz w:val="22"/>
          <w:szCs w:val="22"/>
        </w:rPr>
      </w:pPr>
      <w:r w:rsidRPr="00824570">
        <w:rPr>
          <w:sz w:val="22"/>
          <w:szCs w:val="22"/>
        </w:rPr>
        <w:t>This manual uses the typefaces described below to indicate special text.</w:t>
      </w:r>
    </w:p>
    <w:p w14:paraId="242D56C5" w14:textId="77777777" w:rsidR="00824570" w:rsidRDefault="00824570"/>
    <w:p w14:paraId="7A66795D" w14:textId="77777777" w:rsidR="00824570" w:rsidRDefault="00824570">
      <w:pPr>
        <w:rPr>
          <w:sz w:val="20"/>
          <w:szCs w:val="20"/>
        </w:rPr>
      </w:pPr>
      <w:r w:rsidRPr="00824570">
        <w:rPr>
          <w:b/>
          <w:sz w:val="20"/>
          <w:szCs w:val="20"/>
        </w:rPr>
        <w:t>Table 1.1</w:t>
      </w:r>
      <w:r w:rsidRPr="00824570">
        <w:rPr>
          <w:sz w:val="20"/>
          <w:szCs w:val="20"/>
        </w:rPr>
        <w:tab/>
        <w:t>Typographic 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68"/>
      </w:tblGrid>
      <w:tr w:rsidR="00824570" w:rsidRPr="00350A59" w14:paraId="4F7FBCF9" w14:textId="77777777" w:rsidTr="00350A59">
        <w:tc>
          <w:tcPr>
            <w:tcW w:w="2088" w:type="dxa"/>
          </w:tcPr>
          <w:p w14:paraId="484ACEA9" w14:textId="77777777" w:rsidR="00824570" w:rsidRPr="00350A59" w:rsidRDefault="00824570">
            <w:pPr>
              <w:rPr>
                <w:sz w:val="20"/>
                <w:szCs w:val="20"/>
              </w:rPr>
            </w:pPr>
            <w:r w:rsidRPr="00350A59">
              <w:rPr>
                <w:sz w:val="20"/>
                <w:szCs w:val="20"/>
              </w:rPr>
              <w:t>Typeface</w:t>
            </w:r>
          </w:p>
        </w:tc>
        <w:tc>
          <w:tcPr>
            <w:tcW w:w="6768" w:type="dxa"/>
          </w:tcPr>
          <w:p w14:paraId="78E6F631" w14:textId="77777777" w:rsidR="00824570" w:rsidRPr="00350A59" w:rsidRDefault="00824570">
            <w:pPr>
              <w:rPr>
                <w:sz w:val="20"/>
                <w:szCs w:val="20"/>
              </w:rPr>
            </w:pPr>
            <w:r w:rsidRPr="00350A59">
              <w:rPr>
                <w:sz w:val="20"/>
                <w:szCs w:val="20"/>
              </w:rPr>
              <w:t>Meaning</w:t>
            </w:r>
          </w:p>
        </w:tc>
      </w:tr>
      <w:tr w:rsidR="00824570" w:rsidRPr="00350A59" w14:paraId="6B68B4A0" w14:textId="77777777" w:rsidTr="00350A59">
        <w:tc>
          <w:tcPr>
            <w:tcW w:w="2088" w:type="dxa"/>
          </w:tcPr>
          <w:p w14:paraId="72816A01" w14:textId="77777777" w:rsidR="00824570" w:rsidRPr="00350A59" w:rsidRDefault="00824570">
            <w:pPr>
              <w:rPr>
                <w:rFonts w:ascii="Eurostile" w:hAnsi="Eurostile"/>
                <w:sz w:val="20"/>
                <w:szCs w:val="20"/>
              </w:rPr>
            </w:pPr>
            <w:r w:rsidRPr="00350A59">
              <w:rPr>
                <w:rFonts w:ascii="Eurostile" w:hAnsi="Eurostile"/>
                <w:sz w:val="20"/>
                <w:szCs w:val="20"/>
              </w:rPr>
              <w:t>Monospace type</w:t>
            </w:r>
          </w:p>
        </w:tc>
        <w:tc>
          <w:tcPr>
            <w:tcW w:w="6768" w:type="dxa"/>
          </w:tcPr>
          <w:p w14:paraId="69CCA87D" w14:textId="77777777" w:rsidR="00824570" w:rsidRPr="00350A59" w:rsidRDefault="00824570">
            <w:pPr>
              <w:rPr>
                <w:sz w:val="20"/>
                <w:szCs w:val="20"/>
              </w:rPr>
            </w:pPr>
            <w:r w:rsidRPr="00350A59">
              <w:rPr>
                <w:sz w:val="20"/>
                <w:szCs w:val="20"/>
              </w:rPr>
              <w:t>Monospaced type represents text as it appears on screen or in code. It also represents anything you must type.</w:t>
            </w:r>
          </w:p>
        </w:tc>
      </w:tr>
      <w:tr w:rsidR="00824570" w:rsidRPr="00350A59" w14:paraId="4AD9CCDB" w14:textId="77777777" w:rsidTr="00350A59">
        <w:tc>
          <w:tcPr>
            <w:tcW w:w="2088" w:type="dxa"/>
          </w:tcPr>
          <w:p w14:paraId="2AE64993" w14:textId="77777777" w:rsidR="00824570" w:rsidRPr="00350A59" w:rsidRDefault="00FA4A71">
            <w:pPr>
              <w:rPr>
                <w:b/>
                <w:sz w:val="20"/>
                <w:szCs w:val="20"/>
              </w:rPr>
            </w:pPr>
            <w:r w:rsidRPr="00350A59">
              <w:rPr>
                <w:b/>
                <w:sz w:val="20"/>
                <w:szCs w:val="20"/>
              </w:rPr>
              <w:t>Boldface</w:t>
            </w:r>
          </w:p>
        </w:tc>
        <w:tc>
          <w:tcPr>
            <w:tcW w:w="6768" w:type="dxa"/>
          </w:tcPr>
          <w:p w14:paraId="5FA15229" w14:textId="77777777" w:rsidR="00824570" w:rsidRPr="00350A59" w:rsidRDefault="00FA4A71">
            <w:pPr>
              <w:rPr>
                <w:sz w:val="20"/>
                <w:szCs w:val="20"/>
              </w:rPr>
            </w:pPr>
            <w:r w:rsidRPr="00350A59">
              <w:rPr>
                <w:sz w:val="20"/>
                <w:szCs w:val="20"/>
              </w:rPr>
              <w:t>Boldfaced words in text or code listings represent reserved words or compiler options.</w:t>
            </w:r>
          </w:p>
        </w:tc>
      </w:tr>
      <w:tr w:rsidR="00824570" w:rsidRPr="00350A59" w14:paraId="699A426C" w14:textId="77777777" w:rsidTr="00350A59">
        <w:tc>
          <w:tcPr>
            <w:tcW w:w="2088" w:type="dxa"/>
          </w:tcPr>
          <w:p w14:paraId="2094BEDC" w14:textId="77777777" w:rsidR="00824570" w:rsidRPr="00350A59" w:rsidRDefault="00FA4A71">
            <w:pPr>
              <w:rPr>
                <w:sz w:val="20"/>
                <w:szCs w:val="20"/>
              </w:rPr>
            </w:pPr>
            <w:r w:rsidRPr="00350A59">
              <w:rPr>
                <w:i/>
                <w:sz w:val="20"/>
                <w:szCs w:val="20"/>
              </w:rPr>
              <w:t>Italics</w:t>
            </w:r>
          </w:p>
        </w:tc>
        <w:tc>
          <w:tcPr>
            <w:tcW w:w="6768" w:type="dxa"/>
          </w:tcPr>
          <w:p w14:paraId="056AB479" w14:textId="77777777" w:rsidR="00824570" w:rsidRPr="00350A59" w:rsidRDefault="00FA4A71">
            <w:pPr>
              <w:rPr>
                <w:sz w:val="20"/>
                <w:szCs w:val="20"/>
              </w:rPr>
            </w:pPr>
            <w:r w:rsidRPr="00350A59">
              <w:rPr>
                <w:sz w:val="20"/>
                <w:szCs w:val="20"/>
              </w:rPr>
              <w:t>Italicized words in text represent WebPort identifiers, such as variable or type names. Italics are also used to emphasize certain words, such as new terms.</w:t>
            </w:r>
          </w:p>
        </w:tc>
      </w:tr>
      <w:tr w:rsidR="00824570" w:rsidRPr="00350A59" w14:paraId="7951AB19" w14:textId="77777777" w:rsidTr="00350A59">
        <w:tc>
          <w:tcPr>
            <w:tcW w:w="2088" w:type="dxa"/>
          </w:tcPr>
          <w:p w14:paraId="5DF3197A" w14:textId="77777777" w:rsidR="00824570" w:rsidRPr="00350A59" w:rsidRDefault="00FA4A71">
            <w:pPr>
              <w:rPr>
                <w:sz w:val="20"/>
                <w:szCs w:val="20"/>
              </w:rPr>
            </w:pPr>
            <w:r w:rsidRPr="00350A59">
              <w:rPr>
                <w:b/>
                <w:i/>
                <w:sz w:val="20"/>
                <w:szCs w:val="20"/>
              </w:rPr>
              <w:t>Keycaps</w:t>
            </w:r>
          </w:p>
        </w:tc>
        <w:tc>
          <w:tcPr>
            <w:tcW w:w="6768" w:type="dxa"/>
          </w:tcPr>
          <w:p w14:paraId="52253AE8" w14:textId="77777777" w:rsidR="00824570" w:rsidRPr="00350A59" w:rsidRDefault="00FA4A71">
            <w:pPr>
              <w:rPr>
                <w:sz w:val="20"/>
                <w:szCs w:val="20"/>
              </w:rPr>
            </w:pPr>
            <w:r w:rsidRPr="00350A59">
              <w:rPr>
                <w:sz w:val="20"/>
                <w:szCs w:val="20"/>
              </w:rPr>
              <w:t xml:space="preserve">This typeface indicates a key on your keyboard. For example, “Press </w:t>
            </w:r>
            <w:r w:rsidRPr="00350A59">
              <w:rPr>
                <w:b/>
                <w:i/>
                <w:sz w:val="20"/>
                <w:szCs w:val="20"/>
              </w:rPr>
              <w:t>Esc</w:t>
            </w:r>
            <w:r w:rsidRPr="00350A59">
              <w:rPr>
                <w:sz w:val="20"/>
                <w:szCs w:val="20"/>
              </w:rPr>
              <w:t xml:space="preserve"> to exit a menu”.</w:t>
            </w:r>
          </w:p>
        </w:tc>
      </w:tr>
    </w:tbl>
    <w:p w14:paraId="4D1DCF99" w14:textId="77777777" w:rsidR="00824570" w:rsidRDefault="00824570">
      <w:pPr>
        <w:rPr>
          <w:sz w:val="20"/>
          <w:szCs w:val="20"/>
        </w:rPr>
      </w:pPr>
    </w:p>
    <w:p w14:paraId="0BB2019E" w14:textId="77777777" w:rsidR="00824570" w:rsidRDefault="00824570">
      <w:pPr>
        <w:rPr>
          <w:sz w:val="20"/>
          <w:szCs w:val="20"/>
        </w:rPr>
      </w:pPr>
      <w:r>
        <w:rPr>
          <w:sz w:val="20"/>
          <w:szCs w:val="20"/>
        </w:rPr>
        <w:tab/>
      </w:r>
    </w:p>
    <w:p w14:paraId="46F4C67E" w14:textId="77777777" w:rsidR="00824570" w:rsidRPr="00824570" w:rsidRDefault="00824570">
      <w:pPr>
        <w:rPr>
          <w:sz w:val="20"/>
          <w:szCs w:val="20"/>
        </w:rPr>
      </w:pPr>
      <w:r>
        <w:rPr>
          <w:sz w:val="20"/>
          <w:szCs w:val="20"/>
        </w:rPr>
        <w:tab/>
      </w:r>
    </w:p>
    <w:p w14:paraId="376F9D2D" w14:textId="77777777" w:rsidR="00086304" w:rsidRDefault="00086304"/>
    <w:p w14:paraId="4FED932D" w14:textId="77777777" w:rsidR="00086304" w:rsidRDefault="00086304"/>
    <w:p w14:paraId="6833F84B" w14:textId="77777777" w:rsidR="00FA4A71" w:rsidRDefault="00FA4A71"/>
    <w:p w14:paraId="2CC93202" w14:textId="77777777" w:rsidR="00FA4A71" w:rsidRDefault="00FA4A71"/>
    <w:p w14:paraId="3D904B9F" w14:textId="77777777" w:rsidR="00FA4A71" w:rsidRDefault="00FA4A71"/>
    <w:p w14:paraId="63B1E4E2" w14:textId="77777777" w:rsidR="00FA4A71" w:rsidRDefault="00FA4A71"/>
    <w:p w14:paraId="3AA68EF0" w14:textId="77777777" w:rsidR="00FA4A71" w:rsidRDefault="00FA4A71"/>
    <w:p w14:paraId="22C6690D" w14:textId="77777777" w:rsidR="00FA4A71" w:rsidRDefault="00FA4A71"/>
    <w:p w14:paraId="30B8E5B9" w14:textId="77777777" w:rsidR="00FA4A71" w:rsidRDefault="00FA4A71"/>
    <w:p w14:paraId="4051C76B" w14:textId="77777777" w:rsidR="00FA4A71" w:rsidRPr="00C81E81" w:rsidRDefault="00FA4A71" w:rsidP="00FA4A71">
      <w:pPr>
        <w:jc w:val="right"/>
        <w:rPr>
          <w:sz w:val="72"/>
          <w:szCs w:val="72"/>
        </w:rPr>
      </w:pPr>
      <w:r w:rsidRPr="00C81E81">
        <w:rPr>
          <w:sz w:val="72"/>
          <w:szCs w:val="72"/>
        </w:rPr>
        <w:lastRenderedPageBreak/>
        <w:t>2</w:t>
      </w:r>
    </w:p>
    <w:p w14:paraId="1C5C2C37" w14:textId="77777777" w:rsidR="00FA4A71" w:rsidRDefault="00FA4A71" w:rsidP="00FA4A71">
      <w:pPr>
        <w:jc w:val="right"/>
      </w:pPr>
    </w:p>
    <w:p w14:paraId="1718F361" w14:textId="77777777" w:rsidR="00FA4A71" w:rsidRPr="00FA4A71" w:rsidRDefault="00FA4A71" w:rsidP="00FA4A71">
      <w:pPr>
        <w:jc w:val="right"/>
        <w:rPr>
          <w:sz w:val="32"/>
          <w:szCs w:val="32"/>
        </w:rPr>
      </w:pPr>
      <w:r w:rsidRPr="00FA4A71">
        <w:rPr>
          <w:sz w:val="32"/>
          <w:szCs w:val="32"/>
        </w:rPr>
        <w:t xml:space="preserve">A tour of the </w:t>
      </w:r>
      <w:r w:rsidR="00825C22">
        <w:rPr>
          <w:sz w:val="32"/>
          <w:szCs w:val="32"/>
        </w:rPr>
        <w:t>apparatus</w:t>
      </w:r>
    </w:p>
    <w:p w14:paraId="333D88F6" w14:textId="77777777" w:rsidR="00FA4A71" w:rsidRDefault="00FA4A71"/>
    <w:p w14:paraId="5ABC0C19" w14:textId="77777777" w:rsidR="00FA4A71" w:rsidRPr="00141FFC" w:rsidRDefault="00141FFC">
      <w:pPr>
        <w:rPr>
          <w:sz w:val="22"/>
          <w:szCs w:val="22"/>
        </w:rPr>
      </w:pPr>
      <w:r w:rsidRPr="00141FFC">
        <w:rPr>
          <w:sz w:val="22"/>
          <w:szCs w:val="22"/>
        </w:rPr>
        <w:t xml:space="preserve">This chapter explains how to start WebPort and gives </w:t>
      </w:r>
      <w:r w:rsidR="00947571">
        <w:rPr>
          <w:sz w:val="22"/>
          <w:szCs w:val="22"/>
        </w:rPr>
        <w:t>y</w:t>
      </w:r>
      <w:r w:rsidRPr="00141FFC">
        <w:rPr>
          <w:sz w:val="22"/>
          <w:szCs w:val="22"/>
        </w:rPr>
        <w:t>ou a quick tour of the main parts and tools of the desktop, or integrated desktop environment (IDE).</w:t>
      </w:r>
    </w:p>
    <w:p w14:paraId="7B2906E7" w14:textId="77777777" w:rsidR="00141FFC" w:rsidRDefault="00141FFC"/>
    <w:p w14:paraId="6FFAB45E" w14:textId="77777777" w:rsidR="00141FFC" w:rsidRPr="00141FFC" w:rsidRDefault="00141FFC">
      <w:pPr>
        <w:pBdr>
          <w:bottom w:val="single" w:sz="6" w:space="1" w:color="auto"/>
        </w:pBdr>
        <w:rPr>
          <w:sz w:val="28"/>
          <w:szCs w:val="28"/>
        </w:rPr>
      </w:pPr>
      <w:r w:rsidRPr="00141FFC">
        <w:rPr>
          <w:sz w:val="28"/>
          <w:szCs w:val="28"/>
        </w:rPr>
        <w:t>Starting WebPort</w:t>
      </w:r>
    </w:p>
    <w:p w14:paraId="7FE65C13" w14:textId="77777777" w:rsidR="00141FFC" w:rsidRDefault="00141FFC"/>
    <w:p w14:paraId="436754B1" w14:textId="77777777" w:rsidR="00141FFC" w:rsidRPr="00A938F2" w:rsidRDefault="00141FFC">
      <w:pPr>
        <w:rPr>
          <w:sz w:val="22"/>
          <w:szCs w:val="22"/>
        </w:rPr>
      </w:pPr>
      <w:r w:rsidRPr="00A938F2">
        <w:rPr>
          <w:sz w:val="22"/>
          <w:szCs w:val="22"/>
        </w:rPr>
        <w:t>You can start WebPort in the following ways</w:t>
      </w:r>
      <w:r w:rsidR="007D78B4">
        <w:rPr>
          <w:sz w:val="22"/>
          <w:szCs w:val="22"/>
        </w:rPr>
        <w:t xml:space="preserve"> based on your installation. The most common, using IIS on a local machine</w:t>
      </w:r>
      <w:r w:rsidRPr="00A938F2">
        <w:rPr>
          <w:sz w:val="22"/>
          <w:szCs w:val="22"/>
        </w:rPr>
        <w:t>:</w:t>
      </w:r>
    </w:p>
    <w:p w14:paraId="6E28D3A7" w14:textId="77777777" w:rsidR="00141FFC" w:rsidRDefault="00141FFC"/>
    <w:p w14:paraId="2F4CA734" w14:textId="77777777" w:rsidR="00141FFC" w:rsidRDefault="007D78B4">
      <w:pPr>
        <w:rPr>
          <w:sz w:val="22"/>
          <w:szCs w:val="22"/>
        </w:rPr>
      </w:pPr>
      <w:r>
        <w:rPr>
          <w:sz w:val="22"/>
          <w:szCs w:val="22"/>
        </w:rPr>
        <w:t xml:space="preserve">●  </w:t>
      </w:r>
      <w:r w:rsidR="00825C22">
        <w:rPr>
          <w:sz w:val="22"/>
          <w:szCs w:val="22"/>
        </w:rPr>
        <w:t>Transmitter (Tx) pad,</w:t>
      </w:r>
    </w:p>
    <w:p w14:paraId="2AB74158" w14:textId="77777777" w:rsidR="00A938F2" w:rsidRDefault="00A938F2">
      <w:pPr>
        <w:rPr>
          <w:sz w:val="22"/>
          <w:szCs w:val="22"/>
        </w:rPr>
      </w:pPr>
      <w:r>
        <w:rPr>
          <w:sz w:val="22"/>
          <w:szCs w:val="22"/>
        </w:rPr>
        <w:t xml:space="preserve">●  </w:t>
      </w:r>
      <w:r w:rsidR="00825C22">
        <w:rPr>
          <w:sz w:val="22"/>
          <w:szCs w:val="22"/>
        </w:rPr>
        <w:t>Receiver (Rx) pad,</w:t>
      </w:r>
    </w:p>
    <w:p w14:paraId="5352A36F" w14:textId="77777777" w:rsidR="00A938F2" w:rsidRDefault="00A938F2">
      <w:pPr>
        <w:rPr>
          <w:sz w:val="22"/>
          <w:szCs w:val="22"/>
        </w:rPr>
      </w:pPr>
      <w:r>
        <w:rPr>
          <w:sz w:val="22"/>
          <w:szCs w:val="22"/>
        </w:rPr>
        <w:t xml:space="preserve">●  </w:t>
      </w:r>
      <w:r w:rsidR="00825C22">
        <w:rPr>
          <w:sz w:val="22"/>
          <w:szCs w:val="22"/>
        </w:rPr>
        <w:t>coupled resonant objects—elevated aerials.</w:t>
      </w:r>
    </w:p>
    <w:p w14:paraId="2454CAB1" w14:textId="77777777" w:rsidR="00A938F2" w:rsidRDefault="00A938F2">
      <w:pPr>
        <w:rPr>
          <w:sz w:val="22"/>
          <w:szCs w:val="22"/>
        </w:rPr>
      </w:pPr>
    </w:p>
    <w:p w14:paraId="63F0BB52" w14:textId="77777777" w:rsidR="00A938F2" w:rsidRPr="00A938F2" w:rsidRDefault="00A938F2">
      <w:pPr>
        <w:pBdr>
          <w:bottom w:val="single" w:sz="6" w:space="1" w:color="auto"/>
        </w:pBdr>
        <w:rPr>
          <w:sz w:val="28"/>
          <w:szCs w:val="28"/>
        </w:rPr>
      </w:pPr>
      <w:r w:rsidRPr="00A938F2">
        <w:rPr>
          <w:sz w:val="28"/>
          <w:szCs w:val="28"/>
        </w:rPr>
        <w:t>The IDE</w:t>
      </w:r>
    </w:p>
    <w:p w14:paraId="254F1C85" w14:textId="77777777" w:rsidR="00A938F2" w:rsidRDefault="00A938F2">
      <w:pPr>
        <w:rPr>
          <w:sz w:val="22"/>
          <w:szCs w:val="22"/>
        </w:rPr>
      </w:pPr>
    </w:p>
    <w:p w14:paraId="6705EB16" w14:textId="77777777" w:rsidR="00A938F2" w:rsidRPr="00A938F2" w:rsidRDefault="00A938F2">
      <w:pPr>
        <w:rPr>
          <w:sz w:val="22"/>
          <w:szCs w:val="22"/>
        </w:rPr>
      </w:pPr>
      <w:r w:rsidRPr="00A938F2">
        <w:rPr>
          <w:sz w:val="22"/>
          <w:szCs w:val="22"/>
        </w:rPr>
        <w:t>When you first start WebPort, you’ll see the login screen:</w:t>
      </w:r>
    </w:p>
    <w:p w14:paraId="6918A3D9" w14:textId="77777777" w:rsidR="00FA4A71" w:rsidRDefault="00FA4A71"/>
    <w:p w14:paraId="7152BB82" w14:textId="77777777" w:rsidR="00A938F2" w:rsidRPr="00A938F2" w:rsidRDefault="00A938F2" w:rsidP="00D85CAA">
      <w:pPr>
        <w:rPr>
          <w:sz w:val="20"/>
          <w:szCs w:val="20"/>
        </w:rPr>
      </w:pPr>
      <w:r w:rsidRPr="00A938F2">
        <w:rPr>
          <w:b/>
          <w:sz w:val="20"/>
          <w:szCs w:val="20"/>
        </w:rPr>
        <w:t>Figure 2.</w:t>
      </w:r>
      <w:r w:rsidR="002C34C9">
        <w:rPr>
          <w:b/>
          <w:sz w:val="20"/>
          <w:szCs w:val="20"/>
        </w:rPr>
        <w:t>1</w:t>
      </w:r>
      <w:r w:rsidR="002C34C9">
        <w:rPr>
          <w:b/>
          <w:sz w:val="20"/>
          <w:szCs w:val="20"/>
        </w:rPr>
        <w:tab/>
      </w:r>
      <w:r w:rsidRPr="00A938F2">
        <w:rPr>
          <w:sz w:val="20"/>
          <w:szCs w:val="20"/>
        </w:rPr>
        <w:t>The Login Screen</w:t>
      </w:r>
    </w:p>
    <w:p w14:paraId="0DF057DA" w14:textId="3EAC3B23" w:rsidR="00C65649" w:rsidRDefault="00BF2E8E" w:rsidP="00D85CAA">
      <w:pPr>
        <w:jc w:val="center"/>
      </w:pPr>
      <w:r>
        <w:rPr>
          <w:noProof/>
        </w:rPr>
        <w:drawing>
          <wp:inline distT="0" distB="0" distL="0" distR="0" wp14:anchorId="56EA4080" wp14:editId="4380C239">
            <wp:extent cx="5936615" cy="371221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3712210"/>
                    </a:xfrm>
                    <a:prstGeom prst="rect">
                      <a:avLst/>
                    </a:prstGeom>
                    <a:noFill/>
                    <a:ln>
                      <a:noFill/>
                    </a:ln>
                  </pic:spPr>
                </pic:pic>
              </a:graphicData>
            </a:graphic>
          </wp:inline>
        </w:drawing>
      </w:r>
    </w:p>
    <w:p w14:paraId="5866EFC8" w14:textId="77777777" w:rsidR="00A938F2" w:rsidRDefault="00A938F2" w:rsidP="00A938F2">
      <w:pPr>
        <w:rPr>
          <w:sz w:val="22"/>
          <w:szCs w:val="22"/>
        </w:rPr>
      </w:pPr>
    </w:p>
    <w:p w14:paraId="00099E3B" w14:textId="77777777" w:rsidR="003F1ECC" w:rsidRDefault="003F1ECC" w:rsidP="00DB3113">
      <w:pPr>
        <w:rPr>
          <w:sz w:val="22"/>
          <w:szCs w:val="22"/>
        </w:rPr>
      </w:pPr>
      <w:r>
        <w:rPr>
          <w:sz w:val="22"/>
          <w:szCs w:val="22"/>
        </w:rPr>
        <w:t>Input the username and password provided to you when you purchased the product and after clicking “Login”, you will see the main desktop.</w:t>
      </w:r>
    </w:p>
    <w:p w14:paraId="0C07F75B" w14:textId="77777777" w:rsidR="00F85C77" w:rsidRDefault="00F85C77" w:rsidP="00DB3113">
      <w:pPr>
        <w:rPr>
          <w:sz w:val="22"/>
          <w:szCs w:val="22"/>
        </w:rPr>
      </w:pPr>
    </w:p>
    <w:p w14:paraId="28A92133" w14:textId="77777777" w:rsidR="003A708A" w:rsidRDefault="003A708A" w:rsidP="00DB3113">
      <w:pPr>
        <w:rPr>
          <w:sz w:val="22"/>
          <w:szCs w:val="22"/>
        </w:rPr>
      </w:pPr>
    </w:p>
    <w:p w14:paraId="7B6B5911" w14:textId="77777777" w:rsidR="003A708A" w:rsidRDefault="003A708A" w:rsidP="00DB3113">
      <w:pPr>
        <w:rPr>
          <w:sz w:val="22"/>
          <w:szCs w:val="22"/>
        </w:rPr>
      </w:pPr>
    </w:p>
    <w:p w14:paraId="6044CA00" w14:textId="77777777" w:rsidR="003A708A" w:rsidRDefault="003A708A" w:rsidP="00DB3113">
      <w:pPr>
        <w:rPr>
          <w:sz w:val="22"/>
          <w:szCs w:val="22"/>
        </w:rPr>
      </w:pPr>
      <w:r w:rsidRPr="003A708A">
        <w:rPr>
          <w:b/>
          <w:sz w:val="22"/>
          <w:szCs w:val="22"/>
        </w:rPr>
        <w:t>Figure 2.2</w:t>
      </w:r>
      <w:r w:rsidR="002C34C9">
        <w:rPr>
          <w:sz w:val="22"/>
          <w:szCs w:val="22"/>
        </w:rPr>
        <w:tab/>
      </w:r>
      <w:r>
        <w:rPr>
          <w:sz w:val="22"/>
          <w:szCs w:val="22"/>
        </w:rPr>
        <w:t>The Main Desktop</w:t>
      </w:r>
    </w:p>
    <w:p w14:paraId="4A064056" w14:textId="50C9BA7B" w:rsidR="003A708A" w:rsidRDefault="00BF2E8E" w:rsidP="003A708A">
      <w:pPr>
        <w:jc w:val="center"/>
        <w:rPr>
          <w:sz w:val="22"/>
          <w:szCs w:val="22"/>
        </w:rPr>
      </w:pPr>
      <w:r w:rsidRPr="00892610">
        <w:rPr>
          <w:noProof/>
          <w:sz w:val="22"/>
          <w:szCs w:val="22"/>
        </w:rPr>
        <w:drawing>
          <wp:inline distT="0" distB="0" distL="0" distR="0" wp14:anchorId="73B94D6E" wp14:editId="0B7C882C">
            <wp:extent cx="5936615" cy="3712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3712210"/>
                    </a:xfrm>
                    <a:prstGeom prst="rect">
                      <a:avLst/>
                    </a:prstGeom>
                    <a:noFill/>
                    <a:ln>
                      <a:noFill/>
                    </a:ln>
                  </pic:spPr>
                </pic:pic>
              </a:graphicData>
            </a:graphic>
          </wp:inline>
        </w:drawing>
      </w:r>
    </w:p>
    <w:p w14:paraId="6CDEF104" w14:textId="77777777" w:rsidR="00F85C77" w:rsidRDefault="00F85C77" w:rsidP="00DB3113">
      <w:pPr>
        <w:rPr>
          <w:sz w:val="22"/>
          <w:szCs w:val="22"/>
        </w:rPr>
      </w:pPr>
    </w:p>
    <w:p w14:paraId="3FD1151F" w14:textId="77777777" w:rsidR="003A708A" w:rsidRDefault="003A708A" w:rsidP="00DB3113">
      <w:pPr>
        <w:rPr>
          <w:sz w:val="22"/>
          <w:szCs w:val="22"/>
        </w:rPr>
      </w:pPr>
    </w:p>
    <w:p w14:paraId="53242B0A" w14:textId="77777777" w:rsidR="003F1ECC" w:rsidRDefault="003F1ECC" w:rsidP="00DB3113">
      <w:pPr>
        <w:rPr>
          <w:sz w:val="22"/>
          <w:szCs w:val="22"/>
        </w:rPr>
      </w:pPr>
    </w:p>
    <w:p w14:paraId="2D94043D" w14:textId="77777777" w:rsidR="00DB3113" w:rsidRDefault="008B5302" w:rsidP="00DB3113">
      <w:pPr>
        <w:rPr>
          <w:sz w:val="22"/>
          <w:szCs w:val="22"/>
        </w:rPr>
      </w:pPr>
      <w:r>
        <w:rPr>
          <w:sz w:val="22"/>
          <w:szCs w:val="22"/>
        </w:rPr>
        <w:t>Continue…</w:t>
      </w:r>
    </w:p>
    <w:p w14:paraId="22735754" w14:textId="77777777" w:rsidR="008B5302" w:rsidRDefault="008B5302" w:rsidP="00DB3113">
      <w:pPr>
        <w:rPr>
          <w:sz w:val="22"/>
          <w:szCs w:val="22"/>
        </w:rPr>
      </w:pPr>
    </w:p>
    <w:p w14:paraId="3DE9E9B6" w14:textId="77777777" w:rsidR="008B5302" w:rsidRDefault="008B5302" w:rsidP="00DB3113">
      <w:pPr>
        <w:rPr>
          <w:sz w:val="22"/>
          <w:szCs w:val="22"/>
        </w:rPr>
      </w:pPr>
    </w:p>
    <w:p w14:paraId="51B7CDCC" w14:textId="77777777" w:rsidR="008B5302" w:rsidRDefault="008B5302" w:rsidP="00DB3113">
      <w:pPr>
        <w:rPr>
          <w:sz w:val="22"/>
          <w:szCs w:val="22"/>
        </w:rPr>
      </w:pPr>
    </w:p>
    <w:p w14:paraId="135EED6B" w14:textId="77777777" w:rsidR="008B5302" w:rsidRDefault="008B5302" w:rsidP="00DB3113">
      <w:pPr>
        <w:rPr>
          <w:sz w:val="22"/>
          <w:szCs w:val="22"/>
        </w:rPr>
      </w:pPr>
    </w:p>
    <w:p w14:paraId="3BC6E156" w14:textId="77777777" w:rsidR="008B5302" w:rsidRDefault="008B5302" w:rsidP="00DB3113"/>
    <w:p w14:paraId="57BF7450" w14:textId="77777777" w:rsidR="003E06F2" w:rsidRDefault="003E06F2" w:rsidP="00DB3113"/>
    <w:p w14:paraId="66DDF342" w14:textId="77777777" w:rsidR="003E06F2" w:rsidRDefault="003E06F2" w:rsidP="00DB3113"/>
    <w:p w14:paraId="6BCA0EC7" w14:textId="77777777" w:rsidR="003E06F2" w:rsidRDefault="003E06F2" w:rsidP="00DB3113"/>
    <w:p w14:paraId="41A5E666" w14:textId="77777777" w:rsidR="003E06F2" w:rsidRDefault="003E06F2" w:rsidP="00DB3113"/>
    <w:p w14:paraId="1484A582" w14:textId="77777777" w:rsidR="003E06F2" w:rsidRDefault="003E06F2" w:rsidP="00DB3113"/>
    <w:p w14:paraId="3FCE2685" w14:textId="77777777" w:rsidR="003E06F2" w:rsidRDefault="003E06F2" w:rsidP="00DB3113"/>
    <w:p w14:paraId="62A8A24B" w14:textId="77777777" w:rsidR="003E06F2" w:rsidRDefault="003E06F2" w:rsidP="00DB3113"/>
    <w:p w14:paraId="7A66F940" w14:textId="77777777" w:rsidR="003E06F2" w:rsidRDefault="003E06F2" w:rsidP="00DB3113"/>
    <w:p w14:paraId="5B74FC91" w14:textId="77777777" w:rsidR="003E06F2" w:rsidRDefault="003E06F2" w:rsidP="00DB3113"/>
    <w:p w14:paraId="320A2B4E" w14:textId="77777777" w:rsidR="003E06F2" w:rsidRDefault="003E06F2" w:rsidP="00DB3113"/>
    <w:p w14:paraId="4B2C2700" w14:textId="77777777" w:rsidR="003E06F2" w:rsidRDefault="003E06F2" w:rsidP="00DB3113"/>
    <w:p w14:paraId="77E118C4" w14:textId="77777777" w:rsidR="002E6F2F" w:rsidRPr="00DC512E" w:rsidRDefault="00235F50" w:rsidP="002E6F2F">
      <w:pPr>
        <w:jc w:val="right"/>
        <w:rPr>
          <w:b/>
          <w:sz w:val="28"/>
          <w:szCs w:val="28"/>
        </w:rPr>
      </w:pPr>
      <w:r>
        <w:rPr>
          <w:sz w:val="72"/>
          <w:szCs w:val="72"/>
        </w:rPr>
        <w:lastRenderedPageBreak/>
        <w:t>3</w:t>
      </w:r>
    </w:p>
    <w:p w14:paraId="11801B61" w14:textId="77777777" w:rsidR="002E6F2F" w:rsidRDefault="002E6F2F" w:rsidP="002E6F2F"/>
    <w:p w14:paraId="7AA71B98" w14:textId="77777777" w:rsidR="002E6F2F" w:rsidRPr="00BB402B" w:rsidRDefault="002E6F2F" w:rsidP="002E6F2F">
      <w:pPr>
        <w:jc w:val="right"/>
        <w:rPr>
          <w:sz w:val="32"/>
          <w:szCs w:val="32"/>
        </w:rPr>
      </w:pPr>
      <w:r>
        <w:rPr>
          <w:sz w:val="32"/>
          <w:szCs w:val="32"/>
        </w:rPr>
        <w:t>The signal laboratory</w:t>
      </w:r>
    </w:p>
    <w:p w14:paraId="77DAA1BB" w14:textId="77777777" w:rsidR="002E6F2F" w:rsidRDefault="002E6F2F" w:rsidP="002E6F2F"/>
    <w:p w14:paraId="197B8B88" w14:textId="77777777" w:rsidR="002E6F2F" w:rsidRDefault="002E6F2F" w:rsidP="002E6F2F">
      <w:pPr>
        <w:jc w:val="both"/>
        <w:rPr>
          <w:sz w:val="22"/>
          <w:szCs w:val="22"/>
        </w:rPr>
      </w:pPr>
      <w:r w:rsidRPr="00086304">
        <w:rPr>
          <w:sz w:val="22"/>
          <w:szCs w:val="22"/>
        </w:rPr>
        <w:t>This</w:t>
      </w:r>
      <w:r w:rsidR="00ED68F3">
        <w:rPr>
          <w:sz w:val="22"/>
          <w:szCs w:val="22"/>
        </w:rPr>
        <w:t xml:space="preserve"> chapter explains the contents of the signal laboratory</w:t>
      </w:r>
      <w:r w:rsidR="0083099E">
        <w:rPr>
          <w:sz w:val="22"/>
          <w:szCs w:val="22"/>
        </w:rPr>
        <w:t>, details its components, and demonstrates a practice of “best usage” to allow ideal results for data processing and management for personal or public demonstrational requirements.</w:t>
      </w:r>
    </w:p>
    <w:p w14:paraId="33A498FA" w14:textId="77777777" w:rsidR="00070B34" w:rsidRDefault="00070B34" w:rsidP="002E6F2F">
      <w:pPr>
        <w:jc w:val="both"/>
        <w:rPr>
          <w:sz w:val="22"/>
          <w:szCs w:val="22"/>
        </w:rPr>
      </w:pPr>
    </w:p>
    <w:p w14:paraId="4C8D8DFB" w14:textId="77777777" w:rsidR="00070B34" w:rsidRPr="00141FFC" w:rsidRDefault="00070B34" w:rsidP="00070B34">
      <w:pPr>
        <w:pBdr>
          <w:bottom w:val="single" w:sz="6" w:space="1" w:color="auto"/>
        </w:pBdr>
        <w:rPr>
          <w:sz w:val="28"/>
          <w:szCs w:val="28"/>
        </w:rPr>
      </w:pPr>
      <w:r>
        <w:rPr>
          <w:sz w:val="28"/>
          <w:szCs w:val="28"/>
        </w:rPr>
        <w:t>Setting up the signal laboratory</w:t>
      </w:r>
    </w:p>
    <w:p w14:paraId="6D8CA3E2" w14:textId="77777777" w:rsidR="00070B34" w:rsidRDefault="00070B34" w:rsidP="00070B34"/>
    <w:p w14:paraId="4777FCCD" w14:textId="77777777" w:rsidR="002E6F2F" w:rsidRPr="00234BE6" w:rsidRDefault="00D40637" w:rsidP="00234BE6">
      <w:pPr>
        <w:jc w:val="both"/>
        <w:rPr>
          <w:sz w:val="22"/>
          <w:szCs w:val="22"/>
        </w:rPr>
      </w:pPr>
      <w:r>
        <w:rPr>
          <w:sz w:val="22"/>
          <w:szCs w:val="22"/>
        </w:rPr>
        <w:t xml:space="preserve">The signal laboratory provides a great deal of flexibility and power to allow ease of usage and to maximize your results. </w:t>
      </w:r>
      <w:r w:rsidR="00B65D0C">
        <w:rPr>
          <w:sz w:val="22"/>
          <w:szCs w:val="22"/>
        </w:rPr>
        <w:t xml:space="preserve">From the tutorial in Chapter 4, you have a sense of how the environment is designed to operate and how it can be customized for your own purposes. </w:t>
      </w:r>
    </w:p>
    <w:p w14:paraId="612A2D4C" w14:textId="77777777" w:rsidR="00F004C0" w:rsidRDefault="00F004C0" w:rsidP="00F004C0"/>
    <w:p w14:paraId="2A189ADF" w14:textId="77777777" w:rsidR="00F004C0" w:rsidRPr="00086304" w:rsidRDefault="00F004C0" w:rsidP="00F004C0">
      <w:pPr>
        <w:pBdr>
          <w:bottom w:val="single" w:sz="6" w:space="1" w:color="auto"/>
        </w:pBdr>
        <w:rPr>
          <w:sz w:val="28"/>
          <w:szCs w:val="28"/>
        </w:rPr>
      </w:pPr>
      <w:r>
        <w:rPr>
          <w:sz w:val="28"/>
          <w:szCs w:val="28"/>
        </w:rPr>
        <w:t>Getting to know your modules</w:t>
      </w:r>
    </w:p>
    <w:p w14:paraId="0CFA23D3" w14:textId="77777777" w:rsidR="00F004C0" w:rsidRDefault="00F004C0" w:rsidP="00F004C0"/>
    <w:p w14:paraId="733CFBB7" w14:textId="77777777" w:rsidR="00F004C0" w:rsidRDefault="00F004C0" w:rsidP="00F004C0">
      <w:pPr>
        <w:jc w:val="both"/>
        <w:rPr>
          <w:sz w:val="22"/>
          <w:szCs w:val="22"/>
        </w:rPr>
      </w:pPr>
      <w:r>
        <w:rPr>
          <w:sz w:val="22"/>
          <w:szCs w:val="22"/>
        </w:rPr>
        <w:t xml:space="preserve">The Model ‘F’ has been designed to be a modular, time-domain independent wireless energy and signaling device for rapid and efficient transmission and distribution of current to a multitude of objects. </w:t>
      </w:r>
      <w:r w:rsidR="00AD2E79">
        <w:rPr>
          <w:sz w:val="22"/>
          <w:szCs w:val="22"/>
        </w:rPr>
        <w:t xml:space="preserve">With this feature in mind, the Model ‘F’ contains (six) modules that can be arranged in such a way to provide a different set of behaviors available to the engineer. </w:t>
      </w:r>
      <w:r w:rsidR="00EC275F">
        <w:rPr>
          <w:sz w:val="22"/>
          <w:szCs w:val="22"/>
        </w:rPr>
        <w:t xml:space="preserve">The modules are organized by the mutual action between their components where each of the individual states set the other(s) into motion while at a distance from each other. </w:t>
      </w:r>
      <w:r w:rsidR="0031695D">
        <w:rPr>
          <w:sz w:val="22"/>
          <w:szCs w:val="22"/>
        </w:rPr>
        <w:t xml:space="preserve">For such a description, it is optimal the modules are grouped by those components designed to interact with each other most strongly, then more weakly. </w:t>
      </w:r>
      <w:r w:rsidR="00700749">
        <w:rPr>
          <w:sz w:val="22"/>
          <w:szCs w:val="22"/>
        </w:rPr>
        <w:t xml:space="preserve">For example, consider a </w:t>
      </w:r>
      <w:r w:rsidR="00536A1C">
        <w:rPr>
          <w:sz w:val="22"/>
          <w:szCs w:val="22"/>
        </w:rPr>
        <w:t xml:space="preserve">diagram of the components are their relation in the </w:t>
      </w:r>
      <w:r w:rsidR="00700749">
        <w:rPr>
          <w:sz w:val="22"/>
          <w:szCs w:val="22"/>
        </w:rPr>
        <w:t>signal laboratory, shown in Figure 1.</w:t>
      </w:r>
    </w:p>
    <w:p w14:paraId="05917FD0" w14:textId="77777777" w:rsidR="00700749" w:rsidRDefault="00700749" w:rsidP="00F004C0">
      <w:pPr>
        <w:jc w:val="both"/>
        <w:rPr>
          <w:sz w:val="22"/>
          <w:szCs w:val="22"/>
        </w:rPr>
      </w:pPr>
    </w:p>
    <w:p w14:paraId="39E10A6E" w14:textId="2E529B40" w:rsidR="00B72485" w:rsidRDefault="00BF2E8E" w:rsidP="00B72485">
      <w:pPr>
        <w:keepNext/>
        <w:jc w:val="center"/>
      </w:pPr>
      <w:r>
        <w:rPr>
          <w:noProof/>
          <w:sz w:val="22"/>
          <w:szCs w:val="22"/>
        </w:rPr>
        <w:drawing>
          <wp:inline distT="0" distB="0" distL="0" distR="0" wp14:anchorId="26DC7A7C" wp14:editId="0056580D">
            <wp:extent cx="2995930" cy="19856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5930" cy="1985645"/>
                    </a:xfrm>
                    <a:prstGeom prst="rect">
                      <a:avLst/>
                    </a:prstGeom>
                    <a:noFill/>
                    <a:ln>
                      <a:noFill/>
                    </a:ln>
                  </pic:spPr>
                </pic:pic>
              </a:graphicData>
            </a:graphic>
          </wp:inline>
        </w:drawing>
      </w:r>
    </w:p>
    <w:p w14:paraId="0959FCD3" w14:textId="77777777" w:rsidR="00700749" w:rsidRPr="00B72485" w:rsidRDefault="00B72485" w:rsidP="00B72485">
      <w:pPr>
        <w:pStyle w:val="Caption"/>
        <w:jc w:val="center"/>
        <w:rPr>
          <w:b w:val="0"/>
          <w:sz w:val="22"/>
          <w:szCs w:val="22"/>
        </w:rPr>
      </w:pPr>
      <w:r w:rsidRPr="00B72485">
        <w:rPr>
          <w:b w:val="0"/>
        </w:rPr>
        <w:t xml:space="preserve">Figure </w:t>
      </w:r>
      <w:r w:rsidRPr="00B72485">
        <w:rPr>
          <w:b w:val="0"/>
        </w:rPr>
        <w:fldChar w:fldCharType="begin"/>
      </w:r>
      <w:r w:rsidRPr="00B72485">
        <w:rPr>
          <w:b w:val="0"/>
        </w:rPr>
        <w:instrText xml:space="preserve"> SEQ Figure \* ARABIC </w:instrText>
      </w:r>
      <w:r w:rsidRPr="00B72485">
        <w:rPr>
          <w:b w:val="0"/>
        </w:rPr>
        <w:fldChar w:fldCharType="separate"/>
      </w:r>
      <w:r w:rsidR="00311A18">
        <w:rPr>
          <w:b w:val="0"/>
          <w:noProof/>
        </w:rPr>
        <w:t>1</w:t>
      </w:r>
      <w:r w:rsidRPr="00B72485">
        <w:rPr>
          <w:b w:val="0"/>
        </w:rPr>
        <w:fldChar w:fldCharType="end"/>
      </w:r>
      <w:r w:rsidRPr="00B72485">
        <w:rPr>
          <w:b w:val="0"/>
        </w:rPr>
        <w:t>: Signal laboratory modules</w:t>
      </w:r>
      <w:r w:rsidR="000C0485">
        <w:rPr>
          <w:b w:val="0"/>
        </w:rPr>
        <w:t>.</w:t>
      </w:r>
    </w:p>
    <w:p w14:paraId="5C44DC7A" w14:textId="77777777" w:rsidR="00700749" w:rsidRDefault="00700749" w:rsidP="00F004C0">
      <w:pPr>
        <w:jc w:val="both"/>
        <w:rPr>
          <w:sz w:val="22"/>
          <w:szCs w:val="22"/>
        </w:rPr>
      </w:pPr>
    </w:p>
    <w:p w14:paraId="58CB2C81" w14:textId="77777777" w:rsidR="00D63DD5" w:rsidRDefault="00D63DD5" w:rsidP="00F004C0">
      <w:pPr>
        <w:jc w:val="both"/>
        <w:rPr>
          <w:sz w:val="22"/>
          <w:szCs w:val="22"/>
        </w:rPr>
      </w:pPr>
      <w:r>
        <w:rPr>
          <w:sz w:val="22"/>
          <w:szCs w:val="22"/>
        </w:rPr>
        <w:t xml:space="preserve">The signal laboratory modules, shown in Figure 1, are put together in various configurations to allow the experimenter to send electrical currents via magnetic resonance at a sensible distance. The sensibility is determined by the intentions of the particular experiment. </w:t>
      </w:r>
      <w:r w:rsidR="00CE1C8C">
        <w:rPr>
          <w:sz w:val="22"/>
          <w:szCs w:val="22"/>
        </w:rPr>
        <w:t xml:space="preserve">For example, </w:t>
      </w:r>
      <w:r w:rsidR="00EE7C91">
        <w:rPr>
          <w:sz w:val="22"/>
          <w:szCs w:val="22"/>
        </w:rPr>
        <w:t xml:space="preserve">by using components </w:t>
      </w:r>
      <w:r w:rsidR="00EE7C91" w:rsidRPr="00EE7C91">
        <w:rPr>
          <w:b/>
          <w:sz w:val="22"/>
          <w:szCs w:val="22"/>
        </w:rPr>
        <w:t>A</w:t>
      </w:r>
      <w:r w:rsidR="00EE7C91">
        <w:rPr>
          <w:sz w:val="22"/>
          <w:szCs w:val="22"/>
        </w:rPr>
        <w:t xml:space="preserve"> and </w:t>
      </w:r>
      <w:r w:rsidR="00EE7C91" w:rsidRPr="00EE7C91">
        <w:rPr>
          <w:b/>
          <w:sz w:val="22"/>
          <w:szCs w:val="22"/>
        </w:rPr>
        <w:t>B</w:t>
      </w:r>
      <w:r w:rsidR="00EE7C91">
        <w:rPr>
          <w:sz w:val="22"/>
          <w:szCs w:val="22"/>
        </w:rPr>
        <w:t xml:space="preserve"> and applying a sinusoidal signal, of a frequency given the parameters of both </w:t>
      </w:r>
      <w:r w:rsidR="00EE7C91" w:rsidRPr="00EE7C91">
        <w:rPr>
          <w:b/>
          <w:sz w:val="22"/>
          <w:szCs w:val="22"/>
        </w:rPr>
        <w:t>A</w:t>
      </w:r>
      <w:r w:rsidR="00EE7C91">
        <w:rPr>
          <w:sz w:val="22"/>
          <w:szCs w:val="22"/>
        </w:rPr>
        <w:t xml:space="preserve"> and </w:t>
      </w:r>
      <w:r w:rsidR="00EE7C91" w:rsidRPr="00EE7C91">
        <w:rPr>
          <w:b/>
          <w:sz w:val="22"/>
          <w:szCs w:val="22"/>
        </w:rPr>
        <w:t>B</w:t>
      </w:r>
      <w:r w:rsidR="00EE7C91">
        <w:rPr>
          <w:sz w:val="22"/>
          <w:szCs w:val="22"/>
        </w:rPr>
        <w:t xml:space="preserve">, will allow the signal to be transmitted using a zero-order magnetic field from </w:t>
      </w:r>
      <w:r w:rsidR="00EE7C91" w:rsidRPr="00EE7C91">
        <w:rPr>
          <w:b/>
          <w:sz w:val="22"/>
          <w:szCs w:val="22"/>
        </w:rPr>
        <w:t>A</w:t>
      </w:r>
      <w:r w:rsidR="00EE7C91">
        <w:rPr>
          <w:sz w:val="22"/>
          <w:szCs w:val="22"/>
        </w:rPr>
        <w:t xml:space="preserve"> to </w:t>
      </w:r>
      <w:r w:rsidR="00EE7C91" w:rsidRPr="00EE7C91">
        <w:rPr>
          <w:b/>
          <w:sz w:val="22"/>
          <w:szCs w:val="22"/>
        </w:rPr>
        <w:t>B</w:t>
      </w:r>
      <w:r w:rsidR="00EE7C91">
        <w:rPr>
          <w:sz w:val="22"/>
          <w:szCs w:val="22"/>
        </w:rPr>
        <w:t>, set at a distance from each other.</w:t>
      </w:r>
      <w:r w:rsidR="005F3DC0">
        <w:rPr>
          <w:sz w:val="22"/>
          <w:szCs w:val="22"/>
        </w:rPr>
        <w:t xml:space="preserve"> The distance, thought not expressly quantified in the equations (see §</w:t>
      </w:r>
      <w:r w:rsidR="00FF5D81">
        <w:rPr>
          <w:sz w:val="22"/>
          <w:szCs w:val="22"/>
        </w:rPr>
        <w:t>5</w:t>
      </w:r>
      <w:r w:rsidR="005F3DC0">
        <w:rPr>
          <w:sz w:val="22"/>
          <w:szCs w:val="22"/>
        </w:rPr>
        <w:t xml:space="preserve">), is dependent upon the size of </w:t>
      </w:r>
      <w:r w:rsidR="005F3DC0" w:rsidRPr="005F3DC0">
        <w:rPr>
          <w:b/>
          <w:sz w:val="22"/>
          <w:szCs w:val="22"/>
        </w:rPr>
        <w:t>A</w:t>
      </w:r>
      <w:r w:rsidR="005F3DC0">
        <w:rPr>
          <w:sz w:val="22"/>
          <w:szCs w:val="22"/>
        </w:rPr>
        <w:t xml:space="preserve"> </w:t>
      </w:r>
      <w:r w:rsidR="005F3DC0">
        <w:rPr>
          <w:sz w:val="22"/>
          <w:szCs w:val="22"/>
        </w:rPr>
        <w:lastRenderedPageBreak/>
        <w:t xml:space="preserve">and </w:t>
      </w:r>
      <w:r w:rsidR="005F3DC0" w:rsidRPr="005F3DC0">
        <w:rPr>
          <w:b/>
          <w:sz w:val="22"/>
          <w:szCs w:val="22"/>
        </w:rPr>
        <w:t>B</w:t>
      </w:r>
      <w:r w:rsidR="005F3DC0">
        <w:rPr>
          <w:sz w:val="22"/>
          <w:szCs w:val="22"/>
        </w:rPr>
        <w:t xml:space="preserve"> given the kit that has been purchased. In a kit where the radius of the secondary coil of </w:t>
      </w:r>
      <w:r w:rsidR="005F3DC0" w:rsidRPr="005F3DC0">
        <w:rPr>
          <w:b/>
          <w:sz w:val="22"/>
          <w:szCs w:val="22"/>
        </w:rPr>
        <w:t>A</w:t>
      </w:r>
      <w:r w:rsidR="005F3DC0">
        <w:rPr>
          <w:sz w:val="22"/>
          <w:szCs w:val="22"/>
        </w:rPr>
        <w:t xml:space="preserve"> and </w:t>
      </w:r>
      <w:r w:rsidR="005F3DC0" w:rsidRPr="005F3DC0">
        <w:rPr>
          <w:b/>
          <w:sz w:val="22"/>
          <w:szCs w:val="22"/>
        </w:rPr>
        <w:t>B</w:t>
      </w:r>
      <w:r w:rsidR="005F3DC0">
        <w:rPr>
          <w:sz w:val="22"/>
          <w:szCs w:val="22"/>
        </w:rPr>
        <w:t xml:space="preserve"> is 5 cm, the maximum extent should be no more than 2 meters. </w:t>
      </w:r>
    </w:p>
    <w:p w14:paraId="05773831" w14:textId="77777777" w:rsidR="00D63DD5" w:rsidRDefault="00D63DD5" w:rsidP="00F004C0">
      <w:pPr>
        <w:jc w:val="both"/>
        <w:rPr>
          <w:sz w:val="22"/>
          <w:szCs w:val="22"/>
        </w:rPr>
      </w:pPr>
    </w:p>
    <w:p w14:paraId="49B375C9" w14:textId="77777777" w:rsidR="00700749" w:rsidRDefault="00536A1C" w:rsidP="00F004C0">
      <w:pPr>
        <w:jc w:val="both"/>
        <w:rPr>
          <w:sz w:val="22"/>
          <w:szCs w:val="22"/>
        </w:rPr>
      </w:pPr>
      <w:r>
        <w:rPr>
          <w:sz w:val="22"/>
          <w:szCs w:val="22"/>
        </w:rPr>
        <w:t xml:space="preserve">The component </w:t>
      </w:r>
      <w:r w:rsidRPr="0089654D">
        <w:rPr>
          <w:b/>
          <w:sz w:val="22"/>
          <w:szCs w:val="22"/>
        </w:rPr>
        <w:t>A</w:t>
      </w:r>
      <w:r>
        <w:rPr>
          <w:sz w:val="22"/>
          <w:szCs w:val="22"/>
        </w:rPr>
        <w:t xml:space="preserve"> is the transmitter element while the component </w:t>
      </w:r>
      <w:r w:rsidRPr="0089654D">
        <w:rPr>
          <w:b/>
          <w:sz w:val="22"/>
          <w:szCs w:val="22"/>
        </w:rPr>
        <w:t>B</w:t>
      </w:r>
      <w:r>
        <w:rPr>
          <w:sz w:val="22"/>
          <w:szCs w:val="22"/>
        </w:rPr>
        <w:t xml:space="preserve"> is the receiver element.</w:t>
      </w:r>
      <w:r w:rsidR="0089654D">
        <w:rPr>
          <w:sz w:val="22"/>
          <w:szCs w:val="22"/>
        </w:rPr>
        <w:t xml:space="preserve"> Both elements </w:t>
      </w:r>
      <w:r w:rsidR="0089654D" w:rsidRPr="0089654D">
        <w:rPr>
          <w:b/>
          <w:sz w:val="22"/>
          <w:szCs w:val="22"/>
        </w:rPr>
        <w:t>A</w:t>
      </w:r>
      <w:r w:rsidR="0089654D">
        <w:rPr>
          <w:sz w:val="22"/>
          <w:szCs w:val="22"/>
        </w:rPr>
        <w:t xml:space="preserve"> and </w:t>
      </w:r>
      <w:r w:rsidR="0089654D" w:rsidRPr="0089654D">
        <w:rPr>
          <w:b/>
          <w:sz w:val="22"/>
          <w:szCs w:val="22"/>
        </w:rPr>
        <w:t>B</w:t>
      </w:r>
      <w:r w:rsidR="0089654D">
        <w:rPr>
          <w:sz w:val="22"/>
          <w:szCs w:val="22"/>
        </w:rPr>
        <w:t xml:space="preserve"> are comprised similarly, that is, of the same wire type, wire thickness, wire length and winding style, however, the winding style of element </w:t>
      </w:r>
      <w:r w:rsidR="0089654D" w:rsidRPr="0089654D">
        <w:rPr>
          <w:b/>
          <w:sz w:val="22"/>
          <w:szCs w:val="22"/>
        </w:rPr>
        <w:t>B</w:t>
      </w:r>
      <w:r w:rsidR="0089654D">
        <w:rPr>
          <w:sz w:val="22"/>
          <w:szCs w:val="22"/>
        </w:rPr>
        <w:t xml:space="preserve"> is opposite of </w:t>
      </w:r>
      <w:r w:rsidR="0089654D" w:rsidRPr="0089654D">
        <w:rPr>
          <w:b/>
          <w:sz w:val="22"/>
          <w:szCs w:val="22"/>
        </w:rPr>
        <w:t>A</w:t>
      </w:r>
      <w:r w:rsidR="0089654D">
        <w:rPr>
          <w:sz w:val="22"/>
          <w:szCs w:val="22"/>
        </w:rPr>
        <w:t xml:space="preserve">. This is the reason for the difference of color between the two elements. The same property applies to element </w:t>
      </w:r>
      <w:r w:rsidR="0089654D" w:rsidRPr="0089654D">
        <w:rPr>
          <w:b/>
          <w:sz w:val="22"/>
          <w:szCs w:val="22"/>
        </w:rPr>
        <w:t>I</w:t>
      </w:r>
      <w:r w:rsidR="0089654D">
        <w:rPr>
          <w:sz w:val="22"/>
          <w:szCs w:val="22"/>
        </w:rPr>
        <w:t xml:space="preserve">; given its similarity to </w:t>
      </w:r>
      <w:r w:rsidR="0089654D" w:rsidRPr="0089654D">
        <w:rPr>
          <w:b/>
          <w:sz w:val="22"/>
          <w:szCs w:val="22"/>
        </w:rPr>
        <w:t>E</w:t>
      </w:r>
      <w:r w:rsidR="0089654D">
        <w:rPr>
          <w:sz w:val="22"/>
          <w:szCs w:val="22"/>
        </w:rPr>
        <w:t xml:space="preserve"> in wire type, wire thickness, wire length and winding style, however, the winding style of element </w:t>
      </w:r>
      <w:r w:rsidR="0089654D">
        <w:rPr>
          <w:b/>
          <w:sz w:val="22"/>
          <w:szCs w:val="22"/>
        </w:rPr>
        <w:t>I</w:t>
      </w:r>
      <w:r w:rsidR="0089654D">
        <w:rPr>
          <w:sz w:val="22"/>
          <w:szCs w:val="22"/>
        </w:rPr>
        <w:t xml:space="preserve"> is opposite of </w:t>
      </w:r>
      <w:r w:rsidR="0089654D">
        <w:rPr>
          <w:b/>
          <w:sz w:val="22"/>
          <w:szCs w:val="22"/>
        </w:rPr>
        <w:t>E</w:t>
      </w:r>
      <w:r w:rsidR="0089654D">
        <w:rPr>
          <w:sz w:val="22"/>
          <w:szCs w:val="22"/>
        </w:rPr>
        <w:t xml:space="preserve">. </w:t>
      </w:r>
      <w:r w:rsidR="001B26B5">
        <w:rPr>
          <w:sz w:val="22"/>
          <w:szCs w:val="22"/>
        </w:rPr>
        <w:t xml:space="preserve">Elements </w:t>
      </w:r>
      <w:r w:rsidR="001B26B5" w:rsidRPr="001B26B5">
        <w:rPr>
          <w:b/>
          <w:sz w:val="22"/>
          <w:szCs w:val="22"/>
        </w:rPr>
        <w:t>G</w:t>
      </w:r>
      <w:r w:rsidR="001B26B5">
        <w:rPr>
          <w:sz w:val="22"/>
          <w:szCs w:val="22"/>
        </w:rPr>
        <w:t xml:space="preserve"> and </w:t>
      </w:r>
      <w:r w:rsidR="001B26B5" w:rsidRPr="001B26B5">
        <w:rPr>
          <w:b/>
          <w:sz w:val="22"/>
          <w:szCs w:val="22"/>
        </w:rPr>
        <w:t>H</w:t>
      </w:r>
      <w:r w:rsidR="001B26B5">
        <w:rPr>
          <w:sz w:val="22"/>
          <w:szCs w:val="22"/>
        </w:rPr>
        <w:t xml:space="preserve">, while having the same wire type and wire thickness of elements </w:t>
      </w:r>
      <w:r w:rsidR="001B26B5" w:rsidRPr="001B26B5">
        <w:rPr>
          <w:b/>
          <w:sz w:val="22"/>
          <w:szCs w:val="22"/>
        </w:rPr>
        <w:t>C</w:t>
      </w:r>
      <w:r w:rsidR="001B26B5">
        <w:rPr>
          <w:sz w:val="22"/>
          <w:szCs w:val="22"/>
        </w:rPr>
        <w:t xml:space="preserve"> and </w:t>
      </w:r>
      <w:r w:rsidR="001B26B5" w:rsidRPr="001B26B5">
        <w:rPr>
          <w:b/>
          <w:sz w:val="22"/>
          <w:szCs w:val="22"/>
        </w:rPr>
        <w:t>D</w:t>
      </w:r>
      <w:r w:rsidR="001B26B5">
        <w:rPr>
          <w:sz w:val="22"/>
          <w:szCs w:val="22"/>
        </w:rPr>
        <w:t>, have a different wire length and winding style.</w:t>
      </w:r>
      <w:r w:rsidR="00181B12">
        <w:rPr>
          <w:sz w:val="22"/>
          <w:szCs w:val="22"/>
        </w:rPr>
        <w:t xml:space="preserve"> Element </w:t>
      </w:r>
      <w:r w:rsidR="00181B12" w:rsidRPr="00181B12">
        <w:rPr>
          <w:b/>
          <w:sz w:val="22"/>
          <w:szCs w:val="22"/>
        </w:rPr>
        <w:t>K</w:t>
      </w:r>
      <w:r w:rsidR="00181B12">
        <w:rPr>
          <w:sz w:val="22"/>
          <w:szCs w:val="22"/>
        </w:rPr>
        <w:t xml:space="preserve">, while sharing the same wire type, wire thickness and wire length of </w:t>
      </w:r>
      <w:r w:rsidR="00181B12" w:rsidRPr="00181B12">
        <w:rPr>
          <w:b/>
          <w:sz w:val="22"/>
          <w:szCs w:val="22"/>
        </w:rPr>
        <w:t>C</w:t>
      </w:r>
      <w:r w:rsidR="00181B12">
        <w:rPr>
          <w:sz w:val="22"/>
          <w:szCs w:val="22"/>
        </w:rPr>
        <w:t>, has a different winding style.</w:t>
      </w:r>
      <w:r w:rsidR="00EF53CD">
        <w:rPr>
          <w:sz w:val="22"/>
          <w:szCs w:val="22"/>
        </w:rPr>
        <w:t xml:space="preserve"> Elements </w:t>
      </w:r>
      <w:r w:rsidR="00EF53CD" w:rsidRPr="00EF53CD">
        <w:rPr>
          <w:b/>
          <w:sz w:val="22"/>
          <w:szCs w:val="22"/>
        </w:rPr>
        <w:t>D</w:t>
      </w:r>
      <w:r w:rsidR="00EF53CD">
        <w:rPr>
          <w:sz w:val="22"/>
          <w:szCs w:val="22"/>
        </w:rPr>
        <w:t xml:space="preserve"> and </w:t>
      </w:r>
      <w:r w:rsidR="00EF53CD" w:rsidRPr="00EF53CD">
        <w:rPr>
          <w:b/>
          <w:sz w:val="22"/>
          <w:szCs w:val="22"/>
        </w:rPr>
        <w:t>H</w:t>
      </w:r>
      <w:r w:rsidR="00EF53CD">
        <w:rPr>
          <w:sz w:val="22"/>
          <w:szCs w:val="22"/>
        </w:rPr>
        <w:t xml:space="preserve"> are blank, that is, absent of any wire or conductor surfaces.</w:t>
      </w:r>
    </w:p>
    <w:p w14:paraId="04BA6C86" w14:textId="77777777" w:rsidR="001B26B5" w:rsidRDefault="001B26B5" w:rsidP="00F004C0">
      <w:pPr>
        <w:jc w:val="both"/>
        <w:rPr>
          <w:sz w:val="22"/>
          <w:szCs w:val="22"/>
        </w:rPr>
      </w:pPr>
    </w:p>
    <w:p w14:paraId="7EE2159C" w14:textId="77777777" w:rsidR="001B26B5" w:rsidRPr="0089654D" w:rsidRDefault="001B26B5" w:rsidP="00F004C0">
      <w:pPr>
        <w:jc w:val="both"/>
        <w:rPr>
          <w:sz w:val="22"/>
          <w:szCs w:val="22"/>
        </w:rPr>
      </w:pPr>
    </w:p>
    <w:p w14:paraId="42640612" w14:textId="77777777" w:rsidR="00F004C0" w:rsidRDefault="00F004C0" w:rsidP="00E17CA9"/>
    <w:p w14:paraId="1249B8E2" w14:textId="77777777" w:rsidR="00F004C0" w:rsidRDefault="00F004C0" w:rsidP="00E17CA9"/>
    <w:p w14:paraId="31466F7F" w14:textId="77777777" w:rsidR="00F004C0" w:rsidRDefault="00F004C0" w:rsidP="00E17CA9"/>
    <w:p w14:paraId="76303A38" w14:textId="77777777" w:rsidR="00DA6651" w:rsidRDefault="00DA6651" w:rsidP="00E17CA9"/>
    <w:p w14:paraId="33366371" w14:textId="77777777" w:rsidR="00DA6651" w:rsidRDefault="00DA6651" w:rsidP="00E17CA9"/>
    <w:p w14:paraId="4891AB82" w14:textId="77777777" w:rsidR="00DA6651" w:rsidRDefault="00DA6651" w:rsidP="00E17CA9"/>
    <w:p w14:paraId="176D82AE" w14:textId="77777777" w:rsidR="00DA6651" w:rsidRDefault="00DA6651" w:rsidP="00E17CA9"/>
    <w:p w14:paraId="5F3B08A1" w14:textId="77777777" w:rsidR="00DA6651" w:rsidRDefault="00DA6651" w:rsidP="00E17CA9"/>
    <w:p w14:paraId="76C6E3E6" w14:textId="77777777" w:rsidR="00DA6651" w:rsidRDefault="00DA6651" w:rsidP="00E17CA9"/>
    <w:p w14:paraId="4721DF79" w14:textId="77777777" w:rsidR="00DA6651" w:rsidRDefault="00DA6651" w:rsidP="00E17CA9"/>
    <w:p w14:paraId="7986F49A" w14:textId="77777777" w:rsidR="00DA6651" w:rsidRDefault="00DA6651" w:rsidP="00E17CA9"/>
    <w:p w14:paraId="4962BB5F" w14:textId="77777777" w:rsidR="00DA6651" w:rsidRDefault="00DA6651" w:rsidP="00E17CA9"/>
    <w:p w14:paraId="6BBAF610" w14:textId="77777777" w:rsidR="00DA6651" w:rsidRDefault="00DA6651" w:rsidP="00E17CA9"/>
    <w:p w14:paraId="7E7EB9BF" w14:textId="77777777" w:rsidR="00DA6651" w:rsidRDefault="00DA6651" w:rsidP="00E17CA9"/>
    <w:p w14:paraId="5EA8D0FE" w14:textId="77777777" w:rsidR="00DA6651" w:rsidRDefault="00DA6651" w:rsidP="00E17CA9"/>
    <w:p w14:paraId="0D667CD0" w14:textId="77777777" w:rsidR="00DA6651" w:rsidRDefault="00DA6651" w:rsidP="00E17CA9"/>
    <w:p w14:paraId="2FCEF78D" w14:textId="77777777" w:rsidR="00DA6651" w:rsidRDefault="00DA6651" w:rsidP="00E17CA9"/>
    <w:p w14:paraId="31FBBAB5" w14:textId="77777777" w:rsidR="00DA6651" w:rsidRDefault="00DA6651" w:rsidP="00E17CA9"/>
    <w:p w14:paraId="21368D78" w14:textId="77777777" w:rsidR="00DA6651" w:rsidRDefault="00DA6651" w:rsidP="00E17CA9"/>
    <w:p w14:paraId="44DDF4A8" w14:textId="77777777" w:rsidR="00DA6651" w:rsidRDefault="00DA6651" w:rsidP="00E17CA9"/>
    <w:p w14:paraId="11FFB67D" w14:textId="77777777" w:rsidR="00DA6651" w:rsidRDefault="00DA6651" w:rsidP="00E17CA9"/>
    <w:p w14:paraId="1A088AA4" w14:textId="77777777" w:rsidR="00DA6651" w:rsidRDefault="00DA6651" w:rsidP="00E17CA9"/>
    <w:p w14:paraId="54BB7604" w14:textId="77777777" w:rsidR="00DA6651" w:rsidRDefault="00DA6651" w:rsidP="00E17CA9"/>
    <w:p w14:paraId="36AB5963" w14:textId="77777777" w:rsidR="00DA6651" w:rsidRDefault="00DA6651" w:rsidP="00E17CA9"/>
    <w:p w14:paraId="6690EDF3" w14:textId="77777777" w:rsidR="00DA6651" w:rsidRDefault="00DA6651" w:rsidP="00E17CA9"/>
    <w:p w14:paraId="61056BF3" w14:textId="77777777" w:rsidR="00DA6651" w:rsidRDefault="00DA6651" w:rsidP="00E17CA9"/>
    <w:p w14:paraId="280B3FF7" w14:textId="77777777" w:rsidR="00DA6651" w:rsidRDefault="00DA6651" w:rsidP="00E17CA9"/>
    <w:p w14:paraId="52A1B5C7" w14:textId="77777777" w:rsidR="00DA6651" w:rsidRDefault="00DA6651" w:rsidP="00E17CA9"/>
    <w:p w14:paraId="20C78556" w14:textId="77777777" w:rsidR="00DA6651" w:rsidRDefault="00DA6651" w:rsidP="00E17CA9"/>
    <w:p w14:paraId="2152F941" w14:textId="77777777" w:rsidR="00DA6651" w:rsidRDefault="00DA6651" w:rsidP="00E17CA9"/>
    <w:p w14:paraId="0730F142" w14:textId="77777777" w:rsidR="00DA6651" w:rsidRDefault="00DA6651" w:rsidP="00E17CA9"/>
    <w:p w14:paraId="7BA41EC1" w14:textId="77777777" w:rsidR="00DA6651" w:rsidRDefault="00DA6651" w:rsidP="00E17CA9"/>
    <w:p w14:paraId="623CD1A4" w14:textId="77777777" w:rsidR="00DA6651" w:rsidRDefault="00DA6651" w:rsidP="00E17CA9"/>
    <w:p w14:paraId="52436069" w14:textId="77777777" w:rsidR="00DA6651" w:rsidRDefault="00DA6651" w:rsidP="00E17CA9"/>
    <w:p w14:paraId="7DD68232" w14:textId="77777777" w:rsidR="00235F50" w:rsidRPr="00C81E81" w:rsidRDefault="00235F50" w:rsidP="00235F50">
      <w:pPr>
        <w:jc w:val="right"/>
        <w:rPr>
          <w:sz w:val="72"/>
          <w:szCs w:val="72"/>
        </w:rPr>
      </w:pPr>
      <w:r>
        <w:rPr>
          <w:sz w:val="72"/>
          <w:szCs w:val="72"/>
        </w:rPr>
        <w:lastRenderedPageBreak/>
        <w:t>4</w:t>
      </w:r>
    </w:p>
    <w:p w14:paraId="294DA124" w14:textId="77777777" w:rsidR="00235F50" w:rsidRDefault="00235F50" w:rsidP="00235F50">
      <w:pPr>
        <w:jc w:val="right"/>
      </w:pPr>
    </w:p>
    <w:p w14:paraId="222BA7FD" w14:textId="77777777" w:rsidR="00235F50" w:rsidRPr="00FA4A71" w:rsidRDefault="00235F50" w:rsidP="00235F50">
      <w:pPr>
        <w:jc w:val="right"/>
        <w:rPr>
          <w:sz w:val="32"/>
          <w:szCs w:val="32"/>
        </w:rPr>
      </w:pPr>
      <w:r>
        <w:rPr>
          <w:sz w:val="32"/>
          <w:szCs w:val="32"/>
        </w:rPr>
        <w:t>Transmitting with ‘F’</w:t>
      </w:r>
    </w:p>
    <w:p w14:paraId="7FD85A71" w14:textId="77777777" w:rsidR="00235F50" w:rsidRDefault="00235F50" w:rsidP="00235F50"/>
    <w:p w14:paraId="2A129079" w14:textId="77777777" w:rsidR="00235F50" w:rsidRPr="00141FFC" w:rsidRDefault="00235F50" w:rsidP="00235F50">
      <w:pPr>
        <w:jc w:val="both"/>
        <w:rPr>
          <w:sz w:val="22"/>
          <w:szCs w:val="22"/>
        </w:rPr>
      </w:pPr>
      <w:r w:rsidRPr="00141FFC">
        <w:rPr>
          <w:sz w:val="22"/>
          <w:szCs w:val="22"/>
        </w:rPr>
        <w:t xml:space="preserve">This chapter explains how to start </w:t>
      </w:r>
      <w:r>
        <w:rPr>
          <w:sz w:val="22"/>
          <w:szCs w:val="22"/>
        </w:rPr>
        <w:t>transmitting</w:t>
      </w:r>
      <w:r w:rsidRPr="00141FFC">
        <w:rPr>
          <w:sz w:val="22"/>
          <w:szCs w:val="22"/>
        </w:rPr>
        <w:t xml:space="preserve"> and gives </w:t>
      </w:r>
      <w:r>
        <w:rPr>
          <w:sz w:val="22"/>
          <w:szCs w:val="22"/>
        </w:rPr>
        <w:t>y</w:t>
      </w:r>
      <w:r w:rsidRPr="00141FFC">
        <w:rPr>
          <w:sz w:val="22"/>
          <w:szCs w:val="22"/>
        </w:rPr>
        <w:t xml:space="preserve">ou a quick tour of the main </w:t>
      </w:r>
      <w:r>
        <w:rPr>
          <w:sz w:val="22"/>
          <w:szCs w:val="22"/>
        </w:rPr>
        <w:t>components</w:t>
      </w:r>
      <w:r w:rsidRPr="00141FFC">
        <w:rPr>
          <w:sz w:val="22"/>
          <w:szCs w:val="22"/>
        </w:rPr>
        <w:t xml:space="preserve"> and tools of the </w:t>
      </w:r>
      <w:r>
        <w:rPr>
          <w:sz w:val="22"/>
          <w:szCs w:val="22"/>
        </w:rPr>
        <w:t>apparatus</w:t>
      </w:r>
      <w:r w:rsidRPr="00141FFC">
        <w:rPr>
          <w:sz w:val="22"/>
          <w:szCs w:val="22"/>
        </w:rPr>
        <w:t xml:space="preserve">, or </w:t>
      </w:r>
      <w:r>
        <w:rPr>
          <w:sz w:val="22"/>
          <w:szCs w:val="22"/>
        </w:rPr>
        <w:t>signaling</w:t>
      </w:r>
      <w:r w:rsidRPr="00141FFC">
        <w:rPr>
          <w:sz w:val="22"/>
          <w:szCs w:val="22"/>
        </w:rPr>
        <w:t xml:space="preserve"> </w:t>
      </w:r>
      <w:r>
        <w:rPr>
          <w:sz w:val="22"/>
          <w:szCs w:val="22"/>
        </w:rPr>
        <w:t>development environment (S</w:t>
      </w:r>
      <w:r w:rsidRPr="00141FFC">
        <w:rPr>
          <w:sz w:val="22"/>
          <w:szCs w:val="22"/>
        </w:rPr>
        <w:t>DE).</w:t>
      </w:r>
      <w:r>
        <w:rPr>
          <w:sz w:val="22"/>
          <w:szCs w:val="22"/>
        </w:rPr>
        <w:t xml:space="preserve"> This chapter will also detail some of the physics and some data display. For this, a computational environment is required such as Matlab or Scilab. The former requires a purchased licence while the latter is freely available for use. Both are reasonably the same—that is, use a similar C-compiler—and interface in approximately the same manner. </w:t>
      </w:r>
    </w:p>
    <w:p w14:paraId="253D2955" w14:textId="77777777" w:rsidR="00235F50" w:rsidRDefault="00235F50" w:rsidP="00235F50"/>
    <w:p w14:paraId="36675E46" w14:textId="77777777" w:rsidR="00235F50" w:rsidRPr="00141FFC" w:rsidRDefault="00235F50" w:rsidP="00235F50">
      <w:pPr>
        <w:pBdr>
          <w:bottom w:val="single" w:sz="6" w:space="1" w:color="auto"/>
        </w:pBdr>
        <w:rPr>
          <w:sz w:val="28"/>
          <w:szCs w:val="28"/>
        </w:rPr>
      </w:pPr>
      <w:r>
        <w:rPr>
          <w:sz w:val="28"/>
          <w:szCs w:val="28"/>
        </w:rPr>
        <w:t>Setting up a transmission environment using test equipment</w:t>
      </w:r>
    </w:p>
    <w:p w14:paraId="36986657" w14:textId="77777777" w:rsidR="00235F50" w:rsidRDefault="00235F50" w:rsidP="00235F50"/>
    <w:p w14:paraId="0F9AF951" w14:textId="77777777" w:rsidR="00235F50" w:rsidRDefault="00235F50" w:rsidP="00235F50">
      <w:pPr>
        <w:jc w:val="both"/>
        <w:rPr>
          <w:sz w:val="22"/>
          <w:szCs w:val="22"/>
        </w:rPr>
      </w:pPr>
      <w:r>
        <w:rPr>
          <w:sz w:val="22"/>
          <w:szCs w:val="22"/>
        </w:rPr>
        <w:t>If using test equipment to provide input to the transmission environment, there is an optimal arrangement to do this. In order to properly set up such an ideal transmission environment of this type, you will need to make yourself aware of the particular components and ancillary equipment required. The most convenient method is to collect what is required. Familiarize yourself with the portable kit, it contains all that is needed.</w:t>
      </w:r>
    </w:p>
    <w:p w14:paraId="475B4682" w14:textId="77777777" w:rsidR="00235F50" w:rsidRDefault="00235F50" w:rsidP="00235F50">
      <w:pPr>
        <w:rPr>
          <w:sz w:val="22"/>
          <w:szCs w:val="22"/>
        </w:rPr>
      </w:pPr>
    </w:p>
    <w:p w14:paraId="13ACB7E8" w14:textId="77777777" w:rsidR="00235F50" w:rsidRPr="00920390" w:rsidRDefault="00235F50" w:rsidP="00235F50">
      <w:pPr>
        <w:numPr>
          <w:ilvl w:val="0"/>
          <w:numId w:val="1"/>
        </w:numPr>
        <w:rPr>
          <w:sz w:val="22"/>
          <w:szCs w:val="22"/>
        </w:rPr>
      </w:pPr>
      <w:r w:rsidRPr="00920390">
        <w:rPr>
          <w:sz w:val="22"/>
          <w:szCs w:val="22"/>
        </w:rPr>
        <w:t>A radio-frequency (RF) Colpitts oscillator, Hewlett-Packard 8651A, having a useful range for stimulus signaling in a frequency of the range 10MHz to 70MHz and amplitude of the range 50mV to 3 Volts,</w:t>
      </w:r>
    </w:p>
    <w:p w14:paraId="6417E81E" w14:textId="77777777" w:rsidR="00235F50" w:rsidRPr="00920390" w:rsidRDefault="00235F50" w:rsidP="00235F50">
      <w:pPr>
        <w:numPr>
          <w:ilvl w:val="0"/>
          <w:numId w:val="1"/>
        </w:numPr>
        <w:rPr>
          <w:sz w:val="22"/>
          <w:szCs w:val="22"/>
        </w:rPr>
      </w:pPr>
      <w:r w:rsidRPr="00920390">
        <w:rPr>
          <w:sz w:val="22"/>
          <w:szCs w:val="22"/>
        </w:rPr>
        <w:t>Optional: Hewlett-Packard 8654B 10MHz to 520MHz with an amplitude range of -120dBm to +10dBm, internal and externally-driven AM and calibrated FM,</w:t>
      </w:r>
    </w:p>
    <w:p w14:paraId="0430A084" w14:textId="77777777" w:rsidR="00235F50" w:rsidRPr="00920390" w:rsidRDefault="00235F50" w:rsidP="00235F50">
      <w:pPr>
        <w:numPr>
          <w:ilvl w:val="0"/>
          <w:numId w:val="1"/>
        </w:numPr>
        <w:rPr>
          <w:sz w:val="22"/>
          <w:szCs w:val="22"/>
        </w:rPr>
      </w:pPr>
      <w:r w:rsidRPr="00920390">
        <w:rPr>
          <w:sz w:val="22"/>
          <w:szCs w:val="22"/>
        </w:rPr>
        <w:t>A spectrum analyzer of an appropriate signal range. Recommended: Hewlett-Packard 8590A 1.75GHz, GPIB communication interface,</w:t>
      </w:r>
    </w:p>
    <w:p w14:paraId="588AA4B8" w14:textId="77777777" w:rsidR="00235F50" w:rsidRPr="00920390" w:rsidRDefault="00235F50" w:rsidP="00235F50">
      <w:pPr>
        <w:numPr>
          <w:ilvl w:val="0"/>
          <w:numId w:val="1"/>
        </w:numPr>
        <w:rPr>
          <w:sz w:val="22"/>
          <w:szCs w:val="22"/>
        </w:rPr>
      </w:pPr>
      <w:r w:rsidRPr="00920390">
        <w:rPr>
          <w:sz w:val="22"/>
          <w:szCs w:val="22"/>
        </w:rPr>
        <w:t>Three (3) lengths of 1 meter BNC 50Ω cable,</w:t>
      </w:r>
    </w:p>
    <w:p w14:paraId="59DE0C98" w14:textId="77777777" w:rsidR="00235F50" w:rsidRPr="00920390" w:rsidRDefault="00235F50" w:rsidP="00235F50">
      <w:pPr>
        <w:numPr>
          <w:ilvl w:val="0"/>
          <w:numId w:val="1"/>
        </w:numPr>
        <w:rPr>
          <w:sz w:val="22"/>
          <w:szCs w:val="22"/>
        </w:rPr>
      </w:pPr>
      <w:r w:rsidRPr="00920390">
        <w:rPr>
          <w:sz w:val="22"/>
          <w:szCs w:val="22"/>
        </w:rPr>
        <w:t>One (1) T-splitter BNC,</w:t>
      </w:r>
    </w:p>
    <w:p w14:paraId="369616AF" w14:textId="77777777" w:rsidR="00235F50" w:rsidRPr="00920390" w:rsidRDefault="00235F50" w:rsidP="00235F50">
      <w:pPr>
        <w:numPr>
          <w:ilvl w:val="0"/>
          <w:numId w:val="1"/>
        </w:numPr>
        <w:rPr>
          <w:sz w:val="22"/>
          <w:szCs w:val="22"/>
        </w:rPr>
      </w:pPr>
      <w:r w:rsidRPr="00920390">
        <w:rPr>
          <w:sz w:val="22"/>
          <w:szCs w:val="22"/>
        </w:rPr>
        <w:t>Two (2) lengths of 5 meter BNC 50Ω cable,</w:t>
      </w:r>
    </w:p>
    <w:p w14:paraId="36F10DE4" w14:textId="77777777" w:rsidR="00235F50" w:rsidRPr="00920390" w:rsidRDefault="00235F50" w:rsidP="00235F50">
      <w:pPr>
        <w:numPr>
          <w:ilvl w:val="0"/>
          <w:numId w:val="1"/>
        </w:numPr>
        <w:rPr>
          <w:sz w:val="22"/>
          <w:szCs w:val="22"/>
        </w:rPr>
      </w:pPr>
      <w:r w:rsidRPr="00920390">
        <w:rPr>
          <w:sz w:val="22"/>
          <w:szCs w:val="22"/>
        </w:rPr>
        <w:t>Words.</w:t>
      </w:r>
    </w:p>
    <w:p w14:paraId="58AEC742" w14:textId="77777777" w:rsidR="00235F50" w:rsidRPr="00920390" w:rsidRDefault="00235F50" w:rsidP="00235F50">
      <w:pPr>
        <w:numPr>
          <w:ilvl w:val="0"/>
          <w:numId w:val="1"/>
        </w:numPr>
        <w:rPr>
          <w:sz w:val="22"/>
          <w:szCs w:val="22"/>
        </w:rPr>
      </w:pPr>
      <w:r w:rsidRPr="00920390">
        <w:rPr>
          <w:sz w:val="22"/>
          <w:szCs w:val="22"/>
        </w:rPr>
        <w:t xml:space="preserve">Three (3) power cables suitable for European (240V), </w:t>
      </w:r>
      <w:smartTag w:uri="urn:schemas-microsoft-com:office:smarttags" w:element="place">
        <w:smartTag w:uri="urn:schemas-microsoft-com:office:smarttags" w:element="country-region">
          <w:r w:rsidRPr="00920390">
            <w:rPr>
              <w:sz w:val="22"/>
              <w:szCs w:val="22"/>
            </w:rPr>
            <w:t>UK</w:t>
          </w:r>
        </w:smartTag>
      </w:smartTag>
      <w:r w:rsidRPr="00920390">
        <w:rPr>
          <w:sz w:val="22"/>
          <w:szCs w:val="22"/>
        </w:rPr>
        <w:t xml:space="preserve"> (240V), or US (110V),</w:t>
      </w:r>
    </w:p>
    <w:p w14:paraId="441F0A3D" w14:textId="77777777" w:rsidR="00235F50" w:rsidRPr="00920390" w:rsidRDefault="00235F50" w:rsidP="00235F50">
      <w:pPr>
        <w:numPr>
          <w:ilvl w:val="0"/>
          <w:numId w:val="1"/>
        </w:numPr>
        <w:rPr>
          <w:sz w:val="22"/>
          <w:szCs w:val="22"/>
        </w:rPr>
      </w:pPr>
      <w:r w:rsidRPr="00920390">
        <w:rPr>
          <w:sz w:val="22"/>
          <w:szCs w:val="22"/>
        </w:rPr>
        <w:t xml:space="preserve">Two (2) adapters for European and </w:t>
      </w:r>
      <w:smartTag w:uri="urn:schemas-microsoft-com:office:smarttags" w:element="place">
        <w:smartTag w:uri="urn:schemas-microsoft-com:office:smarttags" w:element="country-region">
          <w:r w:rsidRPr="00920390">
            <w:rPr>
              <w:sz w:val="22"/>
              <w:szCs w:val="22"/>
            </w:rPr>
            <w:t>UK</w:t>
          </w:r>
        </w:smartTag>
      </w:smartTag>
      <w:r w:rsidRPr="00920390">
        <w:rPr>
          <w:sz w:val="22"/>
          <w:szCs w:val="22"/>
        </w:rPr>
        <w:t xml:space="preserve"> (240V) power,</w:t>
      </w:r>
    </w:p>
    <w:p w14:paraId="75D8A923" w14:textId="77777777" w:rsidR="00235F50" w:rsidRPr="00920390" w:rsidRDefault="00235F50" w:rsidP="00235F50">
      <w:pPr>
        <w:numPr>
          <w:ilvl w:val="0"/>
          <w:numId w:val="1"/>
        </w:numPr>
        <w:rPr>
          <w:sz w:val="22"/>
          <w:szCs w:val="22"/>
        </w:rPr>
      </w:pPr>
      <w:r w:rsidRPr="00920390">
        <w:rPr>
          <w:sz w:val="22"/>
          <w:szCs w:val="22"/>
        </w:rPr>
        <w:t>Words.</w:t>
      </w:r>
    </w:p>
    <w:p w14:paraId="13DDA1E6" w14:textId="77777777" w:rsidR="00235F50" w:rsidRDefault="00235F50" w:rsidP="00235F50"/>
    <w:p w14:paraId="3898A389" w14:textId="77777777" w:rsidR="00235F50" w:rsidRPr="00141FFC" w:rsidRDefault="00235F50" w:rsidP="00235F50">
      <w:pPr>
        <w:pBdr>
          <w:bottom w:val="single" w:sz="6" w:space="1" w:color="auto"/>
        </w:pBdr>
        <w:rPr>
          <w:sz w:val="28"/>
          <w:szCs w:val="28"/>
        </w:rPr>
      </w:pPr>
      <w:r>
        <w:rPr>
          <w:sz w:val="28"/>
          <w:szCs w:val="28"/>
        </w:rPr>
        <w:t>Setting up a transmission environment using an embedded oscillator</w:t>
      </w:r>
    </w:p>
    <w:p w14:paraId="52C69456" w14:textId="77777777" w:rsidR="00235F50" w:rsidRDefault="00235F50" w:rsidP="00235F50"/>
    <w:p w14:paraId="273591B8" w14:textId="77777777" w:rsidR="00235F50" w:rsidRDefault="00235F50" w:rsidP="00235F50">
      <w:pPr>
        <w:jc w:val="both"/>
        <w:rPr>
          <w:sz w:val="22"/>
          <w:szCs w:val="22"/>
        </w:rPr>
      </w:pPr>
      <w:r>
        <w:rPr>
          <w:sz w:val="22"/>
          <w:szCs w:val="22"/>
        </w:rPr>
        <w:t xml:space="preserve">If using an embedded oscillator and amplifier package to provide input to the transmission environment, there is an adjusted arrangement to do this. When examining the transmission element </w:t>
      </w:r>
      <w:r w:rsidRPr="00DB1458">
        <w:rPr>
          <w:b/>
          <w:sz w:val="22"/>
          <w:szCs w:val="22"/>
        </w:rPr>
        <w:t>A</w:t>
      </w:r>
      <w:r>
        <w:rPr>
          <w:sz w:val="22"/>
          <w:szCs w:val="22"/>
        </w:rPr>
        <w:t xml:space="preserve">, you will notice the primary coil </w:t>
      </w:r>
      <w:r w:rsidRPr="00DB1458">
        <w:rPr>
          <w:b/>
          <w:sz w:val="22"/>
          <w:szCs w:val="22"/>
        </w:rPr>
        <w:t>1</w:t>
      </w:r>
      <w:r>
        <w:rPr>
          <w:sz w:val="22"/>
          <w:szCs w:val="22"/>
        </w:rPr>
        <w:t xml:space="preserve"> has three wires, as opposed to two in the version designed for test equipment. In order to properly set up such an ideal transmission environment of this type, you will need to make yourself aware of the particular components and ancillary equipment required.</w:t>
      </w:r>
    </w:p>
    <w:p w14:paraId="4D23F797" w14:textId="77777777" w:rsidR="00235F50" w:rsidRDefault="00235F50" w:rsidP="00235F50">
      <w:pPr>
        <w:jc w:val="both"/>
        <w:rPr>
          <w:sz w:val="22"/>
          <w:szCs w:val="22"/>
        </w:rPr>
      </w:pPr>
    </w:p>
    <w:p w14:paraId="77DE3B16" w14:textId="77777777" w:rsidR="00235F50" w:rsidRPr="00235F50" w:rsidRDefault="00235F50" w:rsidP="00235F50">
      <w:pPr>
        <w:jc w:val="both"/>
        <w:rPr>
          <w:sz w:val="22"/>
          <w:szCs w:val="22"/>
        </w:rPr>
      </w:pPr>
      <w:r>
        <w:rPr>
          <w:sz w:val="22"/>
          <w:szCs w:val="22"/>
        </w:rPr>
        <w:t>Words.</w:t>
      </w:r>
    </w:p>
    <w:p w14:paraId="238DB607" w14:textId="77777777" w:rsidR="00235F50" w:rsidRDefault="00235F50" w:rsidP="00235F50">
      <w:pPr>
        <w:ind w:right="1080"/>
        <w:jc w:val="right"/>
        <w:rPr>
          <w:sz w:val="72"/>
          <w:szCs w:val="72"/>
        </w:rPr>
      </w:pPr>
    </w:p>
    <w:p w14:paraId="0E8CE7EA" w14:textId="77777777" w:rsidR="00DA6651" w:rsidRPr="00DC512E" w:rsidRDefault="00235F50" w:rsidP="00DA6651">
      <w:pPr>
        <w:jc w:val="right"/>
        <w:rPr>
          <w:b/>
          <w:sz w:val="28"/>
          <w:szCs w:val="28"/>
        </w:rPr>
      </w:pPr>
      <w:r>
        <w:rPr>
          <w:sz w:val="72"/>
          <w:szCs w:val="72"/>
        </w:rPr>
        <w:lastRenderedPageBreak/>
        <w:t>5</w:t>
      </w:r>
    </w:p>
    <w:p w14:paraId="4EA9A66B" w14:textId="77777777" w:rsidR="00DA6651" w:rsidRDefault="00DA6651" w:rsidP="00DA6651"/>
    <w:p w14:paraId="5D62295E" w14:textId="77777777" w:rsidR="00DA6651" w:rsidRPr="00BB402B" w:rsidRDefault="00DA6651" w:rsidP="00DA6651">
      <w:pPr>
        <w:jc w:val="right"/>
        <w:rPr>
          <w:sz w:val="32"/>
          <w:szCs w:val="32"/>
        </w:rPr>
      </w:pPr>
      <w:r>
        <w:rPr>
          <w:sz w:val="32"/>
          <w:szCs w:val="32"/>
        </w:rPr>
        <w:t>Equations of the signal laboratory</w:t>
      </w:r>
    </w:p>
    <w:p w14:paraId="19D9D477" w14:textId="77777777" w:rsidR="00DA6651" w:rsidRDefault="00DA6651" w:rsidP="00DA6651"/>
    <w:p w14:paraId="54B8A07D" w14:textId="77777777" w:rsidR="00DA6651" w:rsidRDefault="00DA6651" w:rsidP="00DA6651">
      <w:pPr>
        <w:jc w:val="both"/>
        <w:rPr>
          <w:sz w:val="22"/>
          <w:szCs w:val="22"/>
        </w:rPr>
      </w:pPr>
      <w:r w:rsidRPr="00086304">
        <w:rPr>
          <w:sz w:val="22"/>
          <w:szCs w:val="22"/>
        </w:rPr>
        <w:t>This</w:t>
      </w:r>
      <w:r>
        <w:rPr>
          <w:sz w:val="22"/>
          <w:szCs w:val="22"/>
        </w:rPr>
        <w:t xml:space="preserve"> chapter describes the mathematical equation for the components from §</w:t>
      </w:r>
      <w:r w:rsidR="00FF5D81">
        <w:rPr>
          <w:sz w:val="22"/>
          <w:szCs w:val="22"/>
        </w:rPr>
        <w:t>3</w:t>
      </w:r>
      <w:r>
        <w:rPr>
          <w:sz w:val="22"/>
          <w:szCs w:val="22"/>
        </w:rPr>
        <w:t xml:space="preserve"> used in the signal laboratory.</w:t>
      </w:r>
    </w:p>
    <w:p w14:paraId="49F1AB49" w14:textId="77777777" w:rsidR="00DA6651" w:rsidRDefault="00DA6651" w:rsidP="00DA6651">
      <w:pPr>
        <w:jc w:val="both"/>
        <w:rPr>
          <w:sz w:val="22"/>
          <w:szCs w:val="22"/>
        </w:rPr>
      </w:pPr>
    </w:p>
    <w:p w14:paraId="5744DB1F" w14:textId="77777777" w:rsidR="00DA6651" w:rsidRPr="00141FFC" w:rsidRDefault="00DA6651" w:rsidP="00DA6651">
      <w:pPr>
        <w:pBdr>
          <w:bottom w:val="single" w:sz="6" w:space="1" w:color="auto"/>
        </w:pBdr>
        <w:rPr>
          <w:sz w:val="28"/>
          <w:szCs w:val="28"/>
        </w:rPr>
      </w:pPr>
      <w:r>
        <w:rPr>
          <w:sz w:val="28"/>
          <w:szCs w:val="28"/>
        </w:rPr>
        <w:t>Maxwell’s equations in the signal laboratory</w:t>
      </w:r>
    </w:p>
    <w:p w14:paraId="079718AB" w14:textId="77777777" w:rsidR="00DA6651" w:rsidRDefault="00DA6651" w:rsidP="00DA6651"/>
    <w:p w14:paraId="4A9A1AE2" w14:textId="77777777" w:rsidR="00DA6651" w:rsidRDefault="00DA6651" w:rsidP="00DA6651">
      <w:pPr>
        <w:jc w:val="both"/>
        <w:rPr>
          <w:sz w:val="22"/>
          <w:szCs w:val="22"/>
        </w:rPr>
      </w:pPr>
      <w:r>
        <w:rPr>
          <w:sz w:val="22"/>
          <w:szCs w:val="22"/>
        </w:rPr>
        <w:t>Well-understood in electromagnetism are Maxwell’s equations which are a mathematization of the experiments of Faraday. Couched in the days of early electromagnetism, these equations to this day serve as a means to represent and calculate properties of physical systems.</w:t>
      </w:r>
      <w:r w:rsidR="009624E4">
        <w:rPr>
          <w:sz w:val="22"/>
          <w:szCs w:val="22"/>
        </w:rPr>
        <w:t xml:space="preserve"> There is an essence for the experimenter to glean which is not widely known. The equations used to describe the signal laboratory and the mathematical framework to derive properties and transmission variables are taken from J.C. Maxwell’s </w:t>
      </w:r>
      <w:r w:rsidR="009624E4">
        <w:rPr>
          <w:i/>
          <w:sz w:val="22"/>
          <w:szCs w:val="22"/>
        </w:rPr>
        <w:t>A dynamical theory of the electromagnetic field</w:t>
      </w:r>
      <w:r w:rsidR="009624E4">
        <w:rPr>
          <w:sz w:val="22"/>
          <w:szCs w:val="22"/>
        </w:rPr>
        <w:t xml:space="preserve">. If the experimenter is interested in acquiring this paper, it is in the public domain at the time of writing of this document and </w:t>
      </w:r>
      <w:r w:rsidR="00E12AF1">
        <w:rPr>
          <w:sz w:val="22"/>
          <w:szCs w:val="22"/>
        </w:rPr>
        <w:t>can be obtained a</w:t>
      </w:r>
      <w:r w:rsidR="009624E4">
        <w:rPr>
          <w:sz w:val="22"/>
          <w:szCs w:val="22"/>
        </w:rPr>
        <w:t xml:space="preserve">lso </w:t>
      </w:r>
      <w:r w:rsidR="00E12AF1">
        <w:rPr>
          <w:sz w:val="22"/>
          <w:szCs w:val="22"/>
        </w:rPr>
        <w:t xml:space="preserve">by contacting </w:t>
      </w:r>
      <w:r w:rsidR="009624E4">
        <w:rPr>
          <w:sz w:val="22"/>
          <w:szCs w:val="22"/>
        </w:rPr>
        <w:t>your local sales representative.</w:t>
      </w:r>
    </w:p>
    <w:p w14:paraId="150623E0" w14:textId="77777777" w:rsidR="00B35B4A" w:rsidRDefault="00B35B4A" w:rsidP="00DA6651">
      <w:pPr>
        <w:jc w:val="both"/>
        <w:rPr>
          <w:sz w:val="22"/>
          <w:szCs w:val="22"/>
        </w:rPr>
      </w:pPr>
    </w:p>
    <w:p w14:paraId="279AFEB3" w14:textId="77777777" w:rsidR="00B35B4A" w:rsidRDefault="0026464F" w:rsidP="00DA6651">
      <w:pPr>
        <w:jc w:val="both"/>
        <w:rPr>
          <w:sz w:val="22"/>
          <w:szCs w:val="22"/>
        </w:rPr>
      </w:pPr>
      <w:r>
        <w:rPr>
          <w:sz w:val="22"/>
          <w:szCs w:val="22"/>
        </w:rPr>
        <w:t>The ideal “magnetic loop” which consists the primary coil of A, is determined in the laboratory by the following formulation,</w:t>
      </w:r>
    </w:p>
    <w:p w14:paraId="0029E6F5" w14:textId="77777777" w:rsidR="0026464F" w:rsidRDefault="0026464F" w:rsidP="00DA6651">
      <w:pPr>
        <w:jc w:val="both"/>
        <w:rPr>
          <w:sz w:val="22"/>
          <w:szCs w:val="22"/>
        </w:rPr>
      </w:pPr>
    </w:p>
    <w:p w14:paraId="628DF4E2" w14:textId="77777777" w:rsidR="0026464F" w:rsidRPr="009624E4" w:rsidRDefault="0026464F" w:rsidP="0026464F">
      <w:pPr>
        <w:pStyle w:val="MTDisplayEquation"/>
      </w:pPr>
      <w:r>
        <w:tab/>
      </w:r>
      <w:r w:rsidR="00D640CB" w:rsidRPr="00D640CB">
        <w:rPr>
          <w:position w:val="-40"/>
        </w:rPr>
        <w:object w:dxaOrig="3620" w:dyaOrig="920" w14:anchorId="7353B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1.05pt;height:46.2pt" o:ole="">
            <v:imagedata r:id="rId10" o:title=""/>
          </v:shape>
          <o:OLEObject Type="Embed" ProgID="Equation.DSMT4" ShapeID="_x0000_i1028" DrawAspect="Content" ObjectID="_1804328687"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rsidR="007F22A3">
        <w:instrText>(5.1)</w:instrText>
      </w:r>
      <w:r>
        <w:fldChar w:fldCharType="end"/>
      </w:r>
    </w:p>
    <w:p w14:paraId="7AF85E90" w14:textId="77777777" w:rsidR="00953F54" w:rsidRDefault="00953F54" w:rsidP="00730417">
      <w:pPr>
        <w:jc w:val="both"/>
      </w:pPr>
    </w:p>
    <w:p w14:paraId="2550A816" w14:textId="77777777" w:rsidR="00E12AF1" w:rsidRDefault="00730417" w:rsidP="00730417">
      <w:pPr>
        <w:jc w:val="both"/>
      </w:pPr>
      <w:r>
        <w:t>It is advantageous to choose the resonance frequency, as a function of the coil, such that the ratio of the loop radius to wavelength falls as near to a ratio 0.1 on scales of ten, e.g., 0.01, 0.001, etc. In this fashion, the emission of (electromagnetic) photons by the loop approaches a maximum value.</w:t>
      </w:r>
    </w:p>
    <w:p w14:paraId="224D0B84" w14:textId="77777777" w:rsidR="00062B06" w:rsidRDefault="00062B06" w:rsidP="00E17CA9"/>
    <w:p w14:paraId="00BF9149" w14:textId="77777777" w:rsidR="00062B06" w:rsidRDefault="00062B06" w:rsidP="00062B06">
      <w:pPr>
        <w:pStyle w:val="MTDisplayEquation"/>
      </w:pPr>
      <w:r>
        <w:tab/>
      </w:r>
      <w:r w:rsidR="00D640CB" w:rsidRPr="00D640CB">
        <w:rPr>
          <w:position w:val="-22"/>
        </w:rPr>
        <w:object w:dxaOrig="1180" w:dyaOrig="580" w14:anchorId="6D4FAAD4">
          <v:shape id="_x0000_i1029" type="#_x0000_t75" style="width:59.1pt;height:29pt" o:ole="">
            <v:imagedata r:id="rId12" o:title=""/>
          </v:shape>
          <o:OLEObject Type="Embed" ProgID="Equation.DSMT4" ShapeID="_x0000_i1029" DrawAspect="Content" ObjectID="_1804328688" r:id="rId13"/>
        </w:object>
      </w:r>
      <w:r>
        <w:t xml:space="preserve"> </w:t>
      </w:r>
      <w:r>
        <w:tab/>
        <w:t>(5.2)</w:t>
      </w:r>
    </w:p>
    <w:p w14:paraId="50355830" w14:textId="77777777" w:rsidR="00062B06" w:rsidRPr="00062B06" w:rsidRDefault="00062B06" w:rsidP="00062B06">
      <w:r>
        <w:t>Words.</w:t>
      </w:r>
    </w:p>
    <w:p w14:paraId="29850BE5" w14:textId="77777777" w:rsidR="00235F50" w:rsidRDefault="00235F50" w:rsidP="00E17CA9"/>
    <w:p w14:paraId="7026290E" w14:textId="22765684" w:rsidR="00311A18" w:rsidRDefault="00BF2E8E" w:rsidP="00311A18">
      <w:pPr>
        <w:keepNext/>
        <w:jc w:val="center"/>
      </w:pPr>
      <w:r w:rsidRPr="004C0C7B">
        <w:rPr>
          <w:noProof/>
          <w:lang w:eastAsia="zh-TW"/>
        </w:rPr>
        <w:lastRenderedPageBreak/>
        <w:drawing>
          <wp:inline distT="0" distB="0" distL="0" distR="0" wp14:anchorId="245967C0" wp14:editId="70657C16">
            <wp:extent cx="4790440" cy="2054225"/>
            <wp:effectExtent l="0" t="0" r="0" b="0"/>
            <wp:docPr id="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90440" cy="2054225"/>
                    </a:xfrm>
                    <a:prstGeom prst="rect">
                      <a:avLst/>
                    </a:prstGeom>
                    <a:noFill/>
                    <a:ln>
                      <a:noFill/>
                    </a:ln>
                  </pic:spPr>
                </pic:pic>
              </a:graphicData>
            </a:graphic>
          </wp:inline>
        </w:drawing>
      </w:r>
    </w:p>
    <w:p w14:paraId="0301E843" w14:textId="77777777" w:rsidR="00311A18" w:rsidRPr="00311A18" w:rsidRDefault="00311A18" w:rsidP="00311A18">
      <w:pPr>
        <w:pStyle w:val="Caption"/>
        <w:jc w:val="center"/>
        <w:rPr>
          <w:b w:val="0"/>
        </w:rPr>
      </w:pPr>
      <w:r w:rsidRPr="00311A18">
        <w:rPr>
          <w:b w:val="0"/>
        </w:rPr>
        <w:t xml:space="preserve">Figure </w:t>
      </w:r>
      <w:r w:rsidRPr="00311A18">
        <w:rPr>
          <w:b w:val="0"/>
        </w:rPr>
        <w:fldChar w:fldCharType="begin"/>
      </w:r>
      <w:r w:rsidRPr="00311A18">
        <w:rPr>
          <w:b w:val="0"/>
        </w:rPr>
        <w:instrText xml:space="preserve"> SEQ Figure \* ARABIC </w:instrText>
      </w:r>
      <w:r w:rsidRPr="00311A18">
        <w:rPr>
          <w:b w:val="0"/>
        </w:rPr>
        <w:fldChar w:fldCharType="separate"/>
      </w:r>
      <w:r w:rsidRPr="00311A18">
        <w:rPr>
          <w:b w:val="0"/>
          <w:noProof/>
        </w:rPr>
        <w:t>2</w:t>
      </w:r>
      <w:r w:rsidRPr="00311A18">
        <w:rPr>
          <w:b w:val="0"/>
        </w:rPr>
        <w:fldChar w:fldCharType="end"/>
      </w:r>
      <w:r w:rsidRPr="00311A18">
        <w:rPr>
          <w:b w:val="0"/>
        </w:rPr>
        <w:t>: Emission of photons by the coil</w:t>
      </w:r>
      <w:r w:rsidR="000C0485">
        <w:rPr>
          <w:b w:val="0"/>
        </w:rPr>
        <w:t>.</w:t>
      </w:r>
    </w:p>
    <w:p w14:paraId="7B3814A6" w14:textId="77777777" w:rsidR="00235F50" w:rsidRDefault="00235F50" w:rsidP="00E17CA9"/>
    <w:p w14:paraId="317D1AFF" w14:textId="77777777" w:rsidR="00311A18" w:rsidRDefault="00311A18" w:rsidP="00E17CA9">
      <w:r>
        <w:t>Words.</w:t>
      </w:r>
    </w:p>
    <w:p w14:paraId="27816867" w14:textId="77777777" w:rsidR="00235F50" w:rsidRDefault="00235F50" w:rsidP="00E17CA9"/>
    <w:p w14:paraId="2A8F0100" w14:textId="77777777" w:rsidR="00235F50" w:rsidRDefault="00235F50" w:rsidP="00E17CA9"/>
    <w:p w14:paraId="4B261EB6" w14:textId="77777777" w:rsidR="00235F50" w:rsidRDefault="00235F50" w:rsidP="00E17CA9"/>
    <w:p w14:paraId="1075116C" w14:textId="77777777" w:rsidR="00235F50" w:rsidRDefault="00235F50" w:rsidP="00E17CA9"/>
    <w:p w14:paraId="762A25E3" w14:textId="77777777" w:rsidR="00235F50" w:rsidRDefault="00235F50" w:rsidP="00E17CA9"/>
    <w:p w14:paraId="49FC6482" w14:textId="77777777" w:rsidR="00235F50" w:rsidRDefault="00235F50" w:rsidP="00E17CA9"/>
    <w:p w14:paraId="72A8B08E" w14:textId="77777777" w:rsidR="00235F50" w:rsidRDefault="00235F50" w:rsidP="00E17CA9"/>
    <w:p w14:paraId="4C8A35EA" w14:textId="77777777" w:rsidR="00235F50" w:rsidRDefault="00235F50" w:rsidP="00E17CA9"/>
    <w:p w14:paraId="6D43356F" w14:textId="77777777" w:rsidR="00235F50" w:rsidRDefault="00235F50" w:rsidP="00E17CA9"/>
    <w:p w14:paraId="4665E4F3" w14:textId="77777777" w:rsidR="00235F50" w:rsidRDefault="00235F50" w:rsidP="00E17CA9"/>
    <w:p w14:paraId="4E0D2168" w14:textId="77777777" w:rsidR="00235F50" w:rsidRDefault="00235F50" w:rsidP="00E17CA9"/>
    <w:p w14:paraId="68C77888" w14:textId="77777777" w:rsidR="00235F50" w:rsidRDefault="00235F50" w:rsidP="00E17CA9"/>
    <w:p w14:paraId="4767ECDF" w14:textId="77777777" w:rsidR="00235F50" w:rsidRDefault="00235F50" w:rsidP="00E17CA9"/>
    <w:p w14:paraId="78F6FD53" w14:textId="77777777" w:rsidR="00235F50" w:rsidRDefault="00235F50" w:rsidP="00E17CA9"/>
    <w:p w14:paraId="366162F2" w14:textId="77777777" w:rsidR="00235F50" w:rsidRDefault="00235F50" w:rsidP="00E17CA9"/>
    <w:p w14:paraId="511DB940" w14:textId="77777777" w:rsidR="00235F50" w:rsidRDefault="00235F50" w:rsidP="00E17CA9"/>
    <w:p w14:paraId="7C58B632" w14:textId="77777777" w:rsidR="00235F50" w:rsidRDefault="00235F50" w:rsidP="00E17CA9"/>
    <w:p w14:paraId="72529638" w14:textId="77777777" w:rsidR="00235F50" w:rsidRDefault="00235F50" w:rsidP="00E17CA9"/>
    <w:p w14:paraId="6559DE7F" w14:textId="77777777" w:rsidR="00235F50" w:rsidRDefault="00235F50" w:rsidP="00E17CA9"/>
    <w:p w14:paraId="43B9AD97" w14:textId="77777777" w:rsidR="00235F50" w:rsidRDefault="00235F50" w:rsidP="00E17CA9"/>
    <w:p w14:paraId="45455292" w14:textId="77777777" w:rsidR="00235F50" w:rsidRDefault="00235F50" w:rsidP="00E17CA9"/>
    <w:p w14:paraId="0F7D8747" w14:textId="77777777" w:rsidR="00235F50" w:rsidRDefault="00235F50" w:rsidP="00E17CA9"/>
    <w:p w14:paraId="5DBB7945" w14:textId="77777777" w:rsidR="00235F50" w:rsidRPr="00DC512E" w:rsidRDefault="00235F50" w:rsidP="00235F50">
      <w:pPr>
        <w:jc w:val="right"/>
        <w:rPr>
          <w:b/>
          <w:sz w:val="28"/>
          <w:szCs w:val="28"/>
        </w:rPr>
      </w:pPr>
      <w:r>
        <w:rPr>
          <w:sz w:val="72"/>
          <w:szCs w:val="72"/>
        </w:rPr>
        <w:t>6</w:t>
      </w:r>
    </w:p>
    <w:p w14:paraId="7C283B08" w14:textId="77777777" w:rsidR="00235F50" w:rsidRDefault="00235F50" w:rsidP="00235F50"/>
    <w:p w14:paraId="2E6DA27C" w14:textId="77777777" w:rsidR="00235F50" w:rsidRPr="00BB402B" w:rsidRDefault="00235F50" w:rsidP="00235F50">
      <w:pPr>
        <w:jc w:val="right"/>
        <w:rPr>
          <w:sz w:val="32"/>
          <w:szCs w:val="32"/>
        </w:rPr>
      </w:pPr>
      <w:r>
        <w:rPr>
          <w:sz w:val="32"/>
          <w:szCs w:val="32"/>
        </w:rPr>
        <w:t>Creating a fully managed transmission—a tutorial</w:t>
      </w:r>
    </w:p>
    <w:p w14:paraId="3EFF3D33" w14:textId="77777777" w:rsidR="00235F50" w:rsidRDefault="00235F50" w:rsidP="00235F50"/>
    <w:p w14:paraId="60DB924F" w14:textId="77777777" w:rsidR="00235F50" w:rsidRPr="00ED68F3" w:rsidRDefault="00235F50" w:rsidP="00235F50">
      <w:pPr>
        <w:jc w:val="both"/>
        <w:rPr>
          <w:sz w:val="22"/>
          <w:szCs w:val="22"/>
        </w:rPr>
      </w:pPr>
      <w:r w:rsidRPr="00086304">
        <w:rPr>
          <w:sz w:val="22"/>
          <w:szCs w:val="22"/>
        </w:rPr>
        <w:t xml:space="preserve">This </w:t>
      </w:r>
      <w:r>
        <w:rPr>
          <w:sz w:val="22"/>
          <w:szCs w:val="22"/>
        </w:rPr>
        <w:t>chapter explains the use of the signal laboratory combined with the server software to create a fully managed transmission.</w:t>
      </w:r>
    </w:p>
    <w:p w14:paraId="6288D729" w14:textId="77777777" w:rsidR="00235F50" w:rsidRDefault="00235F50" w:rsidP="00235F50"/>
    <w:p w14:paraId="36B32067" w14:textId="77777777" w:rsidR="00235F50" w:rsidRPr="00141FFC" w:rsidRDefault="00235F50" w:rsidP="00235F50">
      <w:pPr>
        <w:pBdr>
          <w:bottom w:val="single" w:sz="6" w:space="1" w:color="auto"/>
        </w:pBdr>
        <w:rPr>
          <w:sz w:val="28"/>
          <w:szCs w:val="28"/>
        </w:rPr>
      </w:pPr>
      <w:r>
        <w:rPr>
          <w:sz w:val="28"/>
          <w:szCs w:val="28"/>
        </w:rPr>
        <w:lastRenderedPageBreak/>
        <w:t>Steps to create a fully managed transmission</w:t>
      </w:r>
    </w:p>
    <w:p w14:paraId="10EEE776" w14:textId="77777777" w:rsidR="00235F50" w:rsidRDefault="00235F50" w:rsidP="00235F50"/>
    <w:p w14:paraId="38325DC1" w14:textId="77777777" w:rsidR="00235F50" w:rsidRDefault="00235F50" w:rsidP="00235F50">
      <w:r>
        <w:rPr>
          <w:sz w:val="22"/>
          <w:szCs w:val="22"/>
        </w:rPr>
        <w:t>Words.</w:t>
      </w:r>
    </w:p>
    <w:p w14:paraId="7F437E51" w14:textId="77777777" w:rsidR="00235F50" w:rsidRDefault="00235F50" w:rsidP="00E17CA9"/>
    <w:sectPr w:rsidR="00235F50" w:rsidSect="00A938F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BCA84" w14:textId="77777777" w:rsidR="004351C2" w:rsidRDefault="004351C2">
      <w:r>
        <w:separator/>
      </w:r>
    </w:p>
  </w:endnote>
  <w:endnote w:type="continuationSeparator" w:id="0">
    <w:p w14:paraId="6FD3691C" w14:textId="77777777" w:rsidR="004351C2" w:rsidRDefault="0043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Eurostile">
    <w:altName w:val="Agency FB"/>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C80E" w14:textId="77777777" w:rsidR="00875737" w:rsidRPr="00D97115" w:rsidRDefault="00875737" w:rsidP="00D97115">
    <w:pPr>
      <w:pStyle w:val="Footer"/>
      <w:jc w:val="right"/>
      <w:rPr>
        <w:sz w:val="20"/>
        <w:szCs w:val="20"/>
      </w:rPr>
    </w:pPr>
    <w:r w:rsidRPr="00E61385">
      <w:rPr>
        <w:i/>
        <w:sz w:val="20"/>
        <w:szCs w:val="20"/>
      </w:rPr>
      <w:t>Model ‘F’ User’s Guide</w:t>
    </w:r>
    <w:r>
      <w:rPr>
        <w:sz w:val="20"/>
        <w:szCs w:val="20"/>
      </w:rPr>
      <w:t xml:space="preserve">, Page </w:t>
    </w:r>
    <w:r w:rsidRPr="00E61385">
      <w:rPr>
        <w:sz w:val="20"/>
        <w:szCs w:val="20"/>
      </w:rPr>
      <w:fldChar w:fldCharType="begin"/>
    </w:r>
    <w:r w:rsidRPr="00E61385">
      <w:rPr>
        <w:sz w:val="20"/>
        <w:szCs w:val="20"/>
      </w:rPr>
      <w:instrText xml:space="preserve"> PAGE   \* MERGEFORMAT </w:instrText>
    </w:r>
    <w:r w:rsidRPr="00E61385">
      <w:rPr>
        <w:sz w:val="20"/>
        <w:szCs w:val="20"/>
      </w:rPr>
      <w:fldChar w:fldCharType="separate"/>
    </w:r>
    <w:r w:rsidR="000C0485">
      <w:rPr>
        <w:noProof/>
        <w:sz w:val="20"/>
        <w:szCs w:val="20"/>
      </w:rPr>
      <w:t>8</w:t>
    </w:r>
    <w:r w:rsidRPr="00E61385">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B7D78" w14:textId="77777777" w:rsidR="004351C2" w:rsidRDefault="004351C2">
      <w:r>
        <w:separator/>
      </w:r>
    </w:p>
  </w:footnote>
  <w:footnote w:type="continuationSeparator" w:id="0">
    <w:p w14:paraId="34F58F35" w14:textId="77777777" w:rsidR="004351C2" w:rsidRDefault="00435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960EA"/>
    <w:multiLevelType w:val="hybridMultilevel"/>
    <w:tmpl w:val="705861AC"/>
    <w:lvl w:ilvl="0" w:tplc="9B966A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75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49"/>
    <w:rsid w:val="00054F3B"/>
    <w:rsid w:val="00062B06"/>
    <w:rsid w:val="00070B34"/>
    <w:rsid w:val="00074DB9"/>
    <w:rsid w:val="00086304"/>
    <w:rsid w:val="0009307D"/>
    <w:rsid w:val="000C0485"/>
    <w:rsid w:val="000F6B70"/>
    <w:rsid w:val="001010FB"/>
    <w:rsid w:val="00141FFC"/>
    <w:rsid w:val="0014212A"/>
    <w:rsid w:val="0017007D"/>
    <w:rsid w:val="0017038E"/>
    <w:rsid w:val="00181B12"/>
    <w:rsid w:val="00197264"/>
    <w:rsid w:val="001B26B5"/>
    <w:rsid w:val="001D4307"/>
    <w:rsid w:val="001F0F1B"/>
    <w:rsid w:val="00206ABB"/>
    <w:rsid w:val="002241B3"/>
    <w:rsid w:val="00234BE6"/>
    <w:rsid w:val="00235F50"/>
    <w:rsid w:val="00240BE9"/>
    <w:rsid w:val="0026464F"/>
    <w:rsid w:val="00271E85"/>
    <w:rsid w:val="00280AC8"/>
    <w:rsid w:val="00287D92"/>
    <w:rsid w:val="00296880"/>
    <w:rsid w:val="002C34C9"/>
    <w:rsid w:val="002E6F2F"/>
    <w:rsid w:val="00311A18"/>
    <w:rsid w:val="0031695D"/>
    <w:rsid w:val="00317989"/>
    <w:rsid w:val="00340D03"/>
    <w:rsid w:val="00350A59"/>
    <w:rsid w:val="00382D4C"/>
    <w:rsid w:val="00386FD2"/>
    <w:rsid w:val="003A708A"/>
    <w:rsid w:val="003E06F2"/>
    <w:rsid w:val="003F1ECC"/>
    <w:rsid w:val="004351C2"/>
    <w:rsid w:val="00450C3E"/>
    <w:rsid w:val="004D101D"/>
    <w:rsid w:val="00536A1C"/>
    <w:rsid w:val="00537240"/>
    <w:rsid w:val="00562490"/>
    <w:rsid w:val="005730EC"/>
    <w:rsid w:val="0059568A"/>
    <w:rsid w:val="005A0FB0"/>
    <w:rsid w:val="005F3DC0"/>
    <w:rsid w:val="00700749"/>
    <w:rsid w:val="00706EB1"/>
    <w:rsid w:val="00730417"/>
    <w:rsid w:val="00730D65"/>
    <w:rsid w:val="00747F3F"/>
    <w:rsid w:val="007553DB"/>
    <w:rsid w:val="007578E4"/>
    <w:rsid w:val="00784988"/>
    <w:rsid w:val="00794B1A"/>
    <w:rsid w:val="007D78B4"/>
    <w:rsid w:val="007F22A3"/>
    <w:rsid w:val="0080291E"/>
    <w:rsid w:val="00824570"/>
    <w:rsid w:val="00825C22"/>
    <w:rsid w:val="0083099E"/>
    <w:rsid w:val="00875737"/>
    <w:rsid w:val="008904E9"/>
    <w:rsid w:val="0089654D"/>
    <w:rsid w:val="008B5302"/>
    <w:rsid w:val="008F2798"/>
    <w:rsid w:val="00920390"/>
    <w:rsid w:val="00947571"/>
    <w:rsid w:val="00953F54"/>
    <w:rsid w:val="009624E4"/>
    <w:rsid w:val="009A652E"/>
    <w:rsid w:val="009F5AC6"/>
    <w:rsid w:val="00A36052"/>
    <w:rsid w:val="00A404B1"/>
    <w:rsid w:val="00A938F2"/>
    <w:rsid w:val="00AD2E79"/>
    <w:rsid w:val="00B15E76"/>
    <w:rsid w:val="00B32ED2"/>
    <w:rsid w:val="00B35B4A"/>
    <w:rsid w:val="00B4276E"/>
    <w:rsid w:val="00B65D0C"/>
    <w:rsid w:val="00B72485"/>
    <w:rsid w:val="00B82835"/>
    <w:rsid w:val="00B9160F"/>
    <w:rsid w:val="00BB17F2"/>
    <w:rsid w:val="00BB402B"/>
    <w:rsid w:val="00BB46D4"/>
    <w:rsid w:val="00BB5842"/>
    <w:rsid w:val="00BF2E8E"/>
    <w:rsid w:val="00C65649"/>
    <w:rsid w:val="00C81E81"/>
    <w:rsid w:val="00CA7B3E"/>
    <w:rsid w:val="00CB36BC"/>
    <w:rsid w:val="00CD590A"/>
    <w:rsid w:val="00CE1C8C"/>
    <w:rsid w:val="00CF1135"/>
    <w:rsid w:val="00D14FE1"/>
    <w:rsid w:val="00D40637"/>
    <w:rsid w:val="00D52E28"/>
    <w:rsid w:val="00D63DD5"/>
    <w:rsid w:val="00D640CB"/>
    <w:rsid w:val="00D85CAA"/>
    <w:rsid w:val="00D87B98"/>
    <w:rsid w:val="00D97115"/>
    <w:rsid w:val="00DA513D"/>
    <w:rsid w:val="00DA5E02"/>
    <w:rsid w:val="00DA650C"/>
    <w:rsid w:val="00DA6651"/>
    <w:rsid w:val="00DB1458"/>
    <w:rsid w:val="00DB3113"/>
    <w:rsid w:val="00DC512E"/>
    <w:rsid w:val="00E12AF1"/>
    <w:rsid w:val="00E12C99"/>
    <w:rsid w:val="00E1763F"/>
    <w:rsid w:val="00E17CA9"/>
    <w:rsid w:val="00E23271"/>
    <w:rsid w:val="00E508AE"/>
    <w:rsid w:val="00E61385"/>
    <w:rsid w:val="00E64EC7"/>
    <w:rsid w:val="00E80599"/>
    <w:rsid w:val="00E94C08"/>
    <w:rsid w:val="00EC275F"/>
    <w:rsid w:val="00ED68F3"/>
    <w:rsid w:val="00EE3EB4"/>
    <w:rsid w:val="00EE7C91"/>
    <w:rsid w:val="00EF53CD"/>
    <w:rsid w:val="00F004C0"/>
    <w:rsid w:val="00F841C8"/>
    <w:rsid w:val="00F85C77"/>
    <w:rsid w:val="00F97FDE"/>
    <w:rsid w:val="00FA4A71"/>
    <w:rsid w:val="00FB31C7"/>
    <w:rsid w:val="00FE2302"/>
    <w:rsid w:val="00FF5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20BB9F8"/>
  <w15:chartTrackingRefBased/>
  <w15:docId w15:val="{7E7CDB93-8956-47A6-B947-9B398AB9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7007D"/>
    <w:rPr>
      <w:color w:val="0000FF"/>
      <w:u w:val="single"/>
    </w:rPr>
  </w:style>
  <w:style w:type="table" w:styleId="TableGrid">
    <w:name w:val="Table Grid"/>
    <w:basedOn w:val="TableNormal"/>
    <w:rsid w:val="008245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97115"/>
    <w:pPr>
      <w:tabs>
        <w:tab w:val="center" w:pos="4320"/>
        <w:tab w:val="right" w:pos="8640"/>
      </w:tabs>
    </w:pPr>
  </w:style>
  <w:style w:type="paragraph" w:styleId="Footer">
    <w:name w:val="footer"/>
    <w:basedOn w:val="Normal"/>
    <w:link w:val="FooterChar"/>
    <w:uiPriority w:val="99"/>
    <w:rsid w:val="00D97115"/>
    <w:pPr>
      <w:tabs>
        <w:tab w:val="center" w:pos="4320"/>
        <w:tab w:val="right" w:pos="8640"/>
      </w:tabs>
    </w:pPr>
  </w:style>
  <w:style w:type="character" w:customStyle="1" w:styleId="FooterChar">
    <w:name w:val="Footer Char"/>
    <w:basedOn w:val="DefaultParagraphFont"/>
    <w:link w:val="Footer"/>
    <w:uiPriority w:val="99"/>
    <w:rsid w:val="00E61385"/>
    <w:rPr>
      <w:sz w:val="24"/>
      <w:szCs w:val="24"/>
    </w:rPr>
  </w:style>
  <w:style w:type="paragraph" w:styleId="Caption">
    <w:name w:val="caption"/>
    <w:basedOn w:val="Normal"/>
    <w:next w:val="Normal"/>
    <w:unhideWhenUsed/>
    <w:qFormat/>
    <w:rsid w:val="00B72485"/>
    <w:rPr>
      <w:b/>
      <w:bCs/>
      <w:sz w:val="20"/>
      <w:szCs w:val="20"/>
    </w:rPr>
  </w:style>
  <w:style w:type="character" w:customStyle="1" w:styleId="MTEquationSection">
    <w:name w:val="MTEquationSection"/>
    <w:basedOn w:val="DefaultParagraphFont"/>
    <w:rsid w:val="0026464F"/>
    <w:rPr>
      <w:b/>
      <w:vanish/>
      <w:color w:val="FF0000"/>
      <w:sz w:val="28"/>
      <w:szCs w:val="28"/>
    </w:rPr>
  </w:style>
  <w:style w:type="paragraph" w:customStyle="1" w:styleId="MTDisplayEquation">
    <w:name w:val="MTDisplayEquation"/>
    <w:basedOn w:val="Normal"/>
    <w:next w:val="Normal"/>
    <w:link w:val="MTDisplayEquationChar"/>
    <w:rsid w:val="0026464F"/>
    <w:pPr>
      <w:tabs>
        <w:tab w:val="center" w:pos="4680"/>
        <w:tab w:val="right" w:pos="9360"/>
      </w:tabs>
      <w:jc w:val="both"/>
    </w:pPr>
    <w:rPr>
      <w:sz w:val="22"/>
      <w:szCs w:val="22"/>
    </w:rPr>
  </w:style>
  <w:style w:type="character" w:customStyle="1" w:styleId="MTDisplayEquationChar">
    <w:name w:val="MTDisplayEquation Char"/>
    <w:basedOn w:val="DefaultParagraphFont"/>
    <w:link w:val="MTDisplayEquation"/>
    <w:rsid w:val="0026464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NovoPort WebPort Quick User’s Manual</vt:lpstr>
    </vt:vector>
  </TitlesOfParts>
  <Company>SOTAQ</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 Quick User’s Manual</dc:title>
  <dc:subject/>
  <dc:creator>cartheur</dc:creator>
  <cp:keywords/>
  <dc:description/>
  <cp:lastModifiedBy>C.A. Tucker</cp:lastModifiedBy>
  <cp:revision>2</cp:revision>
  <dcterms:created xsi:type="dcterms:W3CDTF">2025-03-24T12:38:00Z</dcterms:created>
  <dcterms:modified xsi:type="dcterms:W3CDTF">2025-03-24T12:38:00Z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