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9F5"/>
  <w:body>
    <w:p>
      <w:r>
        <w:drawing>
          <wp:inline xmlns:a="http://schemas.openxmlformats.org/drawingml/2006/main" xmlns:pic="http://schemas.openxmlformats.org/drawingml/2006/picture">
            <wp:extent cx="1480686" cy="274320"/>
            <wp:docPr id="1" name="Picture 1"/>
            <wp:cNvGraphicFramePr>
              <a:graphicFrameLocks noChangeAspect="1"/>
            </wp:cNvGraphicFramePr>
            <a:graphic>
              <a:graphicData uri="http://schemas.openxmlformats.org/drawingml/2006/picture">
                <pic:pic>
                  <pic:nvPicPr>
                    <pic:cNvPr id="0" name="logo-lockup.png"/>
                    <pic:cNvPicPr/>
                  </pic:nvPicPr>
                  <pic:blipFill>
                    <a:blip r:embed="rId9"/>
                    <a:stretch>
                      <a:fillRect/>
                    </a:stretch>
                  </pic:blipFill>
                  <pic:spPr>
                    <a:xfrm>
                      <a:off x="0" y="0"/>
                      <a:ext cx="1480686" cy="274320"/>
                    </a:xfrm>
                    <a:prstGeom prst="rect"/>
                  </pic:spPr>
                </pic:pic>
              </a:graphicData>
            </a:graphic>
          </wp:inline>
        </w:drawing>
      </w:r>
    </w:p>
    <w:p>
      <w:pPr>
        <w:pBdr>
          <w:bottom w:val="single" w:sz="12" w:space="1" w:color="D97757"/>
        </w:pBdr>
        <w:spacing w:after="40"/>
      </w:pPr>
    </w:p>
    <w:p>
      <w:pPr>
        <w:spacing w:before="200"/>
      </w:pPr>
      <w:r>
        <w:rPr>
          <w:b/>
          <w:color w:val="1F1E1D"/>
          <w:sz w:val="42"/>
        </w:rPr>
        <w:t>Revenue optimization, risk detection and AI adoption across the whole operation.</w:t>
      </w:r>
    </w:p>
    <w:p>
      <w:r>
        <w:rPr>
          <w:color w:val="5C5A54"/>
          <w:sz w:val="23"/>
        </w:rPr>
        <w:t>Most reviews look closely at one department and estimate the rest. We read the whole operating system — finance, revenue, receivables, payables, contracts, people and IT — because that is where the money quietly goes: an agreement that renews itself on terms nobody revisits, a queue that belongs to no one, an account that stopped being reconciled three years ago and was never missed. And because the same reading tells you where AI would genuinely help, and where it would only add cost. The obvious problems already have owners. We are here for the expensive ones that do not.</w:t>
      </w:r>
    </w:p>
    <w:p>
      <w:r>
        <w:rPr>
          <w:b/>
          <w:color w:val="D97757"/>
          <w:sz w:val="21"/>
        </w:rPr>
        <w:t>The Operating Review</w:t>
      </w:r>
    </w:p>
    <w:p>
      <w:pPr>
        <w:spacing w:before="360"/>
      </w:pPr>
      <w:r>
        <w:rPr>
          <w:b/>
          <w:color w:val="1F1E1D"/>
          <w:sz w:val="29"/>
        </w:rPr>
        <w:t>You have probably said one of these out loud.</w:t>
      </w:r>
    </w:p>
    <w:p>
      <w:pPr>
        <w:pBdr>
          <w:bottom w:val="single" w:sz="12" w:space="1" w:color="D97757"/>
        </w:pBdr>
        <w:spacing w:after="40"/>
      </w:pPr>
    </w:p>
    <w:p>
      <w:r>
        <w:rPr>
          <w:color w:val="5C5A54"/>
          <w:sz w:val="22"/>
        </w:rPr>
        <w:t>Every operation loses money in three ways at once, and most reviews are commissioned to look at one of them. What each one is called and where it hides changes by sector, which is why there is a page for your industry rather than one page asking you to translate.</w:t>
      </w:r>
    </w:p>
    <w:p>
      <w:pPr>
        <w:spacing w:before="220"/>
      </w:pPr>
      <w:r>
        <w:rPr>
          <w:b/>
          <w:color w:val="D97757"/>
          <w:sz w:val="20"/>
        </w:rPr>
        <w:t>“REVENUE IS UP. SOMEHOW THE CASH ISN’T.”</w:t>
      </w:r>
    </w:p>
    <w:p>
      <w:pPr>
        <w:pStyle w:val="ListBullet"/>
      </w:pPr>
      <w:r>
        <w:rPr>
          <w:color w:val="1F1E1D"/>
          <w:sz w:val="22"/>
        </w:rPr>
        <w:t>Billing, collection, AR/AP and write-offs</w:t>
      </w:r>
    </w:p>
    <w:p>
      <w:pPr>
        <w:pStyle w:val="ListBullet"/>
      </w:pPr>
      <w:r>
        <w:rPr>
          <w:color w:val="1F1E1D"/>
          <w:sz w:val="22"/>
        </w:rPr>
        <w:t>Vendor overpayment and duplicate services</w:t>
      </w:r>
    </w:p>
    <w:p>
      <w:pPr>
        <w:pStyle w:val="ListBullet"/>
      </w:pPr>
      <w:r>
        <w:rPr>
          <w:color w:val="1F1E1D"/>
          <w:sz w:val="22"/>
        </w:rPr>
        <w:t>Contract terms nobody enforces</w:t>
      </w:r>
    </w:p>
    <w:p>
      <w:pPr>
        <w:pStyle w:val="ListBullet"/>
      </w:pPr>
      <w:r>
        <w:rPr>
          <w:color w:val="1F1E1D"/>
          <w:sz w:val="22"/>
        </w:rPr>
        <w:t>Rates and discounts never trued up</w:t>
      </w:r>
    </w:p>
    <w:p>
      <w:pPr>
        <w:pStyle w:val="ListBullet"/>
      </w:pPr>
      <w:r>
        <w:rPr>
          <w:color w:val="1F1E1D"/>
          <w:sz w:val="22"/>
        </w:rPr>
        <w:t>RECOVERABLE — Cash you go and get back. Usually the first thing to move, and it is what pays for the review.</w:t>
      </w:r>
    </w:p>
    <w:p>
      <w:pPr>
        <w:spacing w:before="220"/>
      </w:pPr>
      <w:r>
        <w:rPr>
          <w:b/>
          <w:color w:val="D97757"/>
          <w:sz w:val="20"/>
        </w:rPr>
        <w:t>“WE ARE BUSIER THAN EVER AND IT ISN’T REACHING THE BOTTOM LINE.”</w:t>
      </w:r>
    </w:p>
    <w:p>
      <w:pPr>
        <w:pStyle w:val="ListBullet"/>
      </w:pPr>
      <w:r>
        <w:rPr>
          <w:color w:val="1F1E1D"/>
          <w:sz w:val="22"/>
        </w:rPr>
        <w:t>Reconciliation, rekeying and approval queues</w:t>
      </w:r>
    </w:p>
    <w:p>
      <w:pPr>
        <w:pStyle w:val="ListBullet"/>
      </w:pPr>
      <w:r>
        <w:rPr>
          <w:color w:val="1F1E1D"/>
          <w:sz w:val="22"/>
        </w:rPr>
        <w:t>Rework loops, and what causes them upstream</w:t>
      </w:r>
    </w:p>
    <w:p>
      <w:pPr>
        <w:pStyle w:val="ListBullet"/>
      </w:pPr>
      <w:r>
        <w:rPr>
          <w:color w:val="1F1E1D"/>
          <w:sz w:val="22"/>
        </w:rPr>
        <w:t>Time from hire to productive, and what it waits on</w:t>
      </w:r>
    </w:p>
    <w:p>
      <w:pPr>
        <w:pStyle w:val="ListBullet"/>
      </w:pPr>
      <w:r>
        <w:rPr>
          <w:color w:val="1F1E1D"/>
          <w:sz w:val="22"/>
        </w:rPr>
        <w:t>Handoffs between sales, delivery and finance</w:t>
      </w:r>
    </w:p>
    <w:p>
      <w:pPr>
        <w:pStyle w:val="ListBullet"/>
      </w:pPr>
      <w:r>
        <w:rPr>
          <w:color w:val="1F1E1D"/>
          <w:sz w:val="22"/>
        </w:rPr>
        <w:t>REPEATING — Capacity you stop buying, or start selling. Moves the run rate rather than the quarter.</w:t>
      </w:r>
    </w:p>
    <w:p>
      <w:pPr>
        <w:spacing w:before="220"/>
      </w:pPr>
      <w:r>
        <w:rPr>
          <w:b/>
          <w:color w:val="D97757"/>
          <w:sz w:val="20"/>
        </w:rPr>
        <w:t>“THE AUDIT FOUND SOMETHING NOBODY KNEW WAS THERE.”</w:t>
      </w:r>
    </w:p>
    <w:p>
      <w:pPr>
        <w:pStyle w:val="ListBullet"/>
      </w:pPr>
      <w:r>
        <w:rPr>
          <w:color w:val="1F1E1D"/>
          <w:sz w:val="22"/>
        </w:rPr>
        <w:t>Compliance and regulatory stance</w:t>
      </w:r>
    </w:p>
    <w:p>
      <w:pPr>
        <w:pStyle w:val="ListBullet"/>
      </w:pPr>
      <w:r>
        <w:rPr>
          <w:color w:val="1F1E1D"/>
          <w:sz w:val="22"/>
        </w:rPr>
        <w:t>Legal and contractual exposure</w:t>
      </w:r>
    </w:p>
    <w:p>
      <w:pPr>
        <w:pStyle w:val="ListBullet"/>
      </w:pPr>
      <w:r>
        <w:rPr>
          <w:color w:val="1F1E1D"/>
          <w:sz w:val="22"/>
        </w:rPr>
        <w:t>Unmanaged AI or data sharing</w:t>
      </w:r>
    </w:p>
    <w:p>
      <w:pPr>
        <w:pStyle w:val="ListBullet"/>
      </w:pPr>
      <w:r>
        <w:rPr>
          <w:color w:val="1F1E1D"/>
          <w:sz w:val="22"/>
        </w:rPr>
        <w:t>Key-person and uninsured liability</w:t>
      </w:r>
    </w:p>
    <w:p>
      <w:pPr>
        <w:pStyle w:val="ListBullet"/>
      </w:pPr>
      <w:r>
        <w:rPr>
          <w:color w:val="1F1E1D"/>
          <w:sz w:val="22"/>
        </w:rPr>
        <w:t>CONTINGENT — Loss you avoid. Worth nothing until the day it is worth everything.</w:t>
      </w:r>
    </w:p>
    <w:p>
      <w:pPr>
        <w:pStyle w:val="ListBullet"/>
      </w:pPr>
      <w:r>
        <w:rPr>
          <w:color w:val="1F1E1D"/>
          <w:sz w:val="22"/>
        </w:rPr>
        <w:t>What the review finds is what the review finds. Nothing above is a result we are claiming; it is where we look. We write down what we expect to find before fieldwork , so afterwards you can check us against it rather than take our word for what was always going to be in there.</w:t>
      </w:r>
    </w:p>
    <w:p>
      <w:pPr>
        <w:spacing w:before="360"/>
      </w:pPr>
      <w:r>
        <w:rPr>
          <w:b/>
          <w:color w:val="1F1E1D"/>
          <w:sz w:val="29"/>
        </w:rPr>
        <w:t>You see everything first. Nothing moves without you.</w:t>
      </w:r>
    </w:p>
    <w:p>
      <w:pPr>
        <w:pBdr>
          <w:bottom w:val="single" w:sz="12" w:space="1" w:color="D97757"/>
        </w:pBdr>
        <w:spacing w:after="40"/>
      </w:pPr>
    </w:p>
    <w:p>
      <w:r>
        <w:rPr>
          <w:color w:val="5C5A54"/>
          <w:sz w:val="22"/>
        </w:rPr>
        <w:t>A proper look at how an operation really runs will turn things up — that is what you are paying for, and it is also why commissioning one takes a little nerve. Whatever we find concerns people you hired, trusted, and in some cases have known for twenty years. So here is exactly what happens to it, because you should know that before you decide rather than after.</w:t>
      </w:r>
    </w:p>
    <w:p>
      <w:pPr>
        <w:spacing w:before="220"/>
      </w:pPr>
      <w:r>
        <w:rPr>
          <w:b/>
          <w:color w:val="D97757"/>
          <w:sz w:val="20"/>
        </w:rPr>
        <w:t>IT COMES TO YOU, AND STOPS THERE</w:t>
      </w:r>
    </w:p>
    <w:p>
      <w:pPr>
        <w:pStyle w:val="ListBullet"/>
      </w:pPr>
      <w:r>
        <w:rPr>
          <w:color w:val="1F1E1D"/>
          <w:sz w:val="22"/>
        </w:rPr>
        <w:t>Findings go to you and to nobody else. You decide what circulates, to whom, and when. Nothing arrives in a board pack, a department head’s inbox or anybody’s personnel file because we put it there.</w:t>
      </w:r>
    </w:p>
    <w:p>
      <w:pPr>
        <w:spacing w:before="220"/>
      </w:pPr>
      <w:r>
        <w:rPr>
          <w:b/>
          <w:color w:val="D97757"/>
          <w:sz w:val="20"/>
        </w:rPr>
        <w:t>ALMOST NONE OF IT IS ANYONE’S FAULT</w:t>
      </w:r>
    </w:p>
    <w:p>
      <w:pPr>
        <w:pStyle w:val="ListBullet"/>
      </w:pPr>
      <w:r>
        <w:rPr>
          <w:color w:val="1F1E1D"/>
          <w:sz w:val="22"/>
        </w:rPr>
        <w:t>Standard costs drift. Contracts outlive the person who negotiated them. Nobody decided to stop enforcing that clause — the person who used to watch it left in 2021 and it was in nobody’s job description after that. Concentrated loss is what busy, well-run operations produce. Looking for it is not an accusation.</w:t>
      </w:r>
    </w:p>
    <w:p>
      <w:pPr>
        <w:spacing w:before="220"/>
      </w:pPr>
      <w:r>
        <w:rPr>
          <w:b/>
          <w:color w:val="D97757"/>
          <w:sz w:val="20"/>
        </w:rPr>
        <w:t>ANYTHING UNCOMFORTABLE IS A CONVERSATION FIRST</w:t>
      </w:r>
    </w:p>
    <w:p>
      <w:pPr>
        <w:pStyle w:val="ListBullet"/>
      </w:pPr>
      <w:r>
        <w:rPr>
          <w:color w:val="1F1E1D"/>
          <w:sz w:val="22"/>
        </w:rPr>
        <w:t>If something turns up that is not drift, you hear it from us spoken, early and in private — before it is written down anywhere. What happens next is your call, on your timing, with your own counsel. We will not have pre-empted it in a document you had not read yet.</w:t>
      </w:r>
    </w:p>
    <w:p>
      <w:pPr>
        <w:spacing w:before="220"/>
      </w:pPr>
      <w:r>
        <w:rPr>
          <w:b/>
          <w:color w:val="D97757"/>
          <w:sz w:val="20"/>
        </w:rPr>
        <w:t>WE READ SYSTEMS, NOT PEOPLE</w:t>
      </w:r>
    </w:p>
    <w:p>
      <w:pPr>
        <w:pStyle w:val="ListBullet"/>
      </w:pPr>
      <w:r>
        <w:rPr>
          <w:color w:val="1F1E1D"/>
          <w:sz w:val="22"/>
        </w:rPr>
        <w:t>An operating review is not a forensic investigation, and we do not quietly run one inside the other. We establish where the money goes, not who to blame for it. If a finding points somewhere that needs different expertise and different rules, we say so and stop rather than press on.</w:t>
      </w:r>
    </w:p>
    <w:p>
      <w:pPr>
        <w:pStyle w:val="ListBullet"/>
      </w:pPr>
      <w:r>
        <w:rPr>
          <w:color w:val="1F1E1D"/>
          <w:sz w:val="22"/>
        </w:rPr>
        <w:t>The examination happens either way. A buyer’s diligence team, a lender at renewal, a regulator, an insurer after a claim, a departing partner’s counsel — each of those reads your operation eventually, on their timetable, in front of their audience, with you having no say over what happens next. This is the version where you go first, in private, and you decide.</w:t>
      </w:r>
    </w:p>
    <w:p>
      <w:pPr>
        <w:spacing w:before="360"/>
      </w:pPr>
      <w:r>
        <w:rPr>
          <w:b/>
          <w:color w:val="1F1E1D"/>
          <w:sz w:val="29"/>
        </w:rPr>
        <w:t>We review the operating system, not one department.</w:t>
      </w:r>
    </w:p>
    <w:p>
      <w:pPr>
        <w:pBdr>
          <w:bottom w:val="single" w:sz="12" w:space="1" w:color="D97757"/>
        </w:pBdr>
        <w:spacing w:after="40"/>
      </w:pPr>
    </w:p>
    <w:p>
      <w:r>
        <w:rPr>
          <w:color w:val="5C5A54"/>
          <w:sz w:val="22"/>
        </w:rPr>
        <w:t>Full operating coverage replaces narrow extrapolation. That is how prior engagements surfaced issues a finance-only or compliance-only review would miss. Loss concentrates; it does not distribute. A sample is the wrong instrument for finding something that happens once.</w:t>
      </w:r>
    </w:p>
    <w:p>
      <w:pPr>
        <w:spacing w:before="220"/>
      </w:pPr>
      <w:r>
        <w:rPr>
          <w:b/>
          <w:color w:val="D97757"/>
          <w:sz w:val="20"/>
        </w:rPr>
        <w:t>CONVENTIONAL</w:t>
      </w:r>
    </w:p>
    <w:p>
      <w:pPr>
        <w:pStyle w:val="ListBullet"/>
      </w:pPr>
      <w:r>
        <w:rPr>
          <w:color w:val="1F1E1D"/>
          <w:sz w:val="22"/>
        </w:rPr>
        <w:t>Samples thirty transactions</w:t>
      </w:r>
    </w:p>
    <w:p>
      <w:pPr>
        <w:pStyle w:val="ListBullet"/>
      </w:pPr>
      <w:r>
        <w:rPr>
          <w:color w:val="1F1E1D"/>
          <w:sz w:val="22"/>
        </w:rPr>
        <w:t>Interviews eight people</w:t>
      </w:r>
    </w:p>
    <w:p>
      <w:pPr>
        <w:pStyle w:val="ListBullet"/>
      </w:pPr>
      <w:r>
        <w:rPr>
          <w:color w:val="1F1E1D"/>
          <w:sz w:val="22"/>
        </w:rPr>
        <w:t>Reviews one quarter</w:t>
      </w:r>
    </w:p>
    <w:p>
      <w:pPr>
        <w:pStyle w:val="ListBullet"/>
      </w:pPr>
      <w:r>
        <w:rPr>
          <w:color w:val="1F1E1D"/>
          <w:sz w:val="22"/>
        </w:rPr>
        <w:t>Extrapolates the rest</w:t>
      </w:r>
    </w:p>
    <w:p>
      <w:pPr>
        <w:spacing w:before="220"/>
      </w:pPr>
      <w:r>
        <w:rPr>
          <w:b/>
          <w:color w:val="D97757"/>
          <w:sz w:val="20"/>
        </w:rPr>
        <w:t>OUR APPROACH</w:t>
      </w:r>
    </w:p>
    <w:p>
      <w:pPr>
        <w:pStyle w:val="ListBullet"/>
      </w:pPr>
      <w:r>
        <w:rPr>
          <w:color w:val="1F1E1D"/>
          <w:sz w:val="22"/>
        </w:rPr>
        <w:t>Billing, collection and finance operations</w:t>
      </w:r>
    </w:p>
    <w:p>
      <w:pPr>
        <w:pStyle w:val="ListBullet"/>
      </w:pPr>
      <w:r>
        <w:rPr>
          <w:color w:val="1F1E1D"/>
          <w:sz w:val="22"/>
        </w:rPr>
        <w:t>Invoices, vendors and legal contracts</w:t>
      </w:r>
    </w:p>
    <w:p>
      <w:pPr>
        <w:pStyle w:val="ListBullet"/>
      </w:pPr>
      <w:r>
        <w:rPr>
          <w:color w:val="1F1E1D"/>
          <w:sz w:val="22"/>
        </w:rPr>
        <w:t>IT operations, access and data workflows</w:t>
      </w:r>
    </w:p>
    <w:p>
      <w:pPr>
        <w:pStyle w:val="ListBullet"/>
      </w:pPr>
      <w:r>
        <w:rPr>
          <w:color w:val="1F1E1D"/>
          <w:sz w:val="22"/>
        </w:rPr>
        <w:t>People, marketing and delivery handoffs</w:t>
      </w:r>
    </w:p>
    <w:p>
      <w:pPr>
        <w:pStyle w:val="ListBullet"/>
      </w:pPr>
      <w:r>
        <w:rPr>
          <w:color w:val="1F1E1D"/>
          <w:sz w:val="22"/>
        </w:rPr>
        <w:t>That coverage is what you are buying. The engagement that delivers it end to end across a single business unit is The Operating Review, one business unit , at a fixed fee. Multi-site and multi-entity coverage is quoted per engagement, because the number of units and systems drives everything.</w:t>
      </w:r>
    </w:p>
    <w:p>
      <w:pPr>
        <w:spacing w:before="360"/>
      </w:pPr>
      <w:r>
        <w:rPr>
          <w:b/>
          <w:color w:val="1F1E1D"/>
          <w:sz w:val="29"/>
        </w:rPr>
        <w:t>Your regulator, your filings, your vocabulary.</w:t>
      </w:r>
    </w:p>
    <w:p>
      <w:pPr>
        <w:pBdr>
          <w:bottom w:val="single" w:sz="12" w:space="1" w:color="D97757"/>
        </w:pBdr>
        <w:spacing w:after="40"/>
      </w:pPr>
    </w:p>
    <w:p>
      <w:r>
        <w:rPr>
          <w:color w:val="5C5A54"/>
          <w:sz w:val="22"/>
        </w:rPr>
        <w:t>What a review has to look at is set by your sector, not by us. A law firm has trust account reconciliation and a bar audit. A defence supplier has an SPRS score and an ITAR boundary. A property sponsor has covenant definitions that differ per loan document. None of those appear on anyone else’s list. A page that says “vendor contracts and write-offs” makes you translate — one that says “realisation, WIP ageing and origination credit” does not. So each page is written for one industry and borrows nothing from the others.</w:t>
      </w:r>
    </w:p>
    <w:p>
      <w:pPr>
        <w:spacing w:before="220"/>
      </w:pPr>
      <w:r>
        <w:rPr>
          <w:b/>
          <w:color w:val="D97757"/>
          <w:sz w:val="20"/>
        </w:rPr>
        <w:t>PROFESSIONAL AND ADVISORY FIRMS</w:t>
      </w:r>
    </w:p>
    <w:p>
      <w:pPr>
        <w:pStyle w:val="ListBullet"/>
      </w:pPr>
      <w:r>
        <w:rPr>
          <w:color w:val="1F1E1D"/>
          <w:sz w:val="22"/>
        </w:rPr>
        <w:t>Where the product is time, and three different numbers describe the same hour. Law firms · Accountancy firms · Professional services · Agencies and media · Staffing and recruitment · Engineering and architecture</w:t>
      </w:r>
    </w:p>
    <w:p>
      <w:pPr>
        <w:spacing w:before="220"/>
      </w:pPr>
      <w:r>
        <w:rPr>
          <w:b/>
          <w:color w:val="D97757"/>
          <w:sz w:val="20"/>
        </w:rPr>
        <w:t>FINANCIAL SERVICES AND INSURANCE</w:t>
      </w:r>
    </w:p>
    <w:p>
      <w:pPr>
        <w:pStyle w:val="ListBullet"/>
      </w:pPr>
      <w:r>
        <w:rPr>
          <w:color w:val="1F1E1D"/>
          <w:sz w:val="22"/>
        </w:rPr>
        <w:t>Where regulated cost is an operating line, and the operations underneath it are rarely priced. Financial services · Insurance · Real estate finance</w:t>
      </w:r>
    </w:p>
    <w:p>
      <w:pPr>
        <w:spacing w:before="220"/>
      </w:pPr>
      <w:r>
        <w:rPr>
          <w:b/>
          <w:color w:val="D97757"/>
          <w:sz w:val="20"/>
        </w:rPr>
        <w:t>MAKING, MOVING AND BUILDING</w:t>
      </w:r>
    </w:p>
    <w:p>
      <w:pPr>
        <w:pStyle w:val="ListBullet"/>
      </w:pPr>
      <w:r>
        <w:rPr>
          <w:color w:val="1F1E1D"/>
          <w:sz w:val="22"/>
        </w:rPr>
        <w:t>Where margin is calculated from standards, and the standards drift. Manufacturing · Aerospace and defence · Warehousing and logistics · Transport and fleet · Construction and contracting</w:t>
      </w:r>
    </w:p>
    <w:p>
      <w:pPr>
        <w:spacing w:before="220"/>
      </w:pPr>
      <w:r>
        <w:rPr>
          <w:b/>
          <w:color w:val="D97757"/>
          <w:sz w:val="20"/>
        </w:rPr>
        <w:t>PROPERTY, ENERGY AND INFRASTRUCTURE</w:t>
      </w:r>
    </w:p>
    <w:p>
      <w:pPr>
        <w:pStyle w:val="ListBullet"/>
      </w:pPr>
      <w:r>
        <w:rPr>
          <w:color w:val="1F1E1D"/>
          <w:sz w:val="22"/>
        </w:rPr>
        <w:t>Where the asset is the business, and what is contracted is not what is collected. Real estate · Energy and utilities</w:t>
      </w:r>
    </w:p>
    <w:p>
      <w:pPr>
        <w:spacing w:before="220"/>
      </w:pPr>
      <w:r>
        <w:rPr>
          <w:b/>
          <w:color w:val="D97757"/>
          <w:sz w:val="20"/>
        </w:rPr>
        <w:t>SELLING AND SERVING</w:t>
      </w:r>
    </w:p>
    <w:p>
      <w:pPr>
        <w:pStyle w:val="ListBullet"/>
      </w:pPr>
      <w:r>
        <w:rPr>
          <w:color w:val="1F1E1D"/>
          <w:sz w:val="22"/>
        </w:rPr>
        <w:t>Where volume hides the unit, and the unit is where the loss is. Retail and e-commerce · Hospitality and food service · Technology and SaaS</w:t>
      </w:r>
    </w:p>
    <w:p>
      <w:pPr>
        <w:spacing w:before="220"/>
      </w:pPr>
      <w:r>
        <w:rPr>
          <w:b/>
          <w:color w:val="D97757"/>
          <w:sz w:val="20"/>
        </w:rPr>
        <w:t>PUBLIC, FUNDED AND REGULATED</w:t>
      </w:r>
    </w:p>
    <w:p>
      <w:pPr>
        <w:pStyle w:val="ListBullet"/>
      </w:pPr>
      <w:r>
        <w:rPr>
          <w:color w:val="1F1E1D"/>
          <w:sz w:val="22"/>
        </w:rPr>
        <w:t>Where the funder, the regulator or the statute sets the operating model, and the cost of complying with it is nobody's line item. Healthcare · Human services and behavioural health · Government contracting · Public sector · Education and research · Nonprofit and grant-funded</w:t>
      </w:r>
    </w:p>
    <w:p>
      <w:pPr>
        <w:pStyle w:val="ListBullet"/>
      </w:pPr>
      <w:r>
        <w:rPr>
          <w:color w:val="1F1E1D"/>
          <w:sz w:val="22"/>
        </w:rPr>
        <w:t>Not listed is not out of scope. These are the sectors with a page written for them so far. The operating spine underneath — finance, revenue, receivables, payables, contracts, people, IT, operations, risk, commercial and governance — is the same wherever you sit; what a sector adds is its own regulator, its own filings and its own words for the same losses. Tell us what you do and we will say what we would add. Or start at the index .</w:t>
      </w:r>
    </w:p>
    <w:p>
      <w:pPr>
        <w:spacing w:before="360"/>
      </w:pPr>
      <w:r>
        <w:rPr>
          <w:b/>
          <w:color w:val="1F1E1D"/>
          <w:sz w:val="29"/>
        </w:rPr>
        <w:t>Two separate jobs. Most people need one of them.</w:t>
      </w:r>
    </w:p>
    <w:p>
      <w:pPr>
        <w:pBdr>
          <w:bottom w:val="single" w:sz="12" w:space="1" w:color="D97757"/>
        </w:pBdr>
        <w:spacing w:after="40"/>
      </w:pPr>
    </w:p>
    <w:p>
      <w:r>
        <w:rPr>
          <w:color w:val="5C5A54"/>
          <w:sz w:val="22"/>
        </w:rPr>
        <w:t>Deciding what your organisation is allowed to do with AI, and working out where it would actually earn its keep, are different pieces of work for different reasons. They are priced and delivered separately, and taking one does not commit you to the other — a firm with a client asking hard questions needs the first and may never want the second.</w:t>
      </w:r>
    </w:p>
    <w:p>
      <w:pPr>
        <w:spacing w:before="220"/>
      </w:pPr>
      <w:r>
        <w:rPr>
          <w:b/>
          <w:color w:val="D97757"/>
          <w:sz w:val="20"/>
        </w:rPr>
        <w:t>ONE — THE POLICY</w:t>
      </w:r>
    </w:p>
    <w:p>
      <w:pPr>
        <w:pStyle w:val="ListBullet"/>
      </w:pPr>
      <w:r>
        <w:rPr>
          <w:color w:val="1F1E1D"/>
          <w:sz w:val="22"/>
        </w:rPr>
        <w:t>For when somebody is going to ask what you allow, and you need an answer you can stand behind.</w:t>
      </w:r>
    </w:p>
    <w:p>
      <w:pPr>
        <w:pStyle w:val="ListBullet"/>
      </w:pPr>
      <w:r>
        <w:rPr>
          <w:color w:val="1F1E1D"/>
          <w:sz w:val="22"/>
        </w:rPr>
        <w:t>What is already in use. An inventory from what the network and the expense claims show, not a survey asking people to confess.</w:t>
      </w:r>
    </w:p>
    <w:p>
      <w:pPr>
        <w:pStyle w:val="ListBullet"/>
      </w:pPr>
      <w:r>
        <w:rPr>
          <w:color w:val="1F1E1D"/>
          <w:sz w:val="22"/>
        </w:rPr>
        <w:t>A policy people will follow. Written to permit rather than forbid: named tools, what may go into each, what must never, who signs an exception. A ban is ignored by the second week and leaves you the same exposure plus a document saying you knew.</w:t>
      </w:r>
    </w:p>
    <w:p>
      <w:pPr>
        <w:pStyle w:val="ListBullet"/>
      </w:pPr>
      <w:r>
        <w:rPr>
          <w:color w:val="1F1E1D"/>
          <w:sz w:val="22"/>
        </w:rPr>
        <w:t>The evidence behind it. Processing agreements, retention terms, approvals and an audit trail — so the answer exists before a client, an insurer or a regulator asks.</w:t>
      </w:r>
    </w:p>
    <w:p>
      <w:pPr>
        <w:spacing w:before="220"/>
      </w:pPr>
      <w:r>
        <w:rPr>
          <w:b/>
          <w:color w:val="D97757"/>
          <w:sz w:val="20"/>
        </w:rPr>
        <w:t>TWO — PUTTING IT TO WORK</w:t>
      </w:r>
    </w:p>
    <w:p>
      <w:pPr>
        <w:pStyle w:val="ListBullet"/>
      </w:pPr>
      <w:r>
        <w:rPr>
          <w:color w:val="1F1E1D"/>
          <w:sz w:val="22"/>
        </w:rPr>
        <w:t>For when you want the productivity and have nobody who can tell you where it is real.</w:t>
      </w:r>
    </w:p>
    <w:p>
      <w:pPr>
        <w:pStyle w:val="ListBullet"/>
      </w:pPr>
      <w:r>
        <w:rPr>
          <w:color w:val="1F1E1D"/>
          <w:sz w:val="22"/>
        </w:rPr>
        <w:t>Where it would actually earn. Which work in your operation is genuinely worth automating, judged against how the business runs rather than against what is currently fashionable.</w:t>
      </w:r>
    </w:p>
    <w:p>
      <w:pPr>
        <w:pStyle w:val="ListBullet"/>
      </w:pPr>
      <w:r>
        <w:rPr>
          <w:color w:val="1F1E1D"/>
          <w:sz w:val="22"/>
        </w:rPr>
        <w:t>Buy, build or neither. What a tool costs to run at your volume, what it would cost to build, and which of the obvious applications will not repay the effort. Often the honest answer is the third one.</w:t>
      </w:r>
    </w:p>
    <w:p>
      <w:pPr>
        <w:pStyle w:val="ListBullet"/>
      </w:pPr>
      <w:r>
        <w:rPr>
          <w:color w:val="1F1E1D"/>
          <w:sz w:val="22"/>
        </w:rPr>
        <w:t>Delivered so it survives you. Documented, owned by your people, and not dependent on us or on a vendor you cannot leave.</w:t>
      </w:r>
    </w:p>
    <w:p>
      <w:pPr>
        <w:spacing w:before="220"/>
      </w:pPr>
      <w:r>
        <w:rPr>
          <w:b/>
          <w:color w:val="D97757"/>
          <w:sz w:val="20"/>
        </w:rPr>
        <w:t>THREE WAYS TO ACTUALLY RUN IT</w:t>
      </w:r>
    </w:p>
    <w:p>
      <w:pPr>
        <w:pStyle w:val="ListBullet"/>
      </w:pPr>
      <w:r>
        <w:rPr>
          <w:color w:val="1F1E1D"/>
          <w:sz w:val="22"/>
        </w:rPr>
        <w:t>Where the models run decides what you are allowed to put into them. That is an infrastructure question before it is a policy one, and it is the half most advice skips.</w:t>
      </w:r>
    </w:p>
    <w:p>
      <w:pPr>
        <w:spacing w:before="220"/>
      </w:pPr>
      <w:r>
        <w:rPr>
          <w:b/>
          <w:color w:val="D97757"/>
          <w:sz w:val="20"/>
        </w:rPr>
        <w:t>A PRIVATE INSTALLATION</w:t>
      </w:r>
    </w:p>
    <w:p>
      <w:pPr>
        <w:pStyle w:val="ListBullet"/>
      </w:pPr>
      <w:r>
        <w:rPr>
          <w:color w:val="1F1E1D"/>
          <w:sz w:val="22"/>
        </w:rPr>
        <w:t>One machine in your rack running open models on hardware you own. Nothing leaves the building — the only arrangement that works for controlled technical data, client confidences or patient records. $45,000 specified, procured, built, benchmarked and handed over — hardware bought in your name, no margin taken on it</w:t>
      </w:r>
    </w:p>
    <w:p>
      <w:pPr>
        <w:spacing w:before="220"/>
      </w:pPr>
      <w:r>
        <w:rPr>
          <w:b/>
          <w:color w:val="D97757"/>
          <w:sz w:val="20"/>
        </w:rPr>
        <w:t>THE RIGHT PROVIDER, CHOSEN PROPERLY</w:t>
      </w:r>
    </w:p>
    <w:p>
      <w:pPr>
        <w:pStyle w:val="ListBullet"/>
      </w:pPr>
      <w:r>
        <w:rPr>
          <w:color w:val="1F1E1D"/>
          <w:sz w:val="22"/>
        </w:rPr>
        <w:t>Which platform fits the work, what it costs at your volume rather than at list, where your data goes and what the exit looks like. Ends in a written recommendation you can put to a board. $22,000 with the numbers behind it</w:t>
      </w:r>
    </w:p>
    <w:p>
      <w:pPr>
        <w:spacing w:before="220"/>
      </w:pPr>
      <w:r>
        <w:rPr>
          <w:b/>
          <w:color w:val="D97757"/>
          <w:sz w:val="20"/>
        </w:rPr>
        <w:t>FROM A FEW NODES TO TENS OF THOUSANDS OF GPUS</w:t>
      </w:r>
    </w:p>
    <w:p>
      <w:pPr>
        <w:pStyle w:val="ListBullet"/>
      </w:pPr>
      <w:r>
        <w:rPr>
          <w:color w:val="1F1E1D"/>
          <w:sz w:val="22"/>
        </w:rPr>
        <w:t>The same discipline at every size — what changes is which layer fails first. At a few nodes it is scheduling. At a few hundred it is the fabric. Past that it is storage bandwidth, then power and cooling. Built, benchmarked against what was actually sold to you, and instrumented so you can prove it. Quoted per build after a scoping session</w:t>
      </w:r>
    </w:p>
    <w:p>
      <w:pPr>
        <w:pStyle w:val="ListBullet"/>
      </w:pPr>
      <w:r>
        <w:rPr>
          <w:color w:val="1F1E1D"/>
          <w:sz w:val="22"/>
        </w:rPr>
        <w:t>Start with a scoping session — $4,500 — Half a day with whoever owns the decision — usually two or three of your people, and worth having them all in the room. What you are already running, what you are actually trying to do, what your sector will and will not permit, and an honest read on whether it needs building, buying or dropping. Written up afterwards so it survives the meeting. Credited in full against whatever you commission next, with no deadline on that.</w:t>
      </w:r>
    </w:p>
    <w:p>
      <w:pPr>
        <w:pStyle w:val="ListBullet"/>
      </w:pPr>
      <w:r>
        <w:rPr>
          <w:color w:val="1F1E1D"/>
          <w:sz w:val="22"/>
        </w:rPr>
        <w:t>They connect, but only if you want them to. Knowing which of your work a model is good at is an operating question, answered by reading how the business actually runs — which is what the rest of this page is about. If a review is already happening, this costs very little extra. If it is not, either job stands perfectly well on its own.</w:t>
      </w:r>
    </w:p>
    <w:p>
      <w:pPr>
        <w:pStyle w:val="ListBullet"/>
      </w:pPr>
      <w:r>
        <w:rPr>
          <w:color w:val="1F1E1D"/>
          <w:sz w:val="22"/>
        </w:rPr>
        <w:t>Your sector already has a view. A law firm has bar guidance on client confidences. A defence supplier has controlled technical data that must not reach a public model at all. A practice has patient records and a business associate agreement written before any of this existed. What makes general advice usable is knowing which rules are yours, which is what the industry pages are for.</w:t>
      </w:r>
    </w:p>
    <w:p>
      <w:pPr>
        <w:spacing w:before="360"/>
      </w:pPr>
      <w:r>
        <w:rPr>
          <w:b/>
          <w:color w:val="1F1E1D"/>
          <w:sz w:val="29"/>
        </w:rPr>
        <w:t>The rules the engagement has to live inside.</w:t>
      </w:r>
    </w:p>
    <w:p>
      <w:pPr>
        <w:pBdr>
          <w:bottom w:val="single" w:sz="12" w:space="1" w:color="D97757"/>
        </w:pBdr>
        <w:spacing w:after="40"/>
      </w:pPr>
    </w:p>
    <w:p>
      <w:r>
        <w:rPr>
          <w:color w:val="5C5A54"/>
          <w:sz w:val="22"/>
        </w:rPr>
        <w:t>A review of the whole operation reaches the parts of it that are regulated. Payroll, contracts, the general ledger, customer records and in some sectors patient or student records all sit inside somebody’s regime, and the review does not get an exemption from it. These are the frameworks the work is delivered under — described as capability and commitment, not as certification.</w:t>
      </w:r>
    </w:p>
    <w:p>
      <w:pPr>
        <w:spacing w:before="220"/>
      </w:pPr>
      <w:r>
        <w:rPr>
          <w:b/>
          <w:color w:val="D97757"/>
          <w:sz w:val="20"/>
        </w:rPr>
        <w:t>HEALTH INFORMATION</w:t>
      </w:r>
    </w:p>
    <w:p>
      <w:pPr>
        <w:pStyle w:val="ListBullet"/>
      </w:pPr>
      <w:r>
        <w:rPr>
          <w:color w:val="1F1E1D"/>
          <w:sz w:val="22"/>
        </w:rPr>
        <w:t>Where protected health information is in scope, a business associate agreement is signed before any data moves, and the engagement runs to the HIPAA Security Rule and the minimum-necessary standard. In practice we ask for de-identified or aggregated extracts first and identifiable data only where a finding genuinely depends on it. GxP and 21 CFR Part 11 where electronic records and signatures are in scope.</w:t>
      </w:r>
    </w:p>
    <w:p>
      <w:pPr>
        <w:spacing w:before="220"/>
      </w:pPr>
      <w:r>
        <w:rPr>
          <w:b/>
          <w:color w:val="D97757"/>
          <w:sz w:val="20"/>
        </w:rPr>
        <w:t>CONTROLLED UNCLASSIFIED INFORMATION</w:t>
      </w:r>
    </w:p>
    <w:p>
      <w:pPr>
        <w:pStyle w:val="ListBullet"/>
      </w:pPr>
      <w:r>
        <w:rPr>
          <w:color w:val="1F1E1D"/>
          <w:sz w:val="22"/>
        </w:rPr>
        <w:t>CUI is handled to NIST SP 800-171, with the system security plan and POA&amp;M that go with it, and NIST SP 800-53 where a federal system is involved. Media sanitisation on disposal follows NIST SP 800-88. Where a contract carries CMMC obligations or flow-down clauses, those govern what we may hold and where — and we will say so before accepting the work rather than after.</w:t>
      </w:r>
    </w:p>
    <w:p>
      <w:pPr>
        <w:spacing w:before="220"/>
      </w:pPr>
      <w:r>
        <w:rPr>
          <w:b/>
          <w:color w:val="D97757"/>
          <w:sz w:val="20"/>
        </w:rPr>
        <w:t>EXPORT CONTROL AND SANCTIONS</w:t>
      </w:r>
    </w:p>
    <w:p>
      <w:pPr>
        <w:pStyle w:val="ListBullet"/>
      </w:pPr>
      <w:r>
        <w:rPr>
          <w:color w:val="1F1E1D"/>
          <w:sz w:val="22"/>
        </w:rPr>
        <w:t>EAR and ITAR where they apply, including the part that catches research organisations: giving a foreign national access to controlled technology is an export, and a document request is a form of access. Restricted party and OFAC screening, technology control plans, and an honest reading of where the fundamental research exclusion applies rather than where it would be convenient.</w:t>
      </w:r>
    </w:p>
    <w:p>
      <w:pPr>
        <w:spacing w:before="220"/>
      </w:pPr>
      <w:r>
        <w:rPr>
          <w:b/>
          <w:color w:val="D97757"/>
          <w:sz w:val="20"/>
        </w:rPr>
        <w:t>PRIVACY, PAYMENTS AND RECORDS</w:t>
      </w:r>
    </w:p>
    <w:p>
      <w:pPr>
        <w:pStyle w:val="ListBullet"/>
      </w:pPr>
      <w:r>
        <w:rPr>
          <w:color w:val="1F1E1D"/>
          <w:sz w:val="22"/>
        </w:rPr>
        <w:t>GDPR and UK GDPR where a collaboration or a customer base crosses into scope, with a data processing agreement rather than an assurance. FERPA for education records. PCI DSS is handled by keeping cardholder data out of scope by default — we ask for settlement and reconciliation data, not card numbers. Where your own regime is something else, it governs, and we work to it.</w:t>
      </w:r>
    </w:p>
    <w:p>
      <w:pPr>
        <w:spacing w:before="220"/>
      </w:pPr>
      <w:r>
        <w:rPr>
          <w:b/>
          <w:color w:val="D97757"/>
          <w:sz w:val="20"/>
        </w:rPr>
        <w:t>AGREED BEFORE WORK BEGINS</w:t>
      </w:r>
    </w:p>
    <w:p>
      <w:pPr>
        <w:pStyle w:val="ListBullet"/>
      </w:pPr>
      <w:r>
        <w:rPr>
          <w:color w:val="1F1E1D"/>
          <w:sz w:val="22"/>
        </w:rPr>
        <w:t>What we may hold, where it may be stored, who may see it, how long it is kept and how it is destroyed are agreed in writing before the first document moves — NDA, and a BAA or DPA where one is required. Named individuals, not “the team”. No subprocessing without your agreement. The commercial half of the same question is in the ordering terms .</w:t>
      </w:r>
    </w:p>
    <w:p>
      <w:pPr>
        <w:spacing w:before="220"/>
      </w:pPr>
      <w:r>
        <w:rPr>
          <w:b/>
          <w:color w:val="D97757"/>
          <w:sz w:val="20"/>
        </w:rPr>
        <w:t>WHAT THE COMMITMENT ACTUALLY LOOKS LIKE</w:t>
      </w:r>
    </w:p>
    <w:p>
      <w:pPr>
        <w:pStyle w:val="ListBullet"/>
      </w:pPr>
      <w:r>
        <w:rPr>
          <w:color w:val="1F1E1D"/>
          <w:sz w:val="22"/>
        </w:rPr>
        <w:t>Documents go to private storage with no public address; access is by an unguessable per-engagement link, never a shared password; every open, view, upload and download is written to an append-only log, so “who saw our payroll file” has a list for an answer; and a retention date is set at the start and enforced by the storage itself rather than by anyone remembering. That is the client portal .</w:t>
      </w:r>
    </w:p>
    <w:p>
      <w:pPr>
        <w:pStyle w:val="ListBullet"/>
      </w:pPr>
      <w:r>
        <w:rPr>
          <w:color w:val="1F1E1D"/>
          <w:sz w:val="22"/>
        </w:rPr>
        <w:t>Said plainly, because the distinction matters. Everything above is a statement of how we work and what we will commit to, not a certification. There is no such thing as being “HIPAA certified”, and a firm that says otherwise has told you something useful about the rest of its claims. Where you need evidence rather than assurance — a completed security questionnaire, a signed BAA, a named data controller, your own paper instead of ours — ask, and it happens before the engagement starts rather than during it.</w:t>
      </w:r>
    </w:p>
    <w:p>
      <w:pPr>
        <w:spacing w:before="360"/>
      </w:pPr>
      <w:r>
        <w:rPr>
          <w:b/>
          <w:color w:val="1F1E1D"/>
          <w:sz w:val="29"/>
        </w:rPr>
        <w:t>Full operating diagnostic.</w:t>
      </w:r>
    </w:p>
    <w:p>
      <w:pPr>
        <w:pBdr>
          <w:bottom w:val="single" w:sz="12" w:space="1" w:color="D97757"/>
        </w:pBdr>
        <w:spacing w:after="40"/>
      </w:pPr>
    </w:p>
    <w:p>
      <w:r>
        <w:rPr>
          <w:color w:val="5C5A54"/>
          <w:sz w:val="22"/>
        </w:rPr>
        <w:t>We apply the same method across finance, IT, compliance, people, legal, marketing and sales operations, in whatever sector you are in. Phase one stands alone. The report is yours; phase two is discussed only afterward.</w:t>
      </w:r>
    </w:p>
    <w:p>
      <w:pPr>
        <w:spacing w:before="220"/>
      </w:pPr>
      <w:r>
        <w:rPr>
          <w:b/>
          <w:color w:val="D97757"/>
          <w:sz w:val="20"/>
        </w:rPr>
        <w:t>OUR APPROACH</w:t>
      </w:r>
    </w:p>
    <w:p>
      <w:pPr>
        <w:pStyle w:val="ListBullet"/>
      </w:pPr>
      <w:r>
        <w:rPr>
          <w:color w:val="1F1E1D"/>
          <w:sz w:val="22"/>
        </w:rPr>
        <w:t>Finance operations reviewed end to end</w:t>
      </w:r>
    </w:p>
    <w:p>
      <w:pPr>
        <w:pStyle w:val="ListBullet"/>
      </w:pPr>
      <w:r>
        <w:rPr>
          <w:color w:val="1F1E1D"/>
          <w:sz w:val="22"/>
        </w:rPr>
        <w:t>Revenue leakage traced to root cause</w:t>
      </w:r>
    </w:p>
    <w:p>
      <w:pPr>
        <w:pStyle w:val="ListBullet"/>
      </w:pPr>
      <w:r>
        <w:rPr>
          <w:color w:val="1F1E1D"/>
          <w:sz w:val="22"/>
        </w:rPr>
        <w:t>IT operations, access and data workflows mapped</w:t>
      </w:r>
    </w:p>
    <w:p>
      <w:pPr>
        <w:pStyle w:val="ListBullet"/>
      </w:pPr>
      <w:r>
        <w:rPr>
          <w:color w:val="1F1E1D"/>
          <w:sz w:val="22"/>
        </w:rPr>
        <w:t>Compliance and regulatory stance reviewed</w:t>
      </w:r>
    </w:p>
    <w:p>
      <w:pPr>
        <w:pStyle w:val="ListBullet"/>
      </w:pPr>
      <w:r>
        <w:rPr>
          <w:color w:val="1F1E1D"/>
          <w:sz w:val="22"/>
        </w:rPr>
        <w:t>Legal contracts and vendor obligations tested</w:t>
      </w:r>
    </w:p>
    <w:p>
      <w:pPr>
        <w:pStyle w:val="ListBullet"/>
      </w:pPr>
      <w:r>
        <w:rPr>
          <w:color w:val="1F1E1D"/>
          <w:sz w:val="22"/>
        </w:rPr>
        <w:t>Marketing and sales operations assessed</w:t>
      </w:r>
    </w:p>
    <w:p>
      <w:pPr>
        <w:spacing w:before="220"/>
      </w:pPr>
      <w:r>
        <w:rPr>
          <w:b/>
          <w:color w:val="D97757"/>
          <w:sz w:val="20"/>
        </w:rPr>
        <w:t>THE REPORT</w:t>
      </w:r>
    </w:p>
    <w:p>
      <w:pPr>
        <w:pStyle w:val="ListBullet"/>
      </w:pPr>
      <w:r>
        <w:rPr>
          <w:color w:val="1F1E1D"/>
          <w:sz w:val="22"/>
        </w:rPr>
        <w:t>What works and what to protect</w:t>
      </w:r>
    </w:p>
    <w:p>
      <w:pPr>
        <w:pStyle w:val="ListBullet"/>
      </w:pPr>
      <w:r>
        <w:rPr>
          <w:color w:val="1F1E1D"/>
          <w:sz w:val="22"/>
        </w:rPr>
        <w:t>Every material finding quantified</w:t>
      </w:r>
    </w:p>
    <w:p>
      <w:pPr>
        <w:pStyle w:val="ListBullet"/>
      </w:pPr>
      <w:r>
        <w:rPr>
          <w:color w:val="1F1E1D"/>
          <w:sz w:val="22"/>
        </w:rPr>
        <w:t>Cost now vs. cost to fix</w:t>
      </w:r>
    </w:p>
    <w:p>
      <w:pPr>
        <w:pStyle w:val="ListBullet"/>
      </w:pPr>
      <w:r>
        <w:rPr>
          <w:color w:val="1F1E1D"/>
          <w:sz w:val="22"/>
        </w:rPr>
        <w:t>What not to fix</w:t>
      </w:r>
    </w:p>
    <w:p>
      <w:pPr>
        <w:pStyle w:val="ListBullet"/>
      </w:pPr>
      <w:r>
        <w:rPr>
          <w:color w:val="1F1E1D"/>
          <w:sz w:val="22"/>
        </w:rPr>
        <w:t>Owners, dates and sequence</w:t>
      </w:r>
    </w:p>
    <w:p>
      <w:pPr>
        <w:pStyle w:val="ListBullet"/>
      </w:pPr>
      <w:r>
        <w:rPr>
          <w:color w:val="1F1E1D"/>
          <w:sz w:val="22"/>
        </w:rPr>
        <w:t>Not ready to commission the whole thing? The operating diagnostic is the short, bounded version of exactly this: the same six areas, enough of each to establish where the loss is actually concentrated and whether a full review is worth commissioning at all. If it is not, we say so. It is the sensible place to start, and it can be raised on a purchase order like anything else.</w:t>
      </w:r>
    </w:p>
    <w:p>
      <w:pPr>
        <w:spacing w:before="360"/>
      </w:pPr>
      <w:r>
        <w:rPr>
          <w:b/>
          <w:color w:val="1F1E1D"/>
          <w:sz w:val="29"/>
        </w:rPr>
        <w:t>Improve and build.</w:t>
      </w:r>
    </w:p>
    <w:p>
      <w:pPr>
        <w:pBdr>
          <w:bottom w:val="single" w:sz="12" w:space="1" w:color="D97757"/>
        </w:pBdr>
        <w:spacing w:after="40"/>
      </w:pPr>
    </w:p>
    <w:p>
      <w:r>
        <w:rPr>
          <w:color w:val="5C5A54"/>
          <w:sz w:val="22"/>
        </w:rPr>
        <w:t>We scale what already works, then repair the systems that slow the business down. We build technology only where it improves the economics.</w:t>
      </w:r>
    </w:p>
    <w:p>
      <w:pPr>
        <w:spacing w:before="220"/>
      </w:pPr>
      <w:r>
        <w:rPr>
          <w:b/>
          <w:color w:val="D97757"/>
          <w:sz w:val="20"/>
        </w:rPr>
        <w:t>EXTEND &amp; REWARD</w:t>
      </w:r>
    </w:p>
    <w:p>
      <w:pPr>
        <w:pStyle w:val="ListBullet"/>
      </w:pPr>
      <w:r>
        <w:rPr>
          <w:color w:val="1F1E1D"/>
          <w:sz w:val="22"/>
        </w:rPr>
        <w:t>Scale methods already working</w:t>
      </w:r>
    </w:p>
    <w:p>
      <w:pPr>
        <w:pStyle w:val="ListBullet"/>
      </w:pPr>
      <w:r>
        <w:rPr>
          <w:color w:val="1F1E1D"/>
          <w:sz w:val="22"/>
        </w:rPr>
        <w:t>Recognize the people behind them</w:t>
      </w:r>
    </w:p>
    <w:p>
      <w:pPr>
        <w:pStyle w:val="ListBullet"/>
      </w:pPr>
      <w:r>
        <w:rPr>
          <w:color w:val="1F1E1D"/>
          <w:sz w:val="22"/>
        </w:rPr>
        <w:t>Align incentives to clean performance</w:t>
      </w:r>
    </w:p>
    <w:p>
      <w:pPr>
        <w:pStyle w:val="ListBullet"/>
      </w:pPr>
      <w:r>
        <w:rPr>
          <w:color w:val="1F1E1D"/>
          <w:sz w:val="22"/>
        </w:rPr>
        <w:t>Protect what should not change</w:t>
      </w:r>
    </w:p>
    <w:p>
      <w:pPr>
        <w:spacing w:before="220"/>
      </w:pPr>
      <w:r>
        <w:rPr>
          <w:b/>
          <w:color w:val="D97757"/>
          <w:sz w:val="20"/>
        </w:rPr>
        <w:t>REPAIR &amp; REBUILD</w:t>
      </w:r>
    </w:p>
    <w:p>
      <w:pPr>
        <w:pStyle w:val="ListBullet"/>
      </w:pPr>
      <w:r>
        <w:rPr>
          <w:color w:val="1F1E1D"/>
          <w:sz w:val="22"/>
        </w:rPr>
        <w:t>Rebuild finance and IT workflows</w:t>
      </w:r>
    </w:p>
    <w:p>
      <w:pPr>
        <w:pStyle w:val="ListBullet"/>
      </w:pPr>
      <w:r>
        <w:rPr>
          <w:color w:val="1F1E1D"/>
          <w:sz w:val="22"/>
        </w:rPr>
        <w:t>Close compliance and readiness gaps</w:t>
      </w:r>
    </w:p>
    <w:p>
      <w:pPr>
        <w:pStyle w:val="ListBullet"/>
      </w:pPr>
      <w:r>
        <w:rPr>
          <w:color w:val="1F1E1D"/>
          <w:sz w:val="22"/>
        </w:rPr>
        <w:t>Renegotiate legal and vendor terms</w:t>
      </w:r>
    </w:p>
    <w:p>
      <w:pPr>
        <w:pStyle w:val="ListBullet"/>
      </w:pPr>
      <w:r>
        <w:rPr>
          <w:color w:val="1F1E1D"/>
          <w:sz w:val="22"/>
        </w:rPr>
        <w:t>Clean up marketing and sales handoffs</w:t>
      </w:r>
    </w:p>
    <w:p>
      <w:pPr>
        <w:pStyle w:val="ListBullet"/>
      </w:pPr>
      <w:r>
        <w:rPr>
          <w:color w:val="1F1E1D"/>
          <w:sz w:val="22"/>
        </w:rPr>
        <w:t>Train staff on the new process</w:t>
      </w:r>
    </w:p>
    <w:p>
      <w:pPr>
        <w:spacing w:before="220"/>
      </w:pPr>
      <w:r>
        <w:rPr>
          <w:b/>
          <w:color w:val="D97757"/>
          <w:sz w:val="20"/>
        </w:rPr>
        <w:t>CUSTOM BUILD — IF APPLICABLE</w:t>
      </w:r>
    </w:p>
    <w:p>
      <w:pPr>
        <w:pStyle w:val="ListBullet"/>
      </w:pPr>
      <w:r>
        <w:rPr>
          <w:color w:val="1F1E1D"/>
          <w:sz w:val="22"/>
        </w:rPr>
        <w:t>Pre-bill review using rejection history</w:t>
      </w:r>
    </w:p>
    <w:p>
      <w:pPr>
        <w:pStyle w:val="ListBullet"/>
      </w:pPr>
      <w:r>
        <w:rPr>
          <w:color w:val="1F1E1D"/>
          <w:sz w:val="22"/>
        </w:rPr>
        <w:t>Finance and contract exception reporting</w:t>
      </w:r>
    </w:p>
    <w:p>
      <w:pPr>
        <w:pStyle w:val="ListBullet"/>
      </w:pPr>
      <w:r>
        <w:rPr>
          <w:color w:val="1F1E1D"/>
          <w:sz w:val="22"/>
        </w:rPr>
        <w:t>Document classification</w:t>
      </w:r>
    </w:p>
    <w:p>
      <w:pPr>
        <w:pStyle w:val="ListBullet"/>
      </w:pPr>
      <w:r>
        <w:rPr>
          <w:color w:val="1F1E1D"/>
          <w:sz w:val="22"/>
        </w:rPr>
        <w:t>Automated screening and eligibility checks</w:t>
      </w:r>
    </w:p>
    <w:p>
      <w:pPr>
        <w:pStyle w:val="ListBullet"/>
      </w:pPr>
      <w:r>
        <w:rPr>
          <w:color w:val="1F1E1D"/>
          <w:sz w:val="22"/>
        </w:rPr>
        <w:t>AI-use and data-access monitoring</w:t>
      </w:r>
    </w:p>
    <w:p>
      <w:pPr>
        <w:pStyle w:val="ListBullet"/>
      </w:pPr>
      <w:r>
        <w:rPr>
          <w:color w:val="1F1E1D"/>
          <w:sz w:val="22"/>
        </w:rPr>
        <w:t>Phase two is never sold before phase one is delivered. When the findings are agreed and you want help landing them, implementation support is scoped and quoted against those findings — not before them, and never as a condition of receiving them.</w:t>
      </w:r>
    </w:p>
    <w:p>
      <w:pPr>
        <w:spacing w:before="360"/>
      </w:pPr>
      <w:r>
        <w:rPr>
          <w:b/>
          <w:color w:val="1F1E1D"/>
          <w:sz w:val="29"/>
        </w:rPr>
        <w:t>Make the work better across the whole operation.</w:t>
      </w:r>
    </w:p>
    <w:p>
      <w:pPr>
        <w:pBdr>
          <w:bottom w:val="single" w:sz="12" w:space="1" w:color="D97757"/>
        </w:pBdr>
        <w:spacing w:after="40"/>
      </w:pPr>
    </w:p>
    <w:p>
      <w:r>
        <w:rPr>
          <w:color w:val="5C5A54"/>
          <w:sz w:val="22"/>
        </w:rPr>
        <w:t>Successful engagements improve the daily operating system, not just the report. We fix processes first. That is how prior projects gained better data and stronger adoption.</w:t>
      </w:r>
    </w:p>
    <w:p>
      <w:pPr>
        <w:spacing w:before="220"/>
      </w:pPr>
      <w:r>
        <w:rPr>
          <w:b/>
          <w:color w:val="D97757"/>
          <w:sz w:val="20"/>
        </w:rPr>
        <w:t>SCALE WHAT ALREADY WORKS</w:t>
      </w:r>
    </w:p>
    <w:p>
      <w:pPr>
        <w:pStyle w:val="ListBullet"/>
      </w:pPr>
      <w:r>
        <w:rPr>
          <w:color w:val="1F1E1D"/>
          <w:sz w:val="22"/>
        </w:rPr>
        <w:t>Strong performers and clean processes are identified, protected and replicated.</w:t>
      </w:r>
    </w:p>
    <w:p>
      <w:pPr>
        <w:spacing w:before="220"/>
      </w:pPr>
      <w:r>
        <w:rPr>
          <w:b/>
          <w:color w:val="D97757"/>
          <w:sz w:val="20"/>
        </w:rPr>
        <w:t>REMOVE LOW-VALUE WORK FIRST</w:t>
      </w:r>
    </w:p>
    <w:p>
      <w:pPr>
        <w:pStyle w:val="ListBullet"/>
      </w:pPr>
      <w:r>
        <w:rPr>
          <w:color w:val="1F1E1D"/>
          <w:sz w:val="22"/>
        </w:rPr>
        <w:t>Re-keying, chasing paper, access issues and repetitive follow-up are usually the first targets.</w:t>
      </w:r>
    </w:p>
    <w:p>
      <w:pPr>
        <w:spacing w:before="220"/>
      </w:pPr>
      <w:r>
        <w:rPr>
          <w:b/>
          <w:color w:val="D97757"/>
          <w:sz w:val="20"/>
        </w:rPr>
        <w:t>AUTOMATION HANDLES ROUTINE VOLUME</w:t>
      </w:r>
    </w:p>
    <w:p>
      <w:pPr>
        <w:pStyle w:val="ListBullet"/>
      </w:pPr>
      <w:r>
        <w:rPr>
          <w:color w:val="1F1E1D"/>
          <w:sz w:val="22"/>
        </w:rPr>
        <w:t>People move to exceptions, judgment and higher-value work.</w:t>
      </w:r>
    </w:p>
    <w:p>
      <w:pPr>
        <w:spacing w:before="220"/>
      </w:pPr>
      <w:r>
        <w:rPr>
          <w:b/>
          <w:color w:val="D97757"/>
          <w:sz w:val="20"/>
        </w:rPr>
        <w:t>ALIGN INCENTIVES</w:t>
      </w:r>
    </w:p>
    <w:p>
      <w:pPr>
        <w:pStyle w:val="ListBullet"/>
      </w:pPr>
      <w:r>
        <w:rPr>
          <w:color w:val="1F1E1D"/>
          <w:sz w:val="22"/>
        </w:rPr>
        <w:t>Reward the behaviors that produce clean finance, clean handoffs and clean operations.</w:t>
      </w:r>
    </w:p>
    <w:p>
      <w:pPr>
        <w:spacing w:before="360"/>
      </w:pPr>
      <w:r>
        <w:rPr>
          <w:b/>
          <w:color w:val="1F1E1D"/>
          <w:sz w:val="29"/>
        </w:rPr>
        <w:t>Before fieldwork, we document what we expect to find.</w:t>
      </w:r>
    </w:p>
    <w:p>
      <w:pPr>
        <w:pBdr>
          <w:bottom w:val="single" w:sz="12" w:space="1" w:color="D97757"/>
        </w:pBdr>
        <w:spacing w:after="40"/>
      </w:pPr>
    </w:p>
    <w:p>
      <w:r>
        <w:rPr>
          <w:color w:val="5C5A54"/>
          <w:sz w:val="22"/>
        </w:rPr>
        <w:t>Three dated predictions, including one thing we expect is already working well. Repeatable work should be measurable.</w:t>
      </w:r>
    </w:p>
    <w:p>
      <w:pPr>
        <w:spacing w:before="220"/>
      </w:pPr>
      <w:r>
        <w:rPr>
          <w:b/>
          <w:color w:val="D97757"/>
          <w:sz w:val="20"/>
        </w:rPr>
        <w:t>IF WE ARE RIGHT</w:t>
      </w:r>
    </w:p>
    <w:p>
      <w:pPr>
        <w:pStyle w:val="ListBullet"/>
      </w:pPr>
      <w:r>
        <w:rPr>
          <w:color w:val="1F1E1D"/>
          <w:sz w:val="22"/>
        </w:rPr>
        <w:t>It shows the diagnosis came from experience, not hindsight.</w:t>
      </w:r>
    </w:p>
    <w:p>
      <w:pPr>
        <w:spacing w:before="220"/>
      </w:pPr>
      <w:r>
        <w:rPr>
          <w:b/>
          <w:color w:val="D97757"/>
          <w:sz w:val="20"/>
        </w:rPr>
        <w:t>IF WE ARE WRONG</w:t>
      </w:r>
    </w:p>
    <w:p>
      <w:pPr>
        <w:pStyle w:val="ListBullet"/>
      </w:pPr>
      <w:r>
        <w:rPr>
          <w:color w:val="1F1E1D"/>
          <w:sz w:val="22"/>
        </w:rPr>
        <w:t>The miss is documented too. The method stays testable.</w:t>
      </w:r>
    </w:p>
    <w:p>
      <w:pPr>
        <w:spacing w:before="220"/>
      </w:pPr>
      <w:r>
        <w:rPr>
          <w:b/>
          <w:color w:val="D97757"/>
          <w:sz w:val="20"/>
        </w:rPr>
        <w:t>WHY IT MATTERS</w:t>
      </w:r>
    </w:p>
    <w:p>
      <w:pPr>
        <w:pStyle w:val="ListBullet"/>
      </w:pPr>
      <w:r>
        <w:rPr>
          <w:color w:val="1F1E1D"/>
          <w:sz w:val="22"/>
        </w:rPr>
        <w:t>The work can be checked after the engagement.</w:t>
      </w:r>
    </w:p>
    <w:p>
      <w:pPr>
        <w:pStyle w:val="ListBullet"/>
      </w:pPr>
      <w:r>
        <w:rPr>
          <w:color w:val="1F1E1D"/>
          <w:sz w:val="22"/>
        </w:rPr>
        <w:t>You can test the method before you buy the review. The predictions are written before fieldwork on every engagement, including the operating diagnostic — which is the cheapest way to find out whether our reading of your operation holds up, at a fraction of what a full review commits you to.</w:t>
      </w:r>
    </w:p>
    <w:p>
      <w:pPr>
        <w:spacing w:before="360"/>
      </w:pPr>
      <w:r>
        <w:rPr>
          <w:b/>
          <w:color w:val="1F1E1D"/>
          <w:sz w:val="29"/>
        </w:rPr>
        <w:t>Proven across demanding client environments.</w:t>
      </w:r>
    </w:p>
    <w:p>
      <w:pPr>
        <w:pBdr>
          <w:bottom w:val="single" w:sz="12" w:space="1" w:color="D97757"/>
        </w:pBdr>
        <w:spacing w:after="40"/>
      </w:pPr>
    </w:p>
    <w:p>
      <w:r>
        <w:rPr>
          <w:color w:val="5C5A54"/>
          <w:sz w:val="22"/>
        </w:rPr>
        <w:t>The same operating and technical discipline has been applied in healthcare, life sciences, national laboratory, semiconductor equipment, enterprise technology, aerospace and automotive settings. Our advantage is not a single specialty. It is the ability to see operations, technology and risk together, in organizations where mistakes are expensive.</w:t>
      </w:r>
    </w:p>
    <w:p>
      <w:pPr>
        <w:spacing w:before="220"/>
      </w:pPr>
      <w:r>
        <w:rPr>
          <w:b/>
          <w:color w:val="D97757"/>
          <w:sz w:val="20"/>
        </w:rPr>
        <w:t>HEALTHCARE &amp; LIFE SCIENCES</w:t>
      </w:r>
    </w:p>
    <w:p>
      <w:pPr>
        <w:pStyle w:val="ListBullet"/>
      </w:pPr>
      <w:r>
        <w:rPr>
          <w:color w:val="1F1E1D"/>
          <w:sz w:val="22"/>
        </w:rPr>
        <w:t>Novartis Pharmaceuticals</w:t>
      </w:r>
    </w:p>
    <w:p>
      <w:pPr>
        <w:pStyle w:val="ListBullet"/>
      </w:pPr>
      <w:r>
        <w:rPr>
          <w:color w:val="1F1E1D"/>
          <w:sz w:val="22"/>
        </w:rPr>
        <w:t>AstraZeneca</w:t>
      </w:r>
    </w:p>
    <w:p>
      <w:pPr>
        <w:pStyle w:val="ListBullet"/>
      </w:pPr>
      <w:r>
        <w:rPr>
          <w:color w:val="1F1E1D"/>
          <w:sz w:val="22"/>
        </w:rPr>
        <w:t>Roche Diagnostics</w:t>
      </w:r>
    </w:p>
    <w:p>
      <w:pPr>
        <w:pStyle w:val="ListBullet"/>
      </w:pPr>
      <w:r>
        <w:rPr>
          <w:color w:val="1F1E1D"/>
          <w:sz w:val="22"/>
        </w:rPr>
        <w:t>Weill Cornell Medicine</w:t>
      </w:r>
    </w:p>
    <w:p>
      <w:pPr>
        <w:pStyle w:val="ListBullet"/>
      </w:pPr>
      <w:r>
        <w:rPr>
          <w:color w:val="1F1E1D"/>
          <w:sz w:val="22"/>
        </w:rPr>
        <w:t>Albert Einstein College of Medicine</w:t>
      </w:r>
    </w:p>
    <w:p>
      <w:pPr>
        <w:pStyle w:val="ListBullet"/>
      </w:pPr>
      <w:r>
        <w:rPr>
          <w:color w:val="1F1E1D"/>
          <w:sz w:val="22"/>
        </w:rPr>
        <w:t>Memorial Sloan Kettering</w:t>
      </w:r>
    </w:p>
    <w:p>
      <w:pPr>
        <w:pStyle w:val="ListBullet"/>
      </w:pPr>
      <w:r>
        <w:rPr>
          <w:color w:val="1F1E1D"/>
          <w:sz w:val="22"/>
        </w:rPr>
        <w:t>Mount Sinai</w:t>
      </w:r>
    </w:p>
    <w:p>
      <w:pPr>
        <w:pStyle w:val="ListBullet"/>
      </w:pPr>
      <w:r>
        <w:rPr>
          <w:color w:val="1F1E1D"/>
          <w:sz w:val="22"/>
        </w:rPr>
        <w:t>National Jewish Health</w:t>
      </w:r>
    </w:p>
    <w:p>
      <w:pPr>
        <w:pStyle w:val="ListBullet"/>
      </w:pPr>
      <w:r>
        <w:rPr>
          <w:color w:val="1F1E1D"/>
          <w:sz w:val="22"/>
        </w:rPr>
        <w:t>Acupath Laboratories</w:t>
      </w:r>
    </w:p>
    <w:p>
      <w:pPr>
        <w:spacing w:before="220"/>
      </w:pPr>
      <w:r>
        <w:rPr>
          <w:b/>
          <w:color w:val="D97757"/>
          <w:sz w:val="20"/>
        </w:rPr>
        <w:t>INDUSTRIAL &amp; TECHNOLOGY</w:t>
      </w:r>
    </w:p>
    <w:p>
      <w:pPr>
        <w:pStyle w:val="ListBullet"/>
      </w:pPr>
      <w:r>
        <w:rPr>
          <w:color w:val="1F1E1D"/>
          <w:sz w:val="22"/>
        </w:rPr>
        <w:t>Brookhaven National Laboratory</w:t>
      </w:r>
    </w:p>
    <w:p>
      <w:pPr>
        <w:pStyle w:val="ListBullet"/>
      </w:pPr>
      <w:r>
        <w:rPr>
          <w:color w:val="1F1E1D"/>
          <w:sz w:val="22"/>
        </w:rPr>
        <w:t>ASML</w:t>
      </w:r>
    </w:p>
    <w:p>
      <w:pPr>
        <w:pStyle w:val="ListBullet"/>
      </w:pPr>
      <w:r>
        <w:rPr>
          <w:color w:val="1F1E1D"/>
          <w:sz w:val="22"/>
        </w:rPr>
        <w:t>Lam Research</w:t>
      </w:r>
    </w:p>
    <w:p>
      <w:pPr>
        <w:pStyle w:val="ListBullet"/>
      </w:pPr>
      <w:r>
        <w:rPr>
          <w:color w:val="1F1E1D"/>
          <w:sz w:val="22"/>
        </w:rPr>
        <w:t>Oracle</w:t>
      </w:r>
    </w:p>
    <w:p>
      <w:pPr>
        <w:pStyle w:val="ListBullet"/>
      </w:pPr>
      <w:r>
        <w:rPr>
          <w:color w:val="1F1E1D"/>
          <w:sz w:val="22"/>
        </w:rPr>
        <w:t>Boeing</w:t>
      </w:r>
    </w:p>
    <w:p>
      <w:pPr>
        <w:pStyle w:val="ListBullet"/>
      </w:pPr>
      <w:r>
        <w:rPr>
          <w:color w:val="1F1E1D"/>
          <w:sz w:val="22"/>
        </w:rPr>
        <w:t>Toyota USA</w:t>
      </w:r>
    </w:p>
    <w:p>
      <w:pPr>
        <w:spacing w:before="220"/>
      </w:pPr>
      <w:r>
        <w:rPr>
          <w:b/>
          <w:color w:val="D97757"/>
          <w:sz w:val="20"/>
        </w:rPr>
        <w:t>WHAT THIS SIGNALS</w:t>
      </w:r>
    </w:p>
    <w:p>
      <w:pPr>
        <w:pStyle w:val="ListBullet"/>
      </w:pPr>
      <w:r>
        <w:rPr>
          <w:color w:val="1F1E1D"/>
          <w:sz w:val="22"/>
        </w:rPr>
        <w:t>Regulated data environments</w:t>
      </w:r>
    </w:p>
    <w:p>
      <w:pPr>
        <w:pStyle w:val="ListBullet"/>
      </w:pPr>
      <w:r>
        <w:rPr>
          <w:color w:val="1F1E1D"/>
          <w:sz w:val="22"/>
        </w:rPr>
        <w:t>Complex operations</w:t>
      </w:r>
    </w:p>
    <w:p>
      <w:pPr>
        <w:pStyle w:val="ListBullet"/>
      </w:pPr>
      <w:r>
        <w:rPr>
          <w:color w:val="1F1E1D"/>
          <w:sz w:val="22"/>
        </w:rPr>
        <w:t>High-trust executive stakeholders</w:t>
      </w:r>
    </w:p>
    <w:p>
      <w:pPr>
        <w:pStyle w:val="ListBullet"/>
      </w:pPr>
      <w:r>
        <w:rPr>
          <w:color w:val="1F1E1D"/>
          <w:sz w:val="22"/>
        </w:rPr>
        <w:t>Clinical, scientific, semiconductor and industrial workflows</w:t>
      </w:r>
    </w:p>
    <w:p>
      <w:pPr>
        <w:pStyle w:val="ListBullet"/>
      </w:pPr>
      <w:r>
        <w:rPr>
          <w:color w:val="1F1E1D"/>
          <w:sz w:val="22"/>
        </w:rPr>
        <w:t>Work that must hold up under scrutiny</w:t>
      </w:r>
    </w:p>
    <w:p>
      <w:pPr>
        <w:spacing w:before="360"/>
      </w:pPr>
      <w:r>
        <w:rPr>
          <w:b/>
          <w:color w:val="1F1E1D"/>
          <w:sz w:val="29"/>
        </w:rPr>
        <w:t>The rules we use on every engagement.</w:t>
      </w:r>
    </w:p>
    <w:p>
      <w:pPr>
        <w:pBdr>
          <w:bottom w:val="single" w:sz="12" w:space="1" w:color="D97757"/>
        </w:pBdr>
        <w:spacing w:after="40"/>
      </w:pPr>
    </w:p>
    <w:p>
      <w:r>
        <w:rPr>
          <w:color w:val="5C5A54"/>
          <w:sz w:val="22"/>
        </w:rPr>
        <w:t>The client is the only party paying us. Our conclusion has no second sponsor.</w:t>
      </w:r>
    </w:p>
    <w:p>
      <w:pPr>
        <w:spacing w:before="220"/>
      </w:pPr>
      <w:r>
        <w:rPr>
          <w:b/>
          <w:color w:val="D97757"/>
          <w:sz w:val="20"/>
        </w:rPr>
        <w:t>WE WILL</w:t>
      </w:r>
    </w:p>
    <w:p>
      <w:pPr>
        <w:pStyle w:val="ListBullet"/>
      </w:pPr>
      <w:r>
        <w:rPr>
          <w:color w:val="1F1E1D"/>
          <w:sz w:val="22"/>
        </w:rPr>
        <w:t>Price phase one before discussing phase two</w:t>
      </w:r>
    </w:p>
    <w:p>
      <w:pPr>
        <w:pStyle w:val="ListBullet"/>
      </w:pPr>
      <w:r>
        <w:rPr>
          <w:color w:val="1F1E1D"/>
          <w:sz w:val="22"/>
        </w:rPr>
        <w:t>Say when someone else should fix a finding</w:t>
      </w:r>
    </w:p>
    <w:p>
      <w:pPr>
        <w:pStyle w:val="ListBullet"/>
      </w:pPr>
      <w:r>
        <w:rPr>
          <w:color w:val="1F1E1D"/>
          <w:sz w:val="22"/>
        </w:rPr>
        <w:t>Review under NDA</w:t>
      </w:r>
    </w:p>
    <w:p>
      <w:pPr>
        <w:pStyle w:val="ListBullet"/>
      </w:pPr>
      <w:r>
        <w:rPr>
          <w:color w:val="1F1E1D"/>
          <w:sz w:val="22"/>
        </w:rPr>
        <w:t>Leave you every file, document and model</w:t>
      </w:r>
    </w:p>
    <w:p>
      <w:pPr>
        <w:spacing w:before="220"/>
      </w:pPr>
      <w:r>
        <w:rPr>
          <w:b/>
          <w:color w:val="D97757"/>
          <w:sz w:val="20"/>
        </w:rPr>
        <w:t>WE WILL NOT</w:t>
      </w:r>
    </w:p>
    <w:p>
      <w:pPr>
        <w:pStyle w:val="ListBullet"/>
      </w:pPr>
      <w:r>
        <w:rPr>
          <w:color w:val="1F1E1D"/>
          <w:sz w:val="22"/>
        </w:rPr>
        <w:t>Take vendor commissions or referral fees</w:t>
      </w:r>
    </w:p>
    <w:p>
      <w:pPr>
        <w:pStyle w:val="ListBullet"/>
      </w:pPr>
      <w:r>
        <w:rPr>
          <w:color w:val="1F1E1D"/>
          <w:sz w:val="22"/>
        </w:rPr>
        <w:t>Resell software we are paid to place</w:t>
      </w:r>
    </w:p>
    <w:p>
      <w:pPr>
        <w:pStyle w:val="ListBullet"/>
      </w:pPr>
      <w:r>
        <w:rPr>
          <w:color w:val="1F1E1D"/>
          <w:sz w:val="22"/>
        </w:rPr>
        <w:t>Inflate findings to sell phase two</w:t>
      </w:r>
    </w:p>
    <w:p>
      <w:pPr>
        <w:pStyle w:val="ListBullet"/>
      </w:pPr>
      <w:r>
        <w:rPr>
          <w:color w:val="1F1E1D"/>
          <w:sz w:val="22"/>
        </w:rPr>
        <w:t>Interrupt customers, front-line staff or revenue work</w:t>
      </w:r>
    </w:p>
    <w:p>
      <w:pPr>
        <w:pStyle w:val="ListBullet"/>
      </w:pPr>
      <w:r>
        <w:rPr>
          <w:color w:val="1F1E1D"/>
          <w:sz w:val="22"/>
        </w:rPr>
        <w:t>The commercial half of this is written down too. When an order becomes binding, what cancellation costs, who owns the deliverables and how regulated data is handled are all in the ordering terms . An order is an offer to purchase; it binds no one until we accept it in writing naming the scope, the fee and the start date.</w:t>
      </w:r>
    </w:p>
    <w:p>
      <w:pPr>
        <w:spacing w:before="360"/>
      </w:pPr>
      <w:r>
        <w:rPr>
          <w:b/>
          <w:color w:val="1F1E1D"/>
          <w:sz w:val="29"/>
        </w:rPr>
        <w:t>We work backward from your next business deadline.</w:t>
      </w:r>
    </w:p>
    <w:p>
      <w:pPr>
        <w:pBdr>
          <w:bottom w:val="single" w:sz="12" w:space="1" w:color="D97757"/>
        </w:pBdr>
        <w:spacing w:after="40"/>
      </w:pPr>
    </w:p>
    <w:p>
      <w:r>
        <w:rPr>
          <w:color w:val="5C5A54"/>
          <w:sz w:val="22"/>
        </w:rPr>
        <w:t>Your next budget cycle, survey or renewal sets the date. The only decision today is the start date.</w:t>
      </w:r>
    </w:p>
    <w:p>
      <w:pPr>
        <w:spacing w:before="220"/>
      </w:pPr>
      <w:r>
        <w:rPr>
          <w:b/>
          <w:color w:val="D97757"/>
          <w:sz w:val="20"/>
        </w:rPr>
        <w:t>YOU NAME A START DATE</w:t>
      </w:r>
    </w:p>
    <w:p>
      <w:pPr>
        <w:pStyle w:val="ListBullet"/>
      </w:pPr>
      <w:r>
        <w:rPr>
          <w:color w:val="1F1E1D"/>
          <w:sz w:val="22"/>
        </w:rPr>
        <w:t>Choose the date. We handle the kickoff.</w:t>
      </w:r>
    </w:p>
    <w:p>
      <w:pPr>
        <w:spacing w:before="220"/>
      </w:pPr>
      <w:r>
        <w:rPr>
          <w:b/>
          <w:color w:val="D97757"/>
          <w:sz w:val="20"/>
        </w:rPr>
        <w:t>FIELDWORK</w:t>
      </w:r>
    </w:p>
    <w:p>
      <w:pPr>
        <w:pStyle w:val="ListBullet"/>
      </w:pPr>
      <w:r>
        <w:rPr>
          <w:color w:val="1F1E1D"/>
          <w:sz w:val="22"/>
        </w:rPr>
        <w:t>We work around operations; staff keep working.</w:t>
      </w:r>
    </w:p>
    <w:p>
      <w:pPr>
        <w:spacing w:before="220"/>
      </w:pPr>
      <w:r>
        <w:rPr>
          <w:b/>
          <w:color w:val="D97757"/>
          <w:sz w:val="20"/>
        </w:rPr>
        <w:t>FINDINGS PRESENTED</w:t>
      </w:r>
    </w:p>
    <w:p>
      <w:pPr>
        <w:pStyle w:val="ListBullet"/>
      </w:pPr>
      <w:r>
        <w:rPr>
          <w:color w:val="1F1E1D"/>
          <w:sz w:val="22"/>
        </w:rPr>
        <w:t>Findings are quantified. Phase two comes afterward.</w:t>
      </w:r>
    </w:p>
    <w:p>
      <w:pPr>
        <w:pStyle w:val="ListBullet"/>
      </w:pPr>
      <w:r>
        <w:rPr>
          <w:color w:val="1F1E1D"/>
          <w:sz w:val="22"/>
        </w:rPr>
        <w:t>If your procurement office moves before your calendar does, start there. Raise a purchase order against the engagement and we invoice on net 30 — the route most institutions are actually set up for, whether that is a health system, a university, a manufacturer, a local authority or a federal prime. Prices, deposits and the PO form are on the ordering page .</w:t>
      </w:r>
    </w:p>
    <w:p>
      <w:pPr>
        <w:spacing w:before="360"/>
      </w:pPr>
      <w:r>
        <w:rPr>
          <w:b/>
          <w:color w:val="1F1E1D"/>
          <w:sz w:val="29"/>
        </w:rPr>
        <w:t>The only decision today is the start date.</w:t>
      </w:r>
    </w:p>
    <w:p>
      <w:pPr>
        <w:pBdr>
          <w:bottom w:val="single" w:sz="12" w:space="1" w:color="D97757"/>
        </w:pBdr>
        <w:spacing w:after="40"/>
      </w:pPr>
    </w:p>
    <w:p>
      <w:r>
        <w:rPr>
          <w:color w:val="5C5A54"/>
          <w:sz w:val="22"/>
        </w:rPr>
        <w:t>Tell us what you run and what your next business deadline is — a budget cycle, a survey, a renewal. We work backward from it. Phase one is priced before phase two is discussed, the report is yours either way, and we take no vendor commissions or referral fees on anything we recommend.</w:t>
      </w:r>
    </w:p>
    <w:sectPr w:rsidR="00FC693F" w:rsidRPr="0006063C" w:rsidSect="00034616">
      <w:pgSz w:w="12240" w:h="15840"/>
      <w:pgMar w:top="1224"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color w:val="1F1E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