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D9995" w14:textId="327473FC" w:rsidR="002714C3" w:rsidRPr="00767241" w:rsidRDefault="002714C3" w:rsidP="00767241">
      <w:pPr>
        <w:jc w:val="center"/>
        <w:rPr>
          <w:rFonts w:ascii="Times New Roman" w:hAnsi="Times New Roman" w:cs="Times New Roman"/>
          <w:b/>
          <w:bCs/>
        </w:rPr>
      </w:pPr>
      <w:r w:rsidRPr="00767241">
        <w:rPr>
          <w:rFonts w:ascii="Times New Roman" w:hAnsi="Times New Roman" w:cs="Times New Roman"/>
          <w:b/>
          <w:bCs/>
        </w:rPr>
        <w:t>Traditional Risk Factors versus Novel Cardiometabolic Indices in Predicting High-Risk Plaque and Coronary Calcification in Diabetes Mellitus</w:t>
      </w:r>
    </w:p>
    <w:p w14:paraId="41DE67B6" w14:textId="088397CF" w:rsidR="00767241" w:rsidRPr="00515D8C" w:rsidRDefault="00767241" w:rsidP="00767241">
      <w:pPr>
        <w:jc w:val="center"/>
        <w:rPr>
          <w:rFonts w:ascii="Times New Roman" w:hAnsi="Times New Roman" w:cs="Times New Roman"/>
          <w:vertAlign w:val="superscript"/>
          <w:lang w:val="fi-FI"/>
        </w:rPr>
      </w:pPr>
      <w:r w:rsidRPr="00515D8C">
        <w:rPr>
          <w:rFonts w:ascii="Times New Roman" w:hAnsi="Times New Roman" w:cs="Times New Roman"/>
          <w:lang w:val="fi-FI"/>
        </w:rPr>
        <w:t>Kadek Adit Wiryadana</w:t>
      </w:r>
      <w:r w:rsidRPr="00515D8C">
        <w:rPr>
          <w:rFonts w:ascii="Times New Roman" w:hAnsi="Times New Roman" w:cs="Times New Roman"/>
          <w:sz w:val="28"/>
          <w:szCs w:val="28"/>
          <w:vertAlign w:val="superscript"/>
          <w:lang w:val="fi-FI"/>
        </w:rPr>
        <w:t>1</w:t>
      </w:r>
      <w:r w:rsidRPr="00515D8C">
        <w:rPr>
          <w:rFonts w:ascii="Times New Roman" w:hAnsi="Times New Roman" w:cs="Times New Roman"/>
          <w:lang w:val="fi-FI"/>
        </w:rPr>
        <w:t>*</w:t>
      </w:r>
      <w:r w:rsidR="00515D8C">
        <w:rPr>
          <w:rFonts w:ascii="Times New Roman" w:hAnsi="Times New Roman" w:cs="Times New Roman"/>
          <w:lang w:val="fi-FI"/>
        </w:rPr>
        <w:t xml:space="preserve">, </w:t>
      </w:r>
      <w:r w:rsidRPr="00515D8C">
        <w:rPr>
          <w:rFonts w:ascii="Times New Roman" w:hAnsi="Times New Roman" w:cs="Times New Roman"/>
          <w:lang w:val="fi-FI"/>
        </w:rPr>
        <w:t>Made Ratna Saraswati</w:t>
      </w:r>
      <w:r w:rsidRPr="00515D8C">
        <w:rPr>
          <w:rFonts w:ascii="Times New Roman" w:hAnsi="Times New Roman" w:cs="Times New Roman"/>
          <w:vertAlign w:val="superscript"/>
          <w:lang w:val="fi-FI"/>
        </w:rPr>
        <w:t>2</w:t>
      </w:r>
    </w:p>
    <w:p w14:paraId="6BA1762A" w14:textId="295301D3" w:rsidR="00767241" w:rsidRPr="00515D8C" w:rsidRDefault="00515D8C" w:rsidP="008A1464">
      <w:pPr>
        <w:pStyle w:val="ListParagraph"/>
        <w:ind w:left="0"/>
        <w:rPr>
          <w:rFonts w:ascii="Times New Roman" w:hAnsi="Times New Roman" w:cs="Times New Roman"/>
        </w:rPr>
      </w:pPr>
      <w:r w:rsidRPr="00515D8C">
        <w:rPr>
          <w:rFonts w:ascii="Times New Roman" w:hAnsi="Times New Roman" w:cs="Times New Roman"/>
          <w:vertAlign w:val="superscript"/>
        </w:rPr>
        <w:t>1</w:t>
      </w:r>
      <w:r w:rsidRPr="00515D8C">
        <w:rPr>
          <w:rFonts w:ascii="Times New Roman" w:hAnsi="Times New Roman" w:cs="Times New Roman"/>
        </w:rPr>
        <w:t>Resident Internal Medicine</w:t>
      </w:r>
      <w:r w:rsidR="00767241" w:rsidRPr="00515D8C">
        <w:rPr>
          <w:rFonts w:ascii="Times New Roman" w:hAnsi="Times New Roman" w:cs="Times New Roman"/>
        </w:rPr>
        <w:t xml:space="preserve">, Universitas </w:t>
      </w:r>
      <w:proofErr w:type="spellStart"/>
      <w:r w:rsidR="00767241" w:rsidRPr="00515D8C">
        <w:rPr>
          <w:rFonts w:ascii="Times New Roman" w:hAnsi="Times New Roman" w:cs="Times New Roman"/>
        </w:rPr>
        <w:t>Udayana</w:t>
      </w:r>
      <w:proofErr w:type="spellEnd"/>
      <w:r w:rsidR="00767241" w:rsidRPr="00515D8C">
        <w:rPr>
          <w:rFonts w:ascii="Times New Roman" w:hAnsi="Times New Roman" w:cs="Times New Roman"/>
        </w:rPr>
        <w:t xml:space="preserve">/RSUP </w:t>
      </w:r>
      <w:proofErr w:type="spellStart"/>
      <w:r w:rsidR="00767241" w:rsidRPr="00515D8C">
        <w:rPr>
          <w:rFonts w:ascii="Times New Roman" w:hAnsi="Times New Roman" w:cs="Times New Roman"/>
        </w:rPr>
        <w:t>Ngoerah</w:t>
      </w:r>
      <w:proofErr w:type="spellEnd"/>
      <w:r w:rsidR="005225F8">
        <w:rPr>
          <w:rFonts w:ascii="Times New Roman" w:hAnsi="Times New Roman" w:cs="Times New Roman"/>
        </w:rPr>
        <w:t>, Denpasar</w:t>
      </w:r>
    </w:p>
    <w:p w14:paraId="29EEEA38" w14:textId="43085112" w:rsidR="00767241" w:rsidRDefault="00515D8C" w:rsidP="008A1464">
      <w:pPr>
        <w:pStyle w:val="ListParagraph"/>
        <w:ind w:left="0"/>
        <w:rPr>
          <w:rFonts w:ascii="Times New Roman" w:hAnsi="Times New Roman" w:cs="Times New Roman"/>
        </w:rPr>
      </w:pPr>
      <w:r w:rsidRPr="00515D8C">
        <w:rPr>
          <w:rFonts w:ascii="Times New Roman" w:hAnsi="Times New Roman" w:cs="Times New Roman"/>
          <w:vertAlign w:val="superscript"/>
        </w:rPr>
        <w:t>2</w:t>
      </w:r>
      <w:r w:rsidR="00767241" w:rsidRPr="00515D8C">
        <w:rPr>
          <w:rFonts w:ascii="Times New Roman" w:hAnsi="Times New Roman" w:cs="Times New Roman"/>
        </w:rPr>
        <w:t xml:space="preserve">Endocrinology, metabolic </w:t>
      </w:r>
      <w:r w:rsidR="005225F8">
        <w:rPr>
          <w:rFonts w:ascii="Times New Roman" w:hAnsi="Times New Roman" w:cs="Times New Roman"/>
        </w:rPr>
        <w:t>and</w:t>
      </w:r>
      <w:r w:rsidR="00767241" w:rsidRPr="00515D8C">
        <w:rPr>
          <w:rFonts w:ascii="Times New Roman" w:hAnsi="Times New Roman" w:cs="Times New Roman"/>
        </w:rPr>
        <w:t xml:space="preserve"> diabetes Division, Universitas </w:t>
      </w:r>
      <w:proofErr w:type="spellStart"/>
      <w:r w:rsidR="00767241" w:rsidRPr="00515D8C">
        <w:rPr>
          <w:rFonts w:ascii="Times New Roman" w:hAnsi="Times New Roman" w:cs="Times New Roman"/>
        </w:rPr>
        <w:t>Udayana</w:t>
      </w:r>
      <w:proofErr w:type="spellEnd"/>
      <w:r w:rsidR="00767241" w:rsidRPr="00515D8C">
        <w:rPr>
          <w:rFonts w:ascii="Times New Roman" w:hAnsi="Times New Roman" w:cs="Times New Roman"/>
        </w:rPr>
        <w:t xml:space="preserve">/RSUP </w:t>
      </w:r>
      <w:proofErr w:type="spellStart"/>
      <w:r w:rsidR="00767241" w:rsidRPr="00515D8C">
        <w:rPr>
          <w:rFonts w:ascii="Times New Roman" w:hAnsi="Times New Roman" w:cs="Times New Roman"/>
        </w:rPr>
        <w:t>Ngoerah</w:t>
      </w:r>
      <w:proofErr w:type="spellEnd"/>
      <w:r w:rsidR="005757D7">
        <w:rPr>
          <w:rFonts w:ascii="Times New Roman" w:hAnsi="Times New Roman" w:cs="Times New Roman"/>
        </w:rPr>
        <w:t xml:space="preserve">, </w:t>
      </w:r>
      <w:r w:rsidR="00767241" w:rsidRPr="00515D8C">
        <w:rPr>
          <w:rFonts w:ascii="Times New Roman" w:hAnsi="Times New Roman" w:cs="Times New Roman"/>
        </w:rPr>
        <w:t xml:space="preserve">Denpasar </w:t>
      </w:r>
    </w:p>
    <w:p w14:paraId="5FAEE4A2" w14:textId="0953502A" w:rsidR="008A1464" w:rsidRPr="008A1464" w:rsidRDefault="008A1464" w:rsidP="008A1464">
      <w:pPr>
        <w:pStyle w:val="ListParagraph"/>
        <w:ind w:left="0"/>
        <w:jc w:val="center"/>
        <w:rPr>
          <w:rFonts w:ascii="Times New Roman" w:hAnsi="Times New Roman" w:cs="Times New Roman"/>
          <w:b/>
          <w:bCs/>
        </w:rPr>
      </w:pPr>
      <w:r w:rsidRPr="008A1464">
        <w:rPr>
          <w:rFonts w:ascii="Times New Roman" w:hAnsi="Times New Roman" w:cs="Times New Roman"/>
          <w:b/>
          <w:bCs/>
        </w:rPr>
        <w:t>Abstract</w:t>
      </w:r>
    </w:p>
    <w:p w14:paraId="2A4EEF0B" w14:textId="115C0A12" w:rsidR="002714C3" w:rsidRPr="00767241" w:rsidRDefault="002714C3" w:rsidP="00B1200D">
      <w:pPr>
        <w:spacing w:after="0"/>
        <w:jc w:val="both"/>
        <w:rPr>
          <w:rFonts w:ascii="Times New Roman" w:hAnsi="Times New Roman" w:cs="Times New Roman"/>
        </w:rPr>
      </w:pPr>
      <w:r w:rsidRPr="00767241">
        <w:rPr>
          <w:rFonts w:ascii="Times New Roman" w:hAnsi="Times New Roman" w:cs="Times New Roman"/>
          <w:b/>
          <w:bCs/>
        </w:rPr>
        <w:t>Background:</w:t>
      </w:r>
      <w:r w:rsidRPr="00767241">
        <w:rPr>
          <w:rFonts w:ascii="Times New Roman" w:hAnsi="Times New Roman" w:cs="Times New Roman"/>
        </w:rPr>
        <w:t xml:space="preserve"> </w:t>
      </w:r>
      <w:r w:rsidR="00B363D0" w:rsidRPr="00B363D0">
        <w:rPr>
          <w:rFonts w:ascii="Times New Roman" w:hAnsi="Times New Roman" w:cs="Times New Roman"/>
        </w:rPr>
        <w:t>Cardiovascular disease is a major complication of Diabetes Mellitus (DM). Computed Tomography Coronary Angiography (CTCA) is widely used to identify High-Risk Plaque (HRP) and coronary artery calcification (CAC). Beyond conventional risk factors, several novel cardiometabolic indices have been proposed, but their real-world clinical value remains debated.</w:t>
      </w:r>
    </w:p>
    <w:p w14:paraId="624814FC" w14:textId="01A50FD1" w:rsidR="002714C3" w:rsidRPr="00767241" w:rsidRDefault="002714C3" w:rsidP="00B1200D">
      <w:pPr>
        <w:spacing w:after="0"/>
        <w:jc w:val="both"/>
        <w:rPr>
          <w:rFonts w:ascii="Times New Roman" w:hAnsi="Times New Roman" w:cs="Times New Roman"/>
        </w:rPr>
      </w:pPr>
      <w:r w:rsidRPr="00767241">
        <w:rPr>
          <w:rFonts w:ascii="Times New Roman" w:hAnsi="Times New Roman" w:cs="Times New Roman"/>
          <w:b/>
          <w:bCs/>
        </w:rPr>
        <w:t>Objective:</w:t>
      </w:r>
      <w:r w:rsidRPr="00767241">
        <w:rPr>
          <w:rFonts w:ascii="Times New Roman" w:hAnsi="Times New Roman" w:cs="Times New Roman"/>
        </w:rPr>
        <w:t xml:space="preserve"> </w:t>
      </w:r>
      <w:r w:rsidR="008602E6" w:rsidRPr="008602E6">
        <w:rPr>
          <w:rFonts w:ascii="Times New Roman" w:hAnsi="Times New Roman" w:cs="Times New Roman"/>
        </w:rPr>
        <w:t>To compare conventional clinical and laboratory risk factors (age, gender, chronic kidney disease [CKD], hypertension, smoking status, lipid profile, uric acid, HbA1c) against four derivative cardiometabolic indices (TyHbA1c Index, TG/HDL Ratio, Non-HDL Cholesterol, SUA/HDL Ratio) as predictors of HRP and CAC ≥100 Agatston.</w:t>
      </w:r>
    </w:p>
    <w:p w14:paraId="025A025C" w14:textId="75E33B27" w:rsidR="002714C3" w:rsidRPr="00767241" w:rsidRDefault="002714C3" w:rsidP="00B1200D">
      <w:pPr>
        <w:spacing w:after="0"/>
        <w:jc w:val="both"/>
        <w:rPr>
          <w:rFonts w:ascii="Times New Roman" w:hAnsi="Times New Roman" w:cs="Times New Roman"/>
        </w:rPr>
      </w:pPr>
      <w:r w:rsidRPr="00767241">
        <w:rPr>
          <w:rFonts w:ascii="Times New Roman" w:hAnsi="Times New Roman" w:cs="Times New Roman"/>
          <w:b/>
          <w:bCs/>
        </w:rPr>
        <w:t>Methods:</w:t>
      </w:r>
      <w:r w:rsidRPr="00767241">
        <w:rPr>
          <w:rFonts w:ascii="Times New Roman" w:hAnsi="Times New Roman" w:cs="Times New Roman"/>
        </w:rPr>
        <w:t xml:space="preserve"> </w:t>
      </w:r>
      <w:r w:rsidR="003748A0" w:rsidRPr="00767241">
        <w:rPr>
          <w:rFonts w:ascii="Times New Roman" w:hAnsi="Times New Roman" w:cs="Times New Roman"/>
        </w:rPr>
        <w:t xml:space="preserve">A cross-sectional study was conducted on DM patients undergoing CTCA at RSUP </w:t>
      </w:r>
      <w:proofErr w:type="spellStart"/>
      <w:r w:rsidR="003748A0" w:rsidRPr="00767241">
        <w:rPr>
          <w:rFonts w:ascii="Times New Roman" w:hAnsi="Times New Roman" w:cs="Times New Roman"/>
        </w:rPr>
        <w:t>Ngoerah</w:t>
      </w:r>
      <w:proofErr w:type="spellEnd"/>
      <w:r w:rsidR="003748A0" w:rsidRPr="00767241">
        <w:rPr>
          <w:rFonts w:ascii="Times New Roman" w:hAnsi="Times New Roman" w:cs="Times New Roman"/>
        </w:rPr>
        <w:t xml:space="preserve">, Denpasar, in 2025. </w:t>
      </w:r>
      <w:r w:rsidR="0054150E" w:rsidRPr="0054150E">
        <w:rPr>
          <w:rFonts w:ascii="Times New Roman" w:hAnsi="Times New Roman" w:cs="Times New Roman"/>
        </w:rPr>
        <w:t xml:space="preserve">All candidate factors were compared </w:t>
      </w:r>
      <w:proofErr w:type="spellStart"/>
      <w:r w:rsidR="0054150E" w:rsidRPr="0054150E">
        <w:rPr>
          <w:rFonts w:ascii="Times New Roman" w:hAnsi="Times New Roman" w:cs="Times New Roman"/>
        </w:rPr>
        <w:t>bivariately</w:t>
      </w:r>
      <w:proofErr w:type="spellEnd"/>
      <w:r w:rsidR="0054150E" w:rsidRPr="0054150E">
        <w:rPr>
          <w:rFonts w:ascii="Times New Roman" w:hAnsi="Times New Roman" w:cs="Times New Roman"/>
        </w:rPr>
        <w:t xml:space="preserve"> by HRP status, and independent predictors were confirmed using multivariate logistic regression.</w:t>
      </w:r>
    </w:p>
    <w:p w14:paraId="2AAF9A80" w14:textId="7CA6A2BA" w:rsidR="002714C3" w:rsidRPr="00767241" w:rsidRDefault="002714C3" w:rsidP="00B1200D">
      <w:pPr>
        <w:spacing w:after="0"/>
        <w:jc w:val="both"/>
        <w:rPr>
          <w:rFonts w:ascii="Times New Roman" w:hAnsi="Times New Roman" w:cs="Times New Roman"/>
        </w:rPr>
      </w:pPr>
      <w:r w:rsidRPr="00767241">
        <w:rPr>
          <w:rFonts w:ascii="Times New Roman" w:hAnsi="Times New Roman" w:cs="Times New Roman"/>
          <w:b/>
          <w:bCs/>
        </w:rPr>
        <w:t>Results:</w:t>
      </w:r>
      <w:r w:rsidRPr="00767241">
        <w:rPr>
          <w:rFonts w:ascii="Times New Roman" w:hAnsi="Times New Roman" w:cs="Times New Roman"/>
        </w:rPr>
        <w:t xml:space="preserve"> </w:t>
      </w:r>
      <w:r w:rsidR="00FC16C8" w:rsidRPr="00767241">
        <w:rPr>
          <w:rFonts w:ascii="Times New Roman" w:hAnsi="Times New Roman" w:cs="Times New Roman"/>
        </w:rPr>
        <w:t>A total of 52 DM patients with complete records</w:t>
      </w:r>
      <w:r w:rsidR="007D29E0">
        <w:rPr>
          <w:rFonts w:ascii="Times New Roman" w:hAnsi="Times New Roman" w:cs="Times New Roman"/>
        </w:rPr>
        <w:t xml:space="preserve"> were </w:t>
      </w:r>
      <w:proofErr w:type="spellStart"/>
      <w:r w:rsidR="007D29E0">
        <w:rPr>
          <w:rFonts w:ascii="Times New Roman" w:hAnsi="Times New Roman" w:cs="Times New Roman"/>
        </w:rPr>
        <w:t>analyzed</w:t>
      </w:r>
      <w:proofErr w:type="spellEnd"/>
      <w:r w:rsidR="00894209">
        <w:rPr>
          <w:rFonts w:ascii="Times New Roman" w:hAnsi="Times New Roman" w:cs="Times New Roman"/>
        </w:rPr>
        <w:t>.</w:t>
      </w:r>
      <w:r w:rsidR="007D29E0">
        <w:rPr>
          <w:rFonts w:ascii="Times New Roman" w:hAnsi="Times New Roman" w:cs="Times New Roman"/>
        </w:rPr>
        <w:t xml:space="preserve"> </w:t>
      </w:r>
      <w:r w:rsidR="00894209">
        <w:rPr>
          <w:rFonts w:ascii="Times New Roman" w:hAnsi="Times New Roman" w:cs="Times New Roman"/>
        </w:rPr>
        <w:t>S</w:t>
      </w:r>
      <w:r w:rsidR="00FC16C8" w:rsidRPr="00767241">
        <w:rPr>
          <w:rFonts w:ascii="Times New Roman" w:hAnsi="Times New Roman" w:cs="Times New Roman"/>
        </w:rPr>
        <w:t xml:space="preserve">ixteen patients (30.7%) were newly diagnosed DM prior to CTCA. Among the </w:t>
      </w:r>
      <w:r w:rsidR="007D29E0">
        <w:rPr>
          <w:rFonts w:ascii="Times New Roman" w:hAnsi="Times New Roman" w:cs="Times New Roman"/>
        </w:rPr>
        <w:t xml:space="preserve">36 </w:t>
      </w:r>
      <w:r w:rsidR="00FC16C8" w:rsidRPr="00767241">
        <w:rPr>
          <w:rFonts w:ascii="Times New Roman" w:hAnsi="Times New Roman" w:cs="Times New Roman"/>
        </w:rPr>
        <w:t>known DM</w:t>
      </w:r>
      <w:r w:rsidR="007D29E0">
        <w:rPr>
          <w:rFonts w:ascii="Times New Roman" w:hAnsi="Times New Roman" w:cs="Times New Roman"/>
        </w:rPr>
        <w:t xml:space="preserve"> cases</w:t>
      </w:r>
      <w:r w:rsidR="00FC16C8" w:rsidRPr="00767241">
        <w:rPr>
          <w:rFonts w:ascii="Times New Roman" w:hAnsi="Times New Roman" w:cs="Times New Roman"/>
        </w:rPr>
        <w:t xml:space="preserve">, 17 (32.7%) were on oral antidiabetic medications, 17 (32.7%) were on insulin, and only 2 (3.8%) received no </w:t>
      </w:r>
      <w:r w:rsidR="000A1E99" w:rsidRPr="00767241">
        <w:rPr>
          <w:rFonts w:ascii="Times New Roman" w:hAnsi="Times New Roman" w:cs="Times New Roman"/>
        </w:rPr>
        <w:t xml:space="preserve">DM </w:t>
      </w:r>
      <w:r w:rsidR="00881281">
        <w:rPr>
          <w:rFonts w:ascii="Times New Roman" w:hAnsi="Times New Roman" w:cs="Times New Roman"/>
        </w:rPr>
        <w:t>medication</w:t>
      </w:r>
      <w:r w:rsidR="00FC16C8" w:rsidRPr="00767241">
        <w:rPr>
          <w:rFonts w:ascii="Times New Roman" w:hAnsi="Times New Roman" w:cs="Times New Roman"/>
        </w:rPr>
        <w:t xml:space="preserve">. Most patients were referred by cardiologists due to a prior history of cardiac events, and 37 (71.2%) were already on statin therapy. </w:t>
      </w:r>
      <w:r w:rsidR="00881281">
        <w:rPr>
          <w:rFonts w:ascii="Times New Roman" w:hAnsi="Times New Roman" w:cs="Times New Roman"/>
        </w:rPr>
        <w:t>T</w:t>
      </w:r>
      <w:r w:rsidR="00FC16C8" w:rsidRPr="00767241">
        <w:rPr>
          <w:rFonts w:ascii="Times New Roman" w:hAnsi="Times New Roman" w:cs="Times New Roman"/>
        </w:rPr>
        <w:t xml:space="preserve">he proportion of HRP </w:t>
      </w:r>
      <w:r w:rsidR="00881281">
        <w:rPr>
          <w:rFonts w:ascii="Times New Roman" w:hAnsi="Times New Roman" w:cs="Times New Roman"/>
        </w:rPr>
        <w:t xml:space="preserve">on CTCA </w:t>
      </w:r>
      <w:r w:rsidR="00FC16C8" w:rsidRPr="00767241">
        <w:rPr>
          <w:rFonts w:ascii="Times New Roman" w:hAnsi="Times New Roman" w:cs="Times New Roman"/>
        </w:rPr>
        <w:t xml:space="preserve">was </w:t>
      </w:r>
      <w:r w:rsidR="0084234C">
        <w:rPr>
          <w:rFonts w:ascii="Times New Roman" w:hAnsi="Times New Roman" w:cs="Times New Roman"/>
        </w:rPr>
        <w:t>found</w:t>
      </w:r>
      <w:r w:rsidR="00FC16C8" w:rsidRPr="00767241">
        <w:rPr>
          <w:rFonts w:ascii="Times New Roman" w:hAnsi="Times New Roman" w:cs="Times New Roman"/>
        </w:rPr>
        <w:t xml:space="preserve"> </w:t>
      </w:r>
      <w:r w:rsidR="0084234C">
        <w:rPr>
          <w:rFonts w:ascii="Times New Roman" w:hAnsi="Times New Roman" w:cs="Times New Roman"/>
        </w:rPr>
        <w:t xml:space="preserve">in </w:t>
      </w:r>
      <w:r w:rsidR="00FC16C8" w:rsidRPr="00767241">
        <w:rPr>
          <w:rFonts w:ascii="Times New Roman" w:hAnsi="Times New Roman" w:cs="Times New Roman"/>
        </w:rPr>
        <w:t>71.2%</w:t>
      </w:r>
      <w:r w:rsidR="0084234C">
        <w:rPr>
          <w:rFonts w:ascii="Times New Roman" w:hAnsi="Times New Roman" w:cs="Times New Roman"/>
        </w:rPr>
        <w:t xml:space="preserve"> patients</w:t>
      </w:r>
      <w:r w:rsidR="00FC16C8" w:rsidRPr="00767241">
        <w:rPr>
          <w:rFonts w:ascii="Times New Roman" w:hAnsi="Times New Roman" w:cs="Times New Roman"/>
        </w:rPr>
        <w:t xml:space="preserve">. Bivariate analysis </w:t>
      </w:r>
      <w:r w:rsidR="00881281">
        <w:rPr>
          <w:rFonts w:ascii="Times New Roman" w:hAnsi="Times New Roman" w:cs="Times New Roman"/>
        </w:rPr>
        <w:t>showed</w:t>
      </w:r>
      <w:r w:rsidR="00FC16C8" w:rsidRPr="00767241">
        <w:rPr>
          <w:rFonts w:ascii="Times New Roman" w:hAnsi="Times New Roman" w:cs="Times New Roman"/>
        </w:rPr>
        <w:t xml:space="preserve"> </w:t>
      </w:r>
      <w:r w:rsidR="008B4C55">
        <w:rPr>
          <w:rFonts w:ascii="Times New Roman" w:hAnsi="Times New Roman" w:cs="Times New Roman"/>
        </w:rPr>
        <w:t xml:space="preserve">the </w:t>
      </w:r>
      <w:r w:rsidR="00FC16C8" w:rsidRPr="00767241">
        <w:rPr>
          <w:rFonts w:ascii="Times New Roman" w:hAnsi="Times New Roman" w:cs="Times New Roman"/>
        </w:rPr>
        <w:t xml:space="preserve">HRP-positive group was significantly older </w:t>
      </w:r>
      <w:r w:rsidR="00881281">
        <w:rPr>
          <w:rFonts w:ascii="Times New Roman" w:hAnsi="Times New Roman" w:cs="Times New Roman"/>
        </w:rPr>
        <w:t>(</w:t>
      </w:r>
      <w:r w:rsidR="00FC16C8" w:rsidRPr="00767241">
        <w:rPr>
          <w:rFonts w:ascii="Times New Roman" w:hAnsi="Times New Roman" w:cs="Times New Roman"/>
        </w:rPr>
        <w:t>mean age 63.16 vs. 55.8 years</w:t>
      </w:r>
      <w:r w:rsidR="00660836">
        <w:rPr>
          <w:rFonts w:ascii="Times New Roman" w:hAnsi="Times New Roman" w:cs="Times New Roman"/>
        </w:rPr>
        <w:t>, p</w:t>
      </w:r>
      <w:r w:rsidR="00E12F57">
        <w:rPr>
          <w:rFonts w:ascii="Times New Roman" w:hAnsi="Times New Roman" w:cs="Times New Roman"/>
        </w:rPr>
        <w:t>&lt;0.01</w:t>
      </w:r>
      <w:r w:rsidR="00881281">
        <w:rPr>
          <w:rFonts w:ascii="Times New Roman" w:hAnsi="Times New Roman" w:cs="Times New Roman"/>
        </w:rPr>
        <w:t xml:space="preserve">) and had </w:t>
      </w:r>
      <w:r w:rsidR="008B4C55">
        <w:rPr>
          <w:rFonts w:ascii="Times New Roman" w:hAnsi="Times New Roman" w:cs="Times New Roman"/>
        </w:rPr>
        <w:t xml:space="preserve">a </w:t>
      </w:r>
      <w:r w:rsidR="00881281">
        <w:rPr>
          <w:rFonts w:ascii="Times New Roman" w:hAnsi="Times New Roman" w:cs="Times New Roman"/>
        </w:rPr>
        <w:t>higher calcification</w:t>
      </w:r>
      <w:r w:rsidR="005E1D02">
        <w:rPr>
          <w:rFonts w:ascii="Times New Roman" w:hAnsi="Times New Roman" w:cs="Times New Roman"/>
        </w:rPr>
        <w:t xml:space="preserve"> burden</w:t>
      </w:r>
      <w:r w:rsidR="00881281">
        <w:rPr>
          <w:rFonts w:ascii="Times New Roman" w:hAnsi="Times New Roman" w:cs="Times New Roman"/>
        </w:rPr>
        <w:t xml:space="preserve"> (</w:t>
      </w:r>
      <w:r w:rsidR="00FC16C8" w:rsidRPr="00767241">
        <w:rPr>
          <w:rFonts w:ascii="Times New Roman" w:hAnsi="Times New Roman" w:cs="Times New Roman"/>
        </w:rPr>
        <w:t>median 556.7 vs. 11.6 Agatston, p&lt;0.001)</w:t>
      </w:r>
      <w:r w:rsidR="0061397F">
        <w:rPr>
          <w:rFonts w:ascii="Times New Roman" w:hAnsi="Times New Roman" w:cs="Times New Roman"/>
        </w:rPr>
        <w:t xml:space="preserve"> </w:t>
      </w:r>
      <w:r w:rsidR="0061397F" w:rsidRPr="00767241">
        <w:rPr>
          <w:rFonts w:ascii="Times New Roman" w:hAnsi="Times New Roman" w:cs="Times New Roman"/>
        </w:rPr>
        <w:t>than the HRP-negative group</w:t>
      </w:r>
      <w:r w:rsidR="00FC16C8" w:rsidRPr="00767241">
        <w:rPr>
          <w:rFonts w:ascii="Times New Roman" w:hAnsi="Times New Roman" w:cs="Times New Roman"/>
        </w:rPr>
        <w:t>. None of the derivative cardiometabolic indices (TyHbA1c Index, TG/HDL Ratio, Non-HDL Cholesterol, and SUA/HDL Ratio) showed statistically significant differences between the groups</w:t>
      </w:r>
      <w:r w:rsidR="0061397F">
        <w:rPr>
          <w:rFonts w:ascii="Times New Roman" w:hAnsi="Times New Roman" w:cs="Times New Roman"/>
        </w:rPr>
        <w:t xml:space="preserve"> </w:t>
      </w:r>
      <w:r w:rsidR="00FC16C8" w:rsidRPr="00767241">
        <w:rPr>
          <w:rFonts w:ascii="Times New Roman" w:hAnsi="Times New Roman" w:cs="Times New Roman"/>
        </w:rPr>
        <w:t xml:space="preserve">(p &gt; 0.05). </w:t>
      </w:r>
      <w:r w:rsidR="000C2FD2">
        <w:rPr>
          <w:rFonts w:ascii="Times New Roman" w:hAnsi="Times New Roman" w:cs="Times New Roman"/>
        </w:rPr>
        <w:t>M</w:t>
      </w:r>
      <w:r w:rsidR="00FC16C8" w:rsidRPr="00767241">
        <w:rPr>
          <w:rFonts w:ascii="Times New Roman" w:hAnsi="Times New Roman" w:cs="Times New Roman"/>
        </w:rPr>
        <w:t xml:space="preserve">ultivariate </w:t>
      </w:r>
      <w:r w:rsidR="00F42999">
        <w:rPr>
          <w:rFonts w:ascii="Times New Roman" w:hAnsi="Times New Roman" w:cs="Times New Roman"/>
        </w:rPr>
        <w:t>analysis confirmed</w:t>
      </w:r>
      <w:r w:rsidR="00FC16C8" w:rsidRPr="00767241">
        <w:rPr>
          <w:rFonts w:ascii="Times New Roman" w:hAnsi="Times New Roman" w:cs="Times New Roman"/>
        </w:rPr>
        <w:t xml:space="preserve"> age as the sole independent predictor for both HRP formation (</w:t>
      </w:r>
      <w:proofErr w:type="spellStart"/>
      <w:r w:rsidR="00FC16C8" w:rsidRPr="00767241">
        <w:rPr>
          <w:rFonts w:ascii="Times New Roman" w:hAnsi="Times New Roman" w:cs="Times New Roman"/>
        </w:rPr>
        <w:t>aOR</w:t>
      </w:r>
      <w:proofErr w:type="spellEnd"/>
      <w:r w:rsidR="00FC16C8" w:rsidRPr="00767241">
        <w:rPr>
          <w:rFonts w:ascii="Times New Roman" w:hAnsi="Times New Roman" w:cs="Times New Roman"/>
        </w:rPr>
        <w:t xml:space="preserve"> 1.08; p=0.045) and CAC ≥ 100 (</w:t>
      </w:r>
      <w:proofErr w:type="spellStart"/>
      <w:r w:rsidR="00FC16C8" w:rsidRPr="00767241">
        <w:rPr>
          <w:rFonts w:ascii="Times New Roman" w:hAnsi="Times New Roman" w:cs="Times New Roman"/>
        </w:rPr>
        <w:t>aOR</w:t>
      </w:r>
      <w:proofErr w:type="spellEnd"/>
      <w:r w:rsidR="00FC16C8" w:rsidRPr="00767241">
        <w:rPr>
          <w:rFonts w:ascii="Times New Roman" w:hAnsi="Times New Roman" w:cs="Times New Roman"/>
        </w:rPr>
        <w:t xml:space="preserve"> 1.10; p=0.021). CKD Stage ≥ 3 indicated a clinical trend of increased HRP risk but did not reach statistical significance.</w:t>
      </w:r>
    </w:p>
    <w:p w14:paraId="4328C82D" w14:textId="3216F0B7" w:rsidR="002714C3" w:rsidRDefault="002714C3" w:rsidP="00B1200D">
      <w:pPr>
        <w:spacing w:after="0"/>
        <w:jc w:val="both"/>
        <w:rPr>
          <w:rFonts w:ascii="Times New Roman" w:hAnsi="Times New Roman" w:cs="Times New Roman"/>
        </w:rPr>
      </w:pPr>
      <w:r w:rsidRPr="00767241">
        <w:rPr>
          <w:rFonts w:ascii="Times New Roman" w:hAnsi="Times New Roman" w:cs="Times New Roman"/>
          <w:b/>
          <w:bCs/>
        </w:rPr>
        <w:t>Conclusion:</w:t>
      </w:r>
      <w:r w:rsidRPr="00767241">
        <w:rPr>
          <w:rFonts w:ascii="Times New Roman" w:hAnsi="Times New Roman" w:cs="Times New Roman"/>
        </w:rPr>
        <w:t xml:space="preserve"> </w:t>
      </w:r>
      <w:r w:rsidR="00AB1F4C" w:rsidRPr="00767241">
        <w:rPr>
          <w:rFonts w:ascii="Times New Roman" w:hAnsi="Times New Roman" w:cs="Times New Roman"/>
        </w:rPr>
        <w:t>Ag</w:t>
      </w:r>
      <w:r w:rsidR="009B655B">
        <w:rPr>
          <w:rFonts w:ascii="Times New Roman" w:hAnsi="Times New Roman" w:cs="Times New Roman"/>
        </w:rPr>
        <w:t>e</w:t>
      </w:r>
      <w:r w:rsidR="00AB1F4C" w:rsidRPr="00767241">
        <w:rPr>
          <w:rFonts w:ascii="Times New Roman" w:hAnsi="Times New Roman" w:cs="Times New Roman"/>
        </w:rPr>
        <w:t xml:space="preserve"> is the primary determinant driving plaque vulnerability and calcification burden in DM patients. </w:t>
      </w:r>
      <w:r w:rsidR="002354DB" w:rsidRPr="002354DB">
        <w:rPr>
          <w:rFonts w:ascii="Times New Roman" w:hAnsi="Times New Roman" w:cs="Times New Roman"/>
        </w:rPr>
        <w:t>The lack of independent predictive value from lipid-based indices may partly reflect indication bias from concurrent statin therapy, warranting caution before adopting these indices as standalone risk-stratification tools.</w:t>
      </w:r>
    </w:p>
    <w:p w14:paraId="64372A88" w14:textId="77777777" w:rsidR="00B1200D" w:rsidRPr="00767241" w:rsidRDefault="00B1200D" w:rsidP="00B1200D">
      <w:pPr>
        <w:spacing w:after="0"/>
        <w:jc w:val="both"/>
        <w:rPr>
          <w:rFonts w:ascii="Times New Roman" w:hAnsi="Times New Roman" w:cs="Times New Roman"/>
        </w:rPr>
      </w:pPr>
    </w:p>
    <w:p w14:paraId="6A57ED1F" w14:textId="77777777" w:rsidR="002714C3" w:rsidRPr="00767241" w:rsidRDefault="002714C3" w:rsidP="00B1200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67241">
        <w:rPr>
          <w:rFonts w:ascii="Times New Roman" w:hAnsi="Times New Roman" w:cs="Times New Roman"/>
          <w:b/>
          <w:bCs/>
        </w:rPr>
        <w:t>Keywords:</w:t>
      </w:r>
    </w:p>
    <w:p w14:paraId="0DBD26B9" w14:textId="736BFAB0" w:rsidR="00F018F8" w:rsidRPr="00767241" w:rsidRDefault="002714C3" w:rsidP="00B651C3">
      <w:pPr>
        <w:jc w:val="both"/>
        <w:rPr>
          <w:rFonts w:ascii="Times New Roman" w:hAnsi="Times New Roman" w:cs="Times New Roman"/>
        </w:rPr>
      </w:pPr>
      <w:r w:rsidRPr="00767241">
        <w:rPr>
          <w:rFonts w:ascii="Times New Roman" w:hAnsi="Times New Roman" w:cs="Times New Roman"/>
        </w:rPr>
        <w:t>Cardiometabolic Index</w:t>
      </w:r>
      <w:r w:rsidR="008A4784" w:rsidRPr="00767241">
        <w:rPr>
          <w:rFonts w:ascii="Times New Roman" w:hAnsi="Times New Roman" w:cs="Times New Roman"/>
        </w:rPr>
        <w:t>;</w:t>
      </w:r>
      <w:r w:rsidRPr="00767241">
        <w:rPr>
          <w:rFonts w:ascii="Times New Roman" w:hAnsi="Times New Roman" w:cs="Times New Roman"/>
        </w:rPr>
        <w:t xml:space="preserve"> Coronary Artery Calcification</w:t>
      </w:r>
      <w:r w:rsidR="008A4784" w:rsidRPr="00767241">
        <w:rPr>
          <w:rFonts w:ascii="Times New Roman" w:hAnsi="Times New Roman" w:cs="Times New Roman"/>
        </w:rPr>
        <w:t>;</w:t>
      </w:r>
      <w:r w:rsidRPr="00767241">
        <w:rPr>
          <w:rFonts w:ascii="Times New Roman" w:hAnsi="Times New Roman" w:cs="Times New Roman"/>
        </w:rPr>
        <w:t xml:space="preserve"> Diabetes Mellitus</w:t>
      </w:r>
      <w:r w:rsidR="008A4784" w:rsidRPr="00767241">
        <w:rPr>
          <w:rFonts w:ascii="Times New Roman" w:hAnsi="Times New Roman" w:cs="Times New Roman"/>
        </w:rPr>
        <w:t>;</w:t>
      </w:r>
      <w:r w:rsidRPr="00767241">
        <w:rPr>
          <w:rFonts w:ascii="Times New Roman" w:hAnsi="Times New Roman" w:cs="Times New Roman"/>
        </w:rPr>
        <w:t xml:space="preserve"> High-Risk Plaque</w:t>
      </w:r>
      <w:r w:rsidR="00ED7D55" w:rsidRPr="00767241">
        <w:rPr>
          <w:rFonts w:ascii="Times New Roman" w:hAnsi="Times New Roman" w:cs="Times New Roman"/>
        </w:rPr>
        <w:t>.</w:t>
      </w:r>
    </w:p>
    <w:sectPr w:rsidR="00F018F8" w:rsidRPr="00767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34307"/>
    <w:multiLevelType w:val="hybridMultilevel"/>
    <w:tmpl w:val="5A7E0A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38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C3"/>
    <w:rsid w:val="00051286"/>
    <w:rsid w:val="00096471"/>
    <w:rsid w:val="000A1E99"/>
    <w:rsid w:val="000A23E9"/>
    <w:rsid w:val="000C2FD2"/>
    <w:rsid w:val="000E2BDF"/>
    <w:rsid w:val="000F6EA9"/>
    <w:rsid w:val="00191888"/>
    <w:rsid w:val="002354DB"/>
    <w:rsid w:val="00237CE9"/>
    <w:rsid w:val="002714C3"/>
    <w:rsid w:val="002744DD"/>
    <w:rsid w:val="002F614B"/>
    <w:rsid w:val="003748A0"/>
    <w:rsid w:val="003F4346"/>
    <w:rsid w:val="00415694"/>
    <w:rsid w:val="004E2AF6"/>
    <w:rsid w:val="00515D8C"/>
    <w:rsid w:val="005225F8"/>
    <w:rsid w:val="0054150E"/>
    <w:rsid w:val="005757D7"/>
    <w:rsid w:val="00593925"/>
    <w:rsid w:val="005A312B"/>
    <w:rsid w:val="005B01DE"/>
    <w:rsid w:val="005C26F1"/>
    <w:rsid w:val="005E1D02"/>
    <w:rsid w:val="00611B55"/>
    <w:rsid w:val="0061397F"/>
    <w:rsid w:val="0063377D"/>
    <w:rsid w:val="006359CA"/>
    <w:rsid w:val="00660836"/>
    <w:rsid w:val="00684B69"/>
    <w:rsid w:val="006D5563"/>
    <w:rsid w:val="00767241"/>
    <w:rsid w:val="007D29E0"/>
    <w:rsid w:val="0080477D"/>
    <w:rsid w:val="00807C63"/>
    <w:rsid w:val="0084234C"/>
    <w:rsid w:val="008522C5"/>
    <w:rsid w:val="008602E6"/>
    <w:rsid w:val="00881281"/>
    <w:rsid w:val="00894209"/>
    <w:rsid w:val="008A1464"/>
    <w:rsid w:val="008A4784"/>
    <w:rsid w:val="008B24A8"/>
    <w:rsid w:val="008B4C55"/>
    <w:rsid w:val="00904231"/>
    <w:rsid w:val="00932F4F"/>
    <w:rsid w:val="00940915"/>
    <w:rsid w:val="009B655B"/>
    <w:rsid w:val="00A319E0"/>
    <w:rsid w:val="00A76785"/>
    <w:rsid w:val="00A8443B"/>
    <w:rsid w:val="00A87272"/>
    <w:rsid w:val="00AB1F4C"/>
    <w:rsid w:val="00AF6107"/>
    <w:rsid w:val="00B1200D"/>
    <w:rsid w:val="00B31D5E"/>
    <w:rsid w:val="00B363D0"/>
    <w:rsid w:val="00B651C3"/>
    <w:rsid w:val="00B80EFB"/>
    <w:rsid w:val="00C11F07"/>
    <w:rsid w:val="00CC0BA8"/>
    <w:rsid w:val="00CF02D0"/>
    <w:rsid w:val="00D876BA"/>
    <w:rsid w:val="00DA7BF1"/>
    <w:rsid w:val="00DC446C"/>
    <w:rsid w:val="00DD52EF"/>
    <w:rsid w:val="00DE2500"/>
    <w:rsid w:val="00E12F57"/>
    <w:rsid w:val="00ED7D55"/>
    <w:rsid w:val="00F018F8"/>
    <w:rsid w:val="00F42999"/>
    <w:rsid w:val="00F64959"/>
    <w:rsid w:val="00F97467"/>
    <w:rsid w:val="00FB3C1E"/>
    <w:rsid w:val="00FC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2E081"/>
  <w15:chartTrackingRefBased/>
  <w15:docId w15:val="{4637C2F0-4249-43E4-B1B2-1A05E7E3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Kadek Adit Wiryadana</dc:creator>
  <cp:keywords/>
  <dc:description/>
  <cp:lastModifiedBy>Kadek Adit Wiryadana</cp:lastModifiedBy>
  <cp:revision>34</cp:revision>
  <cp:lastPrinted>2026-09-07T17:05:00Z</cp:lastPrinted>
  <dcterms:created xsi:type="dcterms:W3CDTF">2026-09-07T17:09:00Z</dcterms:created>
  <dcterms:modified xsi:type="dcterms:W3CDTF">2026-09-08T00:25:00Z</dcterms:modified>
</cp:coreProperties>
</file>