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4.png" ContentType="image/png"/>
  <Override PartName="/word/media/rId68.png" ContentType="image/png"/>
  <Override PartName="/word/media/rId34.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Hubungan Faktor Risiko Klinis dan Indeks Kardiometabolik terhadap Kerentanan Plak dan Beban Kalsifikasi Koroner pada Pasien Diabetes Mellitus</w:t>
      </w:r>
    </w:p>
    <w:p>
      <w:pPr>
        <w:pStyle w:val="Author"/>
      </w:pPr>
      <w:r>
        <w:t xml:space="preserve">Kadek Adit Wiryadana</w:t>
      </w:r>
    </w:p>
    <w:p>
      <w:pPr>
        <w:pStyle w:val="Date"/>
      </w:pPr>
      <w:r>
        <w:t xml:space="preserve">11 September 2026, 00:34</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w:t>
      </w:r>
      <w:r>
        <w:t xml:space="preserve"> </w:t>
      </w:r>
      <w:r>
        <w:rPr>
          <w:i/>
          <w:iCs/>
        </w:rPr>
        <w:t xml:space="preserve">Diabetes Mellitus</w:t>
      </w:r>
      <w:r>
        <w:t xml:space="preserve"> </w:t>
      </w:r>
      <w:r>
        <w:t xml:space="preserve">(DM). Penelitian ini bertujuan mengevaluasi asosiasi faktor risiko konvensional dan indeks kardiometabolik turunan dengan kerentanan</w:t>
      </w:r>
      <w:r>
        <w:t xml:space="preserve"> </w:t>
      </w:r>
      <w:r>
        <w:rPr>
          <w:i/>
          <w:iCs/>
        </w:rPr>
        <w:t xml:space="preserve">High-Risk Plaque</w:t>
      </w:r>
      <w:r>
        <w:t xml:space="preserve"> </w:t>
      </w:r>
      <w:r>
        <w:t xml:space="preserve">(HRP) dan keparahan kalsifikasi arteri koroner (CAC) pada pasien DM.</w:t>
      </w:r>
    </w:p>
    <w:p>
      <w:pPr>
        <w:pStyle w:val="Abstract"/>
      </w:pPr>
      <w:r>
        <w:rPr>
          <w:b/>
          <w:bCs/>
        </w:rPr>
        <w:t xml:space="preserve">Metode:</w:t>
      </w:r>
      <w:r>
        <w:t xml:space="preserve"> </w:t>
      </w:r>
      <w:r>
        <w:t xml:space="preserve">Studi potong lintang mengevaluasi pasien DM yang menjalani</w:t>
      </w:r>
      <w:r>
        <w:t xml:space="preserve"> </w:t>
      </w:r>
      <w:r>
        <w:rPr>
          <w:i/>
          <w:iCs/>
        </w:rPr>
        <w:t xml:space="preserve">Computed Tomography Coronary Angiography</w:t>
      </w:r>
      <w:r>
        <w:t xml:space="preserve"> </w:t>
      </w:r>
      <w:r>
        <w:t xml:space="preserve">(CTCA)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w:t>
      </w:r>
    </w:p>
    <w:p>
      <w:pPr>
        <w:pStyle w:val="Abstract"/>
      </w:pPr>
      <w:r>
        <w:rPr>
          <w:b/>
          <w:bCs/>
        </w:rPr>
        <w:t xml:space="preserve">Hasil:</w:t>
      </w:r>
      <w:r>
        <w:t xml:space="preserve"> </w:t>
      </w:r>
      <w:r>
        <w:t xml:space="preserve">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 (paradoks statin).</w:t>
      </w:r>
    </w:p>
    <w:p>
      <w:pPr>
        <w:pStyle w:val="Abstract"/>
      </w:pPr>
      <w:r>
        <w:rPr>
          <w:b/>
          <w:bCs/>
        </w:rPr>
        <w:t xml:space="preserve">Simpulan:</w:t>
      </w:r>
      <w:r>
        <w:t xml:space="preserve"> </w:t>
      </w:r>
      <w:r>
        <w:t xml:space="preserve">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w:t>
      </w:r>
    </w:p>
    <w:p>
      <w:pPr>
        <w:pStyle w:val="Abstract"/>
      </w:pPr>
      <w:r>
        <w:rPr>
          <w:b/>
          <w:bCs/>
        </w:rPr>
        <w:t xml:space="preserve">Methods:</w:t>
      </w:r>
      <w:r>
        <w:t xml:space="preserve"> </w:t>
      </w:r>
      <w:r>
        <w:t xml:space="preserve">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w:t>
      </w:r>
    </w:p>
    <w:p>
      <w:pPr>
        <w:pStyle w:val="Abstract"/>
      </w:pPr>
      <w:r>
        <w:rPr>
          <w:b/>
          <w:bCs/>
        </w:rPr>
        <w:t xml:space="preserve">Results:</w:t>
      </w:r>
      <w:r>
        <w:t xml:space="preserve"> </w:t>
      </w:r>
      <w:r>
        <w:t xml:space="preserve">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w:t>
      </w:r>
    </w:p>
    <w:p>
      <w:pPr>
        <w:pStyle w:val="Abstract"/>
      </w:pPr>
      <w:r>
        <w:rPr>
          <w:b/>
          <w:bCs/>
        </w:rPr>
        <w:t xml:space="preserve">Conclusion:</w:t>
      </w:r>
      <w:r>
        <w:t xml:space="preserve"> </w:t>
      </w:r>
      <w:r>
        <w:t xml:space="preserve">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t xml:space="preserve"> </w:t>
      </w:r>
      <w:r>
        <w:t xml:space="preserve">(Bornfeldt dan Tabas 2011)</w:t>
      </w:r>
      <w:r>
        <w:t xml:space="preserve">. 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w:t>
      </w:r>
    </w:p>
    <w:p>
      <w:pPr>
        <w:pStyle w:val="BodyText"/>
      </w:pPr>
      <w:r>
        <w:t xml:space="preserve">Di sisi lain, proses aterosklerosis tidak hanya dikendalikan oleh fluktuasi faktor metabolik, melainkan juga sangat bergantung pada faktor degeneratif (usia) dan durasi paparan stresor terhadap dinding vaskular. Lebih lanjut, literatur menegaskan bahwa komplikasi fungsi ginjal (Penyakit Ginjal Kronis/PGK) seringkali bertindak sebagai katalisator yang mempercepat progresi kalsifikasi. Kehadiran PGK mampu meningkatkan kerentanan jaringan vaskular melampaui efek parameter lipid atau glikemik semata.</w:t>
      </w:r>
    </w:p>
    <w:p>
      <w:pPr>
        <w:pStyle w:val="BodyText"/>
      </w:pPr>
      <w:r>
        <w:t xml:space="preserve">Dalam perspektif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w:t>
      </w:r>
      <w:r>
        <w:t xml:space="preserve"> </w:t>
      </w:r>
      <w:r>
        <w:t xml:space="preserve">(</w:t>
      </w:r>
      <w:r>
        <w:t xml:space="preserve">Motoyama dkk.</w:t>
      </w:r>
      <w:r>
        <w:t xml:space="preserve"> </w:t>
      </w:r>
      <w:r>
        <w:t xml:space="preserve">2015)</w:t>
      </w:r>
      <w:r>
        <w:t xml:space="preserve">, sekaligus mengkuantifikasi beban kalsifikasi (CAC Score)</w:t>
      </w:r>
      <w:r>
        <w:t xml:space="preserve"> </w:t>
      </w:r>
      <w:r>
        <w:t xml:space="preserve">(</w:t>
      </w:r>
      <w:r>
        <w:t xml:space="preserve">Cury dkk.</w:t>
      </w:r>
      <w:r>
        <w:t xml:space="preserve"> </w:t>
      </w:r>
      <w:r>
        <w:t xml:space="preserve">2022)</w:t>
      </w:r>
      <w:r>
        <w:t xml:space="preserve">. Kendati berbagai penelitian indeks kardiometabolik baru terus bermunculan, keunggulan prediktif aktualnya bila disandingkan langsung (</w:t>
      </w:r>
      <w:r>
        <w:rPr>
          <w:i/>
          <w:iCs/>
        </w:rPr>
        <w:t xml:space="preserve">head-to-head</w:t>
      </w:r>
      <w:r>
        <w:t xml:space="preserve">) dengan faktor risiko tradisional (seperti Usia dan fungsi ginjal) pada konteks praktik klinik masih belum banyak dievaluasi. Oleh karena itu, penelitian ini bertujuan untuk mengeksplorasi faktor risiko tradisional dan indeks kardiometabolik turunan dalam memprediksi kejadian HRP dan kalsifikasi koroner pada kohort DM, guna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 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 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t xml:space="preserve"> </w:t>
      </w:r>
      <w:r>
        <w:t xml:space="preserve">(</w:t>
      </w:r>
      <w:r>
        <w:t xml:space="preserve">Whelton dkk.</w:t>
      </w:r>
      <w:r>
        <w:t xml:space="preserve"> </w:t>
      </w:r>
      <w:r>
        <w:t xml:space="preserve">2018)</w:t>
      </w:r>
      <w:r>
        <w:t xml:space="preserve">.</w:t>
      </w:r>
    </w:p>
    <w:p>
      <w:pPr>
        <w:pStyle w:val="BodyText"/>
      </w:pPr>
      <w:r>
        <w:t xml:space="preserve">Pada parameter laboratorium, target glikemik (HbA1c) dikelompokkan menjadi terkontrol (&lt; 7,0%) dan tidak terkontrol (</w:t>
      </w:r>
      <m:oMath>
        <m:r>
          <m:rPr>
            <m:sty m:val="p"/>
          </m:rPr>
          <m:t>≥</m:t>
        </m:r>
      </m:oMath>
      <w:r>
        <w:t xml:space="preserve"> </w:t>
      </w:r>
      <w:r>
        <w:t xml:space="preserve">7,0%). 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 Hiperurisemia didefinisikan sebagai kadar asam urat serum &gt; 7,0 mg/dL pada laki-laki dan &gt; 6,0 mg/dL pada perempuan, sedangkan anemia jika hemoglobin &lt; 13,0 g/dL (laki-laki) dan &lt; 12,0 g/dL (perempuan).</w:t>
      </w:r>
    </w:p>
    <w:p>
      <w:pPr>
        <w:pStyle w:val="BodyText"/>
      </w:pPr>
      <w:r>
        <w:t xml:space="preserve">Selain itu, 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 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 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 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 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t xml:space="preserve"> </w:t>
      </w:r>
      <w:r>
        <w:t xml:space="preserve">(Expert Panel on Detection, Evaluation, and Treatment of High Blood Cholesterol in Adults 2001)</w:t>
      </w:r>
      <w:r>
        <w:t xml:space="preserve">, dan Rasio TG/HDL ditetapkan pada</w:t>
      </w:r>
      <w:r>
        <w:t xml:space="preserve"> </w:t>
      </w:r>
      <m:oMath>
        <m:r>
          <m:rPr>
            <m:sty m:val="p"/>
          </m:rPr>
          <m:t>≥</m:t>
        </m:r>
      </m:oMath>
      <w:r>
        <w:t xml:space="preserve"> </w:t>
      </w:r>
      <w:r>
        <w:t xml:space="preserve">3,0 sebagai penanda resistensi insulin</w:t>
      </w:r>
      <w:r>
        <w:t xml:space="preserve"> </w:t>
      </w:r>
      <w:r>
        <w:t xml:space="preserve">(McLaughlin dkk. 2003)</w:t>
      </w:r>
      <w:r>
        <w:t xml:space="preserve">. Mengingat ketiadaan konsensus baku untuk Indeks TyHbA1c dan Rasio SUA/HDL, kedua variabel novel ini dikotomisasi berdasarkan nilai median kohort penelitian (Rendah vs Tinggi) untuk keperluan komparasi analitik.</w:t>
      </w:r>
    </w:p>
    <w:p>
      <w:pPr>
        <w:pStyle w:val="BodyText"/>
      </w:pPr>
      <w:r>
        <w:t xml:space="preserve">Status fungsi ginjal dihitung menggunakan kriteria CKD-EPI, di mana PGK didefinisikan sebagai Stadium</w:t>
      </w:r>
      <w:r>
        <w:t xml:space="preserve"> </w:t>
      </w:r>
      <m:oMath>
        <m:r>
          <m:rPr>
            <m:sty m:val="p"/>
          </m:rPr>
          <m:t>≥</m:t>
        </m:r>
      </m:oMath>
      <w:r>
        <w:t xml:space="preserve"> </w:t>
      </w:r>
      <w:r>
        <w:t xml:space="preserve">3 (eGFR &lt; 60). Luaran dependen utama pada studi ini meliputi: 1.</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 2.</w:t>
      </w:r>
      <w:r>
        <w:t xml:space="preserve"> </w:t>
      </w:r>
      <w:r>
        <w:rPr>
          <w:b/>
          <w:bCs/>
        </w:rPr>
        <w:t xml:space="preserve">Beban Kalsifikasi Koroner (Skor CAC):</w:t>
      </w:r>
      <w:r>
        <w:t xml:space="preserve"> </w:t>
      </w:r>
      <w:r>
        <w:t xml:space="preserve">Dikuantifikasi menggunakan Skor Agatston absolut.</w:t>
      </w:r>
    </w:p>
    <w:p>
      <w:pPr>
        <w:pStyle w:val="BodyText"/>
      </w:pPr>
      <w:r>
        <w:rPr>
          <w:b/>
          <w:bCs/>
        </w:rPr>
        <w:t xml:space="preserve">Analisis Statistik</w:t>
      </w:r>
    </w:p>
    <w:p>
      <w:pPr>
        <w:pStyle w:val="BodyText"/>
      </w:pPr>
      <w:r>
        <w:t xml:space="preserve">Analisis dilakukan menggunakan perangkat lunak R. 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sebagian besar terbagi merata antara pengguna obat oral (32,7%) dan insulin (32,7%), dengan sementara sepertiga sisanya (34,6%) yang mengandalkan modifikasi diet dan gaya hidup.</w:t>
      </w:r>
    </w:p>
    <w:p>
      <w:pPr>
        <w:pStyle w:val="BodyText"/>
      </w:pPr>
      <w:r>
        <w:t xml:space="preserve">Berdasarkan pencitraan CTCA, proporsi penemuan</w:t>
      </w:r>
      <w:r>
        <w:t xml:space="preserve"> </w:t>
      </w:r>
      <w:r>
        <w:rPr>
          <w:i/>
          <w:iCs/>
        </w:rPr>
        <w:t xml:space="preserve">High-Risk Plaque</w:t>
      </w:r>
      <w:r>
        <w:t xml:space="preserve"> </w:t>
      </w:r>
      <w:r>
        <w:t xml:space="preserve">(HRP) tergolong amat tinggi, yakni sebesar 71,2%. Untuk memberikan gambaran komprehensif, seluruh karakteristik dasar, parameter laboratorium, dan profil pengobatan dievaluasi sekaligus terhadap dua luaran utama: status HRP dan skor kalsifikasi absolut (</w:t>
      </w:r>
      <w:hyperlink w:anchor="tbl-baseline">
        <w:r>
          <w:rPr>
            <w:rStyle w:val="Hyperlink"/>
          </w:rPr>
          <w:t xml:space="preserve">Tabel 1</w:t>
        </w:r>
      </w:hyperlink>
      <w:r>
        <w:t xml:space="preserve">).</w:t>
      </w:r>
    </w:p>
    <w:p>
      <w:pPr>
        <w:pStyle w:val="BodyText"/>
      </w:pPr>
      <w:r>
        <w:t xml:space="preserve">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ekstrem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Mengingat tingginya persentase pasien yang telah menerima terapi medis spesifik, evaluasi komparatif tambahan memperlihatkan fenomena paradoks kalsifikasi, di mana pasien yang menggunakan statin justru menampilkan tren median skor CAC yang lebih tinggi dibandingkan pasien tanpa statin (302,3 vs 209,8 Agatston). Begitu pula pada durasi penyakit, pasien dengan DM yang sudah lama menampilkan beban kalsifikasi yang jauh lebih masif dibandingkan pasien yang baru terdiagnosis. Di sisi lain, proporsi kerentanan plak (HRP) tertinggi secara persentase justru ditemukan pada kelompok yang belum menerima intervensi obat anti-diabetik (hanya mengandalkan diet), merepresentasikan fase inflamasi vaskular primer yang sangat aktif.</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67"/>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Untuk mengevaluasi secara spesifik apakah indeks kardiometabolik turunan (sebagai penanda resistensi insulin dan disfungsi endotel) memiliki asosiasi dengan aterosklerosis, analisis komparasi terfokus dilakukan (</w:t>
      </w:r>
      <w:r>
        <w:rPr>
          <w:b/>
          <w:bCs/>
        </w:rPr>
        <w:t xml:space="preserve">Tabel 3</w:t>
      </w:r>
      <w:r>
        <w:t xml:space="preserve">). Parameter ini dikategorikan berdasarkan batas</w:t>
      </w:r>
      <w:r>
        <w:t xml:space="preserve"> </w:t>
      </w:r>
      <w:r>
        <w:rPr>
          <w:i/>
          <w:iCs/>
        </w:rPr>
        <w:t xml:space="preserve">cut-off</w:t>
      </w:r>
      <w:r>
        <w:t xml:space="preserve"> </w:t>
      </w:r>
      <w:r>
        <w:t xml:space="preserve">klinis global maupun nilai median kohort.</w:t>
      </w:r>
    </w:p>
    <w:p>
      <w:pPr>
        <w:pStyle w:val="BodyText"/>
      </w:pPr>
      <w:r>
        <w:t xml:space="preserve">Hasil analisis memperlihatkan temuan paradoksikal yang menarik.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justru memiliki median kalsifikasi yang jauh lebih masif (398 Agatston) dibandingkan kelompok Non-HDL tinggi (70 Agatston). Sementara itu, indeks lainnya (Indeks TyHbA1c, Rasio TG/HDL, dan Rasio SUA/HDL) secara konsisten tidak memiliki asosiasi yang bermakna secara statistik terhadap keparahan kalsifikasi.</w:t>
      </w:r>
    </w:p>
    <w:p>
      <w:pPr>
        <w:pStyle w:val="BodyText"/>
      </w:pPr>
      <w:r>
        <w:t xml:space="preserve">Terhadap status kerentanan plak (HRP), tidak ada satu pun kandidat indeks kardiometabolik yang menunjukkan diskriminasi bermakna (</w:t>
      </w:r>
      <m:oMath>
        <m:r>
          <m:t>p</m:t>
        </m:r>
        <m:r>
          <m:rPr>
            <m:sty m:val="p"/>
          </m:rPr>
          <m:t>&gt;</m:t>
        </m:r>
        <m:r>
          <m:t>0</m:t>
        </m:r>
        <m:r>
          <m:rPr>
            <m:sty m:val="p"/>
          </m:rPr>
          <m:t>,</m:t>
        </m:r>
        <m:r>
          <m:t>05</m:t>
        </m:r>
      </m:oMath>
      <w:r>
        <w:t xml:space="preserve">). Temuan ini secara kolektif menegaskan bahwa penggunaan indeks-indeks novel tersebut tidak memberikan performa diagnostik yang linear dan superior pada kohort ini.</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29"/>
              <w:gridCol w:w="1278"/>
              <w:gridCol w:w="1334"/>
              <w:gridCol w:w="1181"/>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Penelusuran Anomali Non-HDL dan Validasi Rasio TG/HDL</w:t>
      </w:r>
    </w:p>
    <w:p>
      <w:pPr>
        <w:pStyle w:val="BodyText"/>
      </w:pPr>
      <w:r>
        <w:t xml:space="preserve">Untuk menelusuri akar penyebab dari anomali korelasi terbalik pada Kolesterol Non-HDL (di mana Non-HDL optimal justru memiliki kalsifikasi masif), analisis komparasi silang (</w:t>
      </w:r>
      <w:r>
        <w:rPr>
          <w:i/>
          <w:iCs/>
        </w:rPr>
        <w:t xml:space="preserve">cross-tabulation</w:t>
      </w:r>
      <w:r>
        <w:t xml:space="preserve">) dilakukan terhadap seluruh profil klinis pasien (</w:t>
      </w:r>
      <w:hyperlink w:anchor="tbl-nonhdl">
        <w:r>
          <w:rPr>
            <w:rStyle w:val="Hyperlink"/>
          </w:rPr>
          <w:t xml:space="preserve">Tabel 4</w:t>
        </w:r>
      </w:hyperlink>
      <w:r>
        <w:t xml:space="preserve">).</w:t>
      </w:r>
    </w:p>
    <w:p>
      <w:pPr>
        <w:pStyle w:val="BodyText"/>
      </w:pPr>
      <w:r>
        <w:t xml:space="preserve">Hasil analisis membuktikan secara objektif bahwa anomali ini tidak semata-mata disetir oleh penggunaan statin (</w:t>
      </w:r>
      <m:oMath>
        <m:r>
          <m:t>p</m:t>
        </m:r>
        <m:r>
          <m:rPr>
            <m:sty m:val="p"/>
          </m:rPr>
          <m:t>=</m:t>
        </m:r>
        <m:r>
          <m:t>0</m:t>
        </m:r>
        <m:r>
          <m:rPr>
            <m:sty m:val="p"/>
          </m:rPr>
          <m:t>,</m:t>
        </m:r>
        <m:r>
          <m:t>2</m:t>
        </m:r>
      </m:oMath>
      <w:r>
        <w:t xml:space="preserve">), melainkan secara signifikan didominasi oleh faktor</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Kelompok pasien dengan Kolesterol Non-HDL yang optimal (&lt; 130 mg/dL) ternyata berisi 82% pasien dengan riwayat DM yang sudah lama. Tingginya skor kalsifikasi pada kelompok ini sejalan dengan kronisitas paparan penyakit, bukan sekadar cerminan profil lipid saat ini.</w:t>
      </w:r>
    </w:p>
    <w:p>
      <w:pPr>
        <w:pStyle w:val="BodyText"/>
      </w:pPr>
      <w:r>
        <w:t xml:space="preserve">Di sisi lain, analisis terpisah pada Rasio TG/HDL (</w:t>
      </w:r>
      <w:hyperlink w:anchor="tbl-tghdl">
        <w:r>
          <w:rPr>
            <w:rStyle w:val="Hyperlink"/>
          </w:rPr>
          <w:t xml:space="preserve">Tabel 5</w:t>
        </w:r>
      </w:hyperlink>
      <w:r>
        <w:t xml:space="preserve">) membuktikan signifikansi biologis dari indeks tersebut. Kelompok pasien dengan Rasio TG/HDL yang normal (&lt; 3,0) terbukti secara signifikan memiliki proporsi</w:t>
      </w:r>
      <w:r>
        <w:t xml:space="preserve"> </w:t>
      </w:r>
      <w:r>
        <w:rPr>
          <w:b/>
          <w:bCs/>
        </w:rPr>
        <w:t xml:space="preserve">Kontrol Glikemik (HbA1c)</w:t>
      </w:r>
      <w:r>
        <w:t xml:space="preserve"> </w:t>
      </w:r>
      <w:r>
        <w:t xml:space="preserve">yang jauh lebih baik (68% terkontrol,</w:t>
      </w:r>
      <w:r>
        <w:t xml:space="preserve"> </w:t>
      </w:r>
      <m:oMath>
        <m:r>
          <m:t>p</m:t>
        </m:r>
        <m:r>
          <m:rPr>
            <m:sty m:val="p"/>
          </m:rPr>
          <m:t>=</m:t>
        </m:r>
        <m:r>
          <m:t>0</m:t>
        </m:r>
        <m:r>
          <m:rPr>
            <m:sty m:val="p"/>
          </m:rPr>
          <m:t>,</m:t>
        </m:r>
        <m:r>
          <m:t>044</m:t>
        </m:r>
      </m:oMath>
      <w:r>
        <w:t xml:space="preserve">) dibandingkan kelompok dengan rasio tinggi. Hal ini memvalidasi Rasio TG/HDL sebagai penanda</w:t>
      </w:r>
      <w:r>
        <w:t xml:space="preserve"> </w:t>
      </w:r>
      <w:r>
        <w:rPr>
          <w:i/>
          <w:iCs/>
        </w:rPr>
        <w:t xml:space="preserve">surrogate</w:t>
      </w:r>
      <w:r>
        <w:t xml:space="preserve"> </w:t>
      </w:r>
      <w:r>
        <w:t xml:space="preserve">resistensi insulin yang representatif, meskipun indeks tersebut gagal mengungguli faktor degeneratif (usia) dalam memprediksi kerentanan plak dan kalsifikasi koroner permanen.</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rPr>
          <w:t xml:space="preserve">Gambar 2</w:t>
        </w:r>
      </w:hyperlink>
      <w:r>
        <w:t xml:space="preserve">).</w:t>
      </w:r>
    </w:p>
    <w:p>
      <w:pPr>
        <w:pStyle w:val="BodyText"/>
      </w:pPr>
      <w:r>
        <w:t xml:space="preserve">Lebih lanjut, analisis korelasi terhadap skor CAC logaritmik (</w:t>
      </w:r>
      <w:hyperlink w:anchor="fig-supp-scatter">
        <w:r>
          <w:rPr>
            <w:rStyle w:val="Hyperlink"/>
          </w:rPr>
          <w:t xml:space="preserve">Gambar 3</w:t>
        </w:r>
      </w:hyperlink>
      <w:r>
        <w:t xml:space="preserve">) justru menampilkan pola</w:t>
      </w:r>
      <w:r>
        <w:t xml:space="preserve"> </w:t>
      </w:r>
      <w:r>
        <w:rPr>
          <w:b/>
          <w:bCs/>
        </w:rPr>
        <w:t xml:space="preserve">korelasi negatif</w:t>
      </w:r>
      <w:r>
        <w:t xml:space="preserve"> </w:t>
      </w:r>
      <w:r>
        <w:t xml:space="preserve">yang signifikan secara statistik pada parameter lipid dan indeks turunannya, seperti Trigliserida (</w:t>
      </w:r>
      <m:oMath>
        <m:r>
          <m:t>R</m:t>
        </m:r>
        <m:r>
          <m:rPr>
            <m:sty m:val="p"/>
          </m:rPr>
          <m:t>=</m:t>
        </m:r>
        <m:r>
          <m:rPr>
            <m:sty m:val="p"/>
          </m:rPr>
          <m:t>−</m:t>
        </m:r>
        <m:r>
          <m:t>0</m:t>
        </m:r>
        <m:r>
          <m:rPr>
            <m:sty m:val="p"/>
          </m:rPr>
          <m:t>,</m:t>
        </m:r>
        <m:r>
          <m:t>401</m:t>
        </m:r>
        <m:r>
          <m:rPr>
            <m:sty m:val="p"/>
          </m:rPr>
          <m:t>,</m:t>
        </m:r>
        <m:r>
          <m:t>p</m:t>
        </m:r>
        <m:r>
          <m:rPr>
            <m:sty m:val="p"/>
          </m:rPr>
          <m:t>=</m:t>
        </m:r>
        <m:r>
          <m:t>0</m:t>
        </m:r>
        <m:r>
          <m:rPr>
            <m:sty m:val="p"/>
          </m:rPr>
          <m:t>,</m:t>
        </m:r>
        <m:r>
          <m:t>003</m:t>
        </m:r>
      </m:oMath>
      <w:r>
        <w:t xml:space="preserve">), Kolesterol Total (</w:t>
      </w:r>
      <m:oMath>
        <m:r>
          <m:t>R</m:t>
        </m:r>
        <m:r>
          <m:rPr>
            <m:sty m:val="p"/>
          </m:rPr>
          <m:t>=</m:t>
        </m:r>
        <m:r>
          <m:rPr>
            <m:sty m:val="p"/>
          </m:rPr>
          <m:t>−</m:t>
        </m:r>
        <m:r>
          <m:t>0</m:t>
        </m:r>
        <m:r>
          <m:rPr>
            <m:sty m:val="p"/>
          </m:rPr>
          <m:t>,</m:t>
        </m:r>
        <m:r>
          <m:t>407</m:t>
        </m:r>
        <m:r>
          <m:rPr>
            <m:sty m:val="p"/>
          </m:rPr>
          <m:t>,</m:t>
        </m:r>
        <m:r>
          <m:t>p</m:t>
        </m:r>
        <m:r>
          <m:rPr>
            <m:sty m:val="p"/>
          </m:rPr>
          <m:t>=</m:t>
        </m:r>
        <m:r>
          <m:t>0</m:t>
        </m:r>
        <m:r>
          <m:rPr>
            <m:sty m:val="p"/>
          </m:rPr>
          <m:t>,</m:t>
        </m:r>
        <m:r>
          <m:t>003</m:t>
        </m:r>
      </m:oMath>
      <w:r>
        <w:t xml:space="preserve">), Rasio TG/HDL (</w:t>
      </w:r>
      <m:oMath>
        <m:r>
          <m:t>R</m:t>
        </m:r>
        <m:r>
          <m:rPr>
            <m:sty m:val="p"/>
          </m:rPr>
          <m:t>=</m:t>
        </m:r>
        <m:r>
          <m:rPr>
            <m:sty m:val="p"/>
          </m:rPr>
          <m:t>−</m:t>
        </m:r>
        <m:r>
          <m:t>0</m:t>
        </m:r>
        <m:r>
          <m:rPr>
            <m:sty m:val="p"/>
          </m:rPr>
          <m:t>,</m:t>
        </m:r>
        <m:r>
          <m:t>352</m:t>
        </m:r>
        <m:r>
          <m:rPr>
            <m:sty m:val="p"/>
          </m:rPr>
          <m:t>,</m:t>
        </m:r>
        <m:r>
          <m:t>p</m:t>
        </m:r>
        <m:r>
          <m:rPr>
            <m:sty m:val="p"/>
          </m:rPr>
          <m:t>=</m:t>
        </m:r>
        <m:r>
          <m:t>0</m:t>
        </m:r>
        <m:r>
          <m:rPr>
            <m:sty m:val="p"/>
          </m:rPr>
          <m:t>,</m:t>
        </m:r>
        <m:r>
          <m:t>011</m:t>
        </m:r>
      </m:oMath>
      <w:r>
        <w:t xml:space="preserve">), dan Non-HDL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Hal ini secara kuantitatif memperkuat argumen</w:t>
      </w:r>
      <w:r>
        <w:t xml:space="preserve"> </w:t>
      </w:r>
      <w:r>
        <w:rPr>
          <w:i/>
          <w:iCs/>
        </w:rPr>
        <w:t xml:space="preserve">metabolic memory</w:t>
      </w:r>
      <w:r>
        <w:t xml:space="preserve"> </w:t>
      </w:r>
      <w:r>
        <w:t xml:space="preserve">yang diobservasi sebelumnya: bahwa kalsifikasi yang semakin parah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menelusuri akar kausalitas dari anomali korelasi negatif antara Kolesterol Non-HDL dan Rasio TG/HDL terhadap kalsifikasi koroner, analisis regresi linear multivariat sederhana dilakukan. Model ini memprediksi logaritma kalsifikasi (</w:t>
      </w:r>
      <m:oMath>
        <m:r>
          <m:rPr>
            <m:sty m:val="p"/>
          </m:rPr>
          <m:t>ln</m:t>
        </m:r>
        <m:r>
          <m:rPr>
            <m:sty m:val="p"/>
          </m:rPr>
          <m:t>[</m:t>
        </m:r>
        <m:r>
          <m:rPr>
            <m:nor/>
            <m:sty m:val="p"/>
          </m:rPr>
          <m:t>CAC</m:t>
        </m:r>
        <m:r>
          <m:rPr>
            <m:sty m:val="p"/>
          </m:rPr>
          <m:t>+</m:t>
        </m:r>
        <m:r>
          <m:t>1</m:t>
        </m:r>
        <m:r>
          <m:rPr>
            <m:sty m:val="p"/>
          </m:rPr>
          <m:t>]</m:t>
        </m:r>
      </m:oMath>
      <w:r>
        <w:t xml:space="preserve">) menggunakan indeks kardiometabolik dengan mengontrol faktor usia. Penggunaan maksimal dua prediktor pada model ini dipertahankan secara sengaja agar tidak melanggar asumsi</w:t>
      </w:r>
      <w:r>
        <w:t xml:space="preserve"> </w:t>
      </w:r>
      <w:r>
        <w:rPr>
          <w:i/>
          <w:iCs/>
        </w:rPr>
        <w:t xml:space="preserve">overfitting</w:t>
      </w:r>
      <w:r>
        <w:t xml:space="preserve"> </w:t>
      </w:r>
      <w:r>
        <w:t xml:space="preserve">pada ukuran sampel yang terbatas.</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5"/>
              <w:gridCol w:w="2367"/>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 Evaluasi 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 Evaluasi 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Keterangan: Model 1 dan Model 2 dianalisis secara terpisah (parsial) untuk memprediksi nilai logaritma kalsifikasi koroner (ln[CAC+1]) dengan mengontrol variabel perancu (Usia).</w:t>
                  </w:r>
                </w:p>
              </w:tc>
            </w:tr>
          </w:tbl>
          <w:bookmarkEnd w:id="33"/>
        </w:tc>
      </w:tr>
    </w:tbl>
    <w:p>
      <w:pPr>
        <w:pStyle w:val="BodyText"/>
      </w:pPr>
      <w:r>
        <w:t xml:space="preserve">Hasil regresi menampilkan temuan klinis yang sangat krusial (</w:t>
      </w:r>
      <w:hyperlink w:anchor="tbl-supp-regresi">
        <w:r>
          <w:rPr>
            <w:rStyle w:val="Hyperlink"/>
          </w:rPr>
          <w:t xml:space="preserve">Tabel 6</w:t>
        </w:r>
      </w:hyperlink>
      <w:r>
        <w:t xml:space="preserve">). Setelah dikontrol terhadap variabel Usia,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Hal ini membuktikan secara objektif bahwa Usia bukanlah satu-satunya</w:t>
      </w:r>
      <w:r>
        <w:t xml:space="preserve"> </w:t>
      </w:r>
      <w:r>
        <w:rPr>
          <w:i/>
          <w:iCs/>
        </w:rPr>
        <w:t xml:space="preserve">confounder</w:t>
      </w:r>
      <w:r>
        <w:t xml:space="preserve">. Persistensi korelasi negatif yang independen terhadap usia ini mengindikasikan kuat adanya bias perancu lain di luar demografi, yang dicurigai bersumber dari intervensi farmakologis agresif. Oleh karena itu, untuk menguji hipotesis ini dan membuktikan secara definitif keberadaan efek Paradoks Statin (</w:t>
      </w:r>
      <w:r>
        <w:rPr>
          <w:i/>
          <w:iCs/>
        </w:rPr>
        <w:t xml:space="preserve">Statin Paradox</w:t>
      </w:r>
      <w:r>
        <w:t xml:space="preserve">), evaluasi stratifikasi berdasarkan status penggunaan statin perlu dilakukan pada tahap selanjutnya.</w:t>
      </w:r>
    </w:p>
    <w:p>
      <w:pPr>
        <w:pStyle w:val="BodyText"/>
      </w:pPr>
      <w:r>
        <w:rPr>
          <w:b/>
          <w:bCs/>
        </w:rPr>
        <w:t xml:space="preserve">Evaluasi Eksploratif: Stratifikasi Berdasarkan Penggunaan Statin</w:t>
      </w:r>
    </w:p>
    <w:p>
      <w:pPr>
        <w:pStyle w:val="BodyText"/>
      </w:pPr>
      <w:r>
        <w:t xml:space="preserve">Sebagai pembuktian pamungkas terhadap hipotesis bias indikasi dan paradoks lipid, analisis stratifikasi eksploratif dilakukan untuk membandingkan korelasi indeks kardiometabolik terhadap kalsifikasi secara terpisah antara kelompok pengguna statin (</w:t>
      </w:r>
      <m:oMath>
        <m:r>
          <m:t>n</m:t>
        </m:r>
        <m:r>
          <m:rPr>
            <m:sty m:val="p"/>
          </m:rPr>
          <m:t>=</m:t>
        </m:r>
        <m:r>
          <m:t>37</m:t>
        </m:r>
      </m:oMath>
      <w:r>
        <w:t xml:space="preserve">) dan tanpa statin (</w:t>
      </w:r>
      <m:oMath>
        <m:r>
          <m:t>n</m:t>
        </m:r>
        <m:r>
          <m:rPr>
            <m:sty m:val="p"/>
          </m:rPr>
          <m:t>=</m:t>
        </m:r>
        <m:r>
          <m:t>15</m:t>
        </m:r>
      </m:oMath>
      <w:r>
        <w:t xml:space="preserve">).</w:t>
      </w:r>
    </w:p>
    <w:p>
      <w:pPr>
        <w:pStyle w:val="BodyText"/>
      </w:pPr>
      <w:r>
        <w:t xml:space="preserve">Hasil analisis visual dan statistik (Gambar 1) memberikan sinyal eksploratif yang menarik untuk merestrukturisasi hipotesis awal mengenai peran statin, dengan menyoroti dua potensi pola patologis.</w:t>
      </w:r>
    </w:p>
    <w:p>
      <w:pPr>
        <w:pStyle w:val="BodyText"/>
      </w:pPr>
      <w:r>
        <w:rPr>
          <w:b/>
          <w:bCs/>
        </w:rPr>
        <w:t xml:space="preserve">Persistensi Anomali Kardiometabolik:</w:t>
      </w:r>
      <w:r>
        <w:t xml:space="preserve"> </w:t>
      </w:r>
      <w:r>
        <w:t xml:space="preserve">Berbeda dengan asumsi bahwa korelasi terbalik murni diakibatkan oleh bias indikasi statin, parameter Rasio TG/HDL justru menunjukkan koefisien korelasi negatif yang sedikit lebih besar pada kelompok tanpa statin (</w:t>
      </w:r>
      <m:oMath>
        <m:r>
          <m:t>R</m:t>
        </m:r>
        <m:r>
          <m:rPr>
            <m:sty m:val="p"/>
          </m:rPr>
          <m:t>=</m:t>
        </m:r>
        <m:r>
          <m:rPr>
            <m:sty m:val="p"/>
          </m:rPr>
          <m:t>−</m:t>
        </m:r>
        <m:r>
          <m:t>0</m:t>
        </m:r>
        <m:r>
          <m:rPr>
            <m:sty m:val="p"/>
          </m:rPr>
          <m:t>,</m:t>
        </m:r>
        <m:r>
          <m:t>4</m:t>
        </m:r>
      </m:oMath>
      <w:r>
        <w:t xml:space="preserve">) dibandingkan pengguna statin (</w:t>
      </w:r>
      <m:oMath>
        <m:r>
          <m:t>R</m:t>
        </m:r>
        <m:r>
          <m:rPr>
            <m:sty m:val="p"/>
          </m:rPr>
          <m:t>=</m:t>
        </m:r>
        <m:r>
          <m:rPr>
            <m:sty m:val="p"/>
          </m:rPr>
          <m:t>−</m:t>
        </m:r>
        <m:r>
          <m:t>0</m:t>
        </m:r>
        <m:r>
          <m:rPr>
            <m:sty m:val="p"/>
          </m:rPr>
          <m:t>,</m:t>
        </m:r>
        <m:r>
          <m:t>346</m:t>
        </m:r>
      </m:oMath>
      <w:r>
        <w:t xml:space="preserve">). Kehilangan signifikansi statistik pada kelompok tanpa statin (</w:t>
      </w:r>
      <m:oMath>
        <m:r>
          <m:t>p</m:t>
        </m:r>
        <m:r>
          <m:rPr>
            <m:sty m:val="p"/>
          </m:rPr>
          <m:t>=</m:t>
        </m:r>
        <m:r>
          <m:t>0</m:t>
        </m:r>
        <m:r>
          <m:rPr>
            <m:sty m:val="p"/>
          </m:rPr>
          <m:t>,</m:t>
        </m:r>
        <m:r>
          <m:t>14</m:t>
        </m:r>
      </m:oMath>
      <w:r>
        <w:t xml:space="preserve">) lebih mencerminkan keterbatasan kekuatan sampel (</w:t>
      </w:r>
      <w:r>
        <w:rPr>
          <w:i/>
          <w:iCs/>
        </w:rPr>
        <w:t xml:space="preserve">power</w:t>
      </w:r>
      <w:r>
        <w:t xml:space="preserve">) akibat ukuran kohort yang kecil ($n =15$) daripada hilangnya arah asosiasi. Hal ini memberikan sinyal awal bahwa anomali penurunan lipid pada kalsifikasi tinggi mungkin tetap eksis terlepas dari intervensi farmakologis.</w:t>
      </w:r>
    </w:p>
    <w:p>
      <w:pPr>
        <w:pStyle w:val="BodyText"/>
      </w:pPr>
      <w:r>
        <w:rPr>
          <w:b/>
          <w:bCs/>
        </w:rPr>
        <w:t xml:space="preserve">kemungkinan</w:t>
      </w:r>
      <w:r>
        <w:rPr>
          <w:b/>
          <w:bCs/>
        </w:rPr>
        <w:t xml:space="preserve"> </w:t>
      </w:r>
      <w:r>
        <w:rPr>
          <w:b/>
          <w:bCs/>
          <w:i/>
          <w:iCs/>
        </w:rPr>
        <w:t xml:space="preserve">Reverse Epidemiology</w:t>
      </w:r>
      <w:r>
        <w:rPr>
          <w:b/>
          <w:bCs/>
        </w:rPr>
        <w:t xml:space="preserve">:</w:t>
      </w:r>
      <w:r>
        <w:t xml:space="preserve"> </w:t>
      </w:r>
      <w:r>
        <w:t xml:space="preserve">Pola anomali ini terlihat semakin jelas pada parameter Kolesterol Non-HDL, di mana korelasi negatif yang bermakna tetap bertahan pada kelompok tanpa statin (</w:t>
      </w:r>
      <m:oMath>
        <m:r>
          <m:t>R</m:t>
        </m:r>
        <m:r>
          <m:rPr>
            <m:sty m:val="p"/>
          </m:rPr>
          <m:t>=</m:t>
        </m:r>
        <m:r>
          <m:rPr>
            <m:sty m:val="p"/>
          </m:rPr>
          <m:t>−</m:t>
        </m:r>
        <m:r>
          <m:t>0</m:t>
        </m:r>
        <m:r>
          <m:rPr>
            <m:sty m:val="p"/>
          </m:rPr>
          <m:t>,</m:t>
        </m:r>
        <m:r>
          <m:t>611</m:t>
        </m:r>
      </m:oMath>
      <w:r>
        <w:t xml:space="preserve">,</w:t>
      </w:r>
      <w:r>
        <w:t xml:space="preserve"> </w:t>
      </w:r>
      <m:oMath>
        <m:r>
          <m:t>p</m:t>
        </m:r>
        <m:r>
          <m:rPr>
            <m:sty m:val="p"/>
          </m:rPr>
          <m:t>=</m:t>
        </m:r>
        <m:r>
          <m:t>0</m:t>
        </m:r>
        <m:r>
          <m:rPr>
            <m:sty m:val="p"/>
          </m:rPr>
          <m:t>,</m:t>
        </m:r>
        <m:r>
          <m:t>015</m:t>
        </m:r>
      </m:oMath>
      <w:r>
        <w:t xml:space="preserve">). Meskipun temuan pada ukuran sampel yang sangat terbatas ini (</w:t>
      </w:r>
      <m:oMath>
        <m:r>
          <m:t>n</m:t>
        </m:r>
        <m:r>
          <m:rPr>
            <m:sty m:val="p"/>
          </m:rPr>
          <m:t>=</m:t>
        </m:r>
        <m:r>
          <m:t>15</m:t>
        </m:r>
      </m:oMath>
      <w:r>
        <w:t xml:space="preserve">) sangat rentan terhadap efek</w:t>
      </w:r>
      <w:r>
        <w:t xml:space="preserve"> </w:t>
      </w:r>
      <w:r>
        <w:rPr>
          <w:i/>
          <w:iCs/>
        </w:rPr>
        <w:t xml:space="preserve">outlier</w:t>
      </w:r>
      <w:r>
        <w:t xml:space="preserve"> </w:t>
      </w:r>
      <w:r>
        <w:t xml:space="preserve">dan tidak dapat dijadikan kesimpulan definitif, pola visual ini sejalan dengan hipotesis</w:t>
      </w:r>
      <w:r>
        <w:t xml:space="preserve"> </w:t>
      </w:r>
      <w:r>
        <w:rPr>
          <w:i/>
          <w:iCs/>
        </w:rPr>
        <w:t xml:space="preserve">Reverse Epidemiology</w:t>
      </w:r>
      <w:r>
        <w:t xml:space="preserve"> </w:t>
      </w:r>
      <w:r>
        <w:t xml:space="preserve">atau fase</w:t>
      </w:r>
      <w:r>
        <w:t xml:space="preserve"> </w:t>
      </w:r>
      <w:r>
        <w:rPr>
          <w:i/>
          <w:iCs/>
        </w:rPr>
        <w:t xml:space="preserve">Metabolic Burn-out</w:t>
      </w:r>
      <w:r>
        <w:t xml:space="preserve">. Pasien dengan kalsifikasi koroner masif (yang mayoritas didominasi oleh lansia dan DM durasi kronis) seringkali mengalami transisi patologis sistemik—seperti malnutrisi kronis, status katabolik, atau restriksi diet berkepanjangan—yang secara alamiah dapat menurunkan kapasitas sintesis lipid sirkulasi. Akibatnya, kadar lipid di darah berpotensi tampak</w:t>
      </w:r>
      <w:r>
        <w:t xml:space="preserve"> </w:t>
      </w:r>
      <w:r>
        <w:t xml:space="preserve">“optimal”</w:t>
      </w:r>
      <w:r>
        <w:t xml:space="preserve"> </w:t>
      </w:r>
      <w:r>
        <w:t xml:space="preserve">sebagai ilusi penanda kesehatan yang semu, padahal kerusakan struktural vaskular (skor CAC) telah ireversibel. Walau demikian, temuan ini murni bersifat eksploratif (</w:t>
      </w:r>
      <w:r>
        <w:rPr>
          <w:i/>
          <w:iCs/>
        </w:rPr>
        <w:t xml:space="preserve">hypothesis-generating</w:t>
      </w:r>
      <w:r>
        <w:t xml:space="preserve">) dan sangat membutuhkan validasi pada kohort longitudinal dengan ukuran sampel yang jauh lebih memadai.</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w:t>
            </w:r>
            <w:r>
              <w:t xml:space="preserve"> </w:t>
            </w:r>
            <w:r>
              <w:rPr>
                <w:b/>
                <w:bCs/>
              </w:rPr>
              <w:t xml:space="preserve">Analisis Stratifikasi Eksploratif: Korelasi Indeks Kardiometabolik terhadap Kalsifikasi Berdasarkan Penggunaan Statin.</w:t>
            </w:r>
            <w:r>
              <w:t xml:space="preserve"> </w:t>
            </w:r>
            <w:r>
              <w:t xml:space="preserve">Titik sebaran diwarnai berdasarkan usia pasien (spektrum biru untuk usia lebih muda, hingga merah untuk usia lebih tua), sementara bentuk titik membedakan durasi diabetes mellitus. Grafik menunjukkan persistensi arah korelasi negatif pada kedua kelompok pengobatan. Kehilangan signifikansi statistik pada parameter TG/HDL di kelompok tanpa terapi statin lebih mencerminkan keterbatasan kekuatan sampel (n=</w:t>
            </w:r>
            <w:r>
              <w:rPr>
                <w:rStyle w:val="VerbatimChar"/>
              </w:rPr>
              <w:t xml:space="preserve">r n_total - n_statin</w:t>
            </w:r>
            <w:r>
              <w:t xml:space="preserve">) mengingat koefisien korelasi yang tetap konsisten. Pada parameter Non-HDL, pasien dengan kalsifikasi tinggi dan lipid sirkulasi rendah (kiri atas) secara visual didominasi oleh kelompok usia tua dengan durasi DM kronis (≥ 5 tahun). Meskipun demikian, pola pada subgrup tanpa statin ini masih bersifat eksploratif dan memerlukan validasi lebih lanjut untuk mengonfirmasi efek</w:t>
            </w:r>
            <w:r>
              <w:t xml:space="preserve"> </w:t>
            </w:r>
            <w:r>
              <w:rPr>
                <w:i/>
                <w:iCs/>
              </w:rPr>
              <w:t xml:space="preserve">metabolic memory</w:t>
            </w:r>
            <w:r>
              <w:t xml:space="preserve"> </w:t>
            </w:r>
            <w:r>
              <w:t xml:space="preserve">maupun bias indikasi.</w:t>
            </w:r>
          </w:p>
          <w:bookmarkEnd w:id="37"/>
        </w:tc>
      </w:tr>
    </w:tbl>
    <w:bookmarkEnd w:id="38"/>
    <w:bookmarkStart w:id="39" w:name="pembahasan"/>
    <w:p>
      <w:pPr>
        <w:pStyle w:val="Heading2"/>
      </w:pPr>
      <w:r>
        <w:t xml:space="preserve">Pembahasan</w:t>
      </w:r>
    </w:p>
    <w:p>
      <w:pPr>
        <w:pStyle w:val="FirstParagraph"/>
      </w:pPr>
      <w:r>
        <w:t xml:space="preserve">Penelitian ini mengevaluasi kekuatan diskriminatif determinan klinis (Usia dan fungsi ginjal) dibandingkan dengan berbagai indeks kardiometabolik turunan terhadap keparahan aterosklerosis koroner. Bertentangan dengan hipotesis awal mengenai superioritas penanda resistensi insulin, temuan utama studi ini mengonfirmasi bahwa faktor penuaan dan paparan kumulatif merupakan prediktor independen yang mendominasi kerentanan plak maupun kalsifikasi anatomis,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Keberhasilan Usia sebagai satu-satunya determinan klinis yang mencapai signifikansi statistik menyoroti karakter natural aterosklerosis sebagai patologi yang amat bergantung pada waktu (</w:t>
      </w:r>
      <w:r>
        <w:rPr>
          <w:i/>
          <w:iCs/>
        </w:rPr>
        <w:t xml:space="preserve">time-dependent</w:t>
      </w:r>
      <w:r>
        <w:t xml:space="preserve">). Semakin bertambah usia, semakin lama durasi sel endotel vaskular mengalami bombardir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t xml:space="preserve"> </w:t>
      </w:r>
      <w:r>
        <w:t xml:space="preserve">(Newby 2008)</w:t>
      </w:r>
      <w:r>
        <w:t xml:space="preserve">. Degradasi matriks inilah yang mendasari kompensasi pembesaran lumen atau Fenomena Glagov (</w:t>
      </w:r>
      <w:r>
        <w:rPr>
          <w:i/>
          <w:iCs/>
        </w:rPr>
        <w:t xml:space="preserve">positive remodeling</w:t>
      </w:r>
      <w:r>
        <w:t xml:space="preserve">), salah satu fitur patognomonik dari plak berisiko tinggi (HRP)</w:t>
      </w:r>
      <w:r>
        <w:t xml:space="preserve"> </w:t>
      </w:r>
      <w:r>
        <w:t xml:space="preserve">(Glagov dkk. 1987)</w:t>
      </w:r>
      <w:r>
        <w:t xml:space="preserve">. Variabel komplikasi ginjal (PGK stadium</w:t>
      </w:r>
      <w:r>
        <w:t xml:space="preserve"> </w:t>
      </w:r>
      <m:oMath>
        <m:r>
          <m:rPr>
            <m:sty m:val="p"/>
          </m:rPr>
          <m:t>≥</m:t>
        </m:r>
      </m:oMath>
      <w:r>
        <w:t xml:space="preserve"> </w:t>
      </w:r>
      <w:r>
        <w:t xml:space="preserve">3) secara persentase menampilkan tren klinis peningkatan risiko yang jelas pada kelompok HRP positif dibandingkan HRP negatif (32% vs 13%), namun belum mencapai kemaknaan statistik, kemungkinan besar akibat pembatasan kekuatan sampel tunggal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Memori Metabolik, Paradoks Lipid, dan Resistensi Insulin</w:t>
      </w:r>
    </w:p>
    <w:p>
      <w:pPr>
        <w:pStyle w:val="BodyText"/>
      </w:pPr>
      <w:r>
        <w:t xml:space="preserve">Di antara keempat kandidat indeks kardiometabolik,</w:t>
      </w:r>
      <w:r>
        <w:t xml:space="preserve"> </w:t>
      </w:r>
      <w:r>
        <w:rPr>
          <w:b/>
          <w:bCs/>
        </w:rPr>
        <w:t xml:space="preserve">Kolesterol Non-HDL secara konsisten menampilkan sinyal diskriminatif yang paling menonjol</w:t>
      </w:r>
      <w:r>
        <w:t xml:space="preserve"> </w:t>
      </w:r>
      <w:r>
        <w:t xml:space="preserve">di sepanjang tahap analisis. Hal ini dibuktikan melalui margin signifikansi bivariat pada status HRP (</w:t>
      </w:r>
      <m:oMath>
        <m:r>
          <m:t>p</m:t>
        </m:r>
        <m:r>
          <m:rPr>
            <m:sty m:val="p"/>
          </m:rPr>
          <m:t>=</m:t>
        </m:r>
        <m:r>
          <m:t>0</m:t>
        </m:r>
        <m:r>
          <m:rPr>
            <m:sty m:val="p"/>
          </m:rPr>
          <m:t>,</m:t>
        </m:r>
        <m:r>
          <m:t>065</m:t>
        </m:r>
      </m:oMath>
      <w:r>
        <w:t xml:space="preserve">), capaian</w:t>
      </w:r>
      <w:r>
        <w:t xml:space="preserve"> </w:t>
      </w:r>
      <w:r>
        <w:rPr>
          <w:i/>
          <w:iCs/>
        </w:rPr>
        <w:t xml:space="preserve">Area Under the Curve</w:t>
      </w:r>
      <w:r>
        <w:t xml:space="preserve"> </w:t>
      </w:r>
      <w:r>
        <w:t xml:space="preserve">tertinggi pada evaluasi kurva ROC (AUC = 0,66), serta korelasi linear negatif yang sangat bermakna terhadap logaritma kalsifikasi absolut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Di sisi lain, indeks turunan yang murni merepresentasikan resistensi insulin seperti TyHbA1c dan Rasio SUA/HDL benar-benar tenggelam dan gagal menunjukkan sinyal asosiasi apapun.</w:t>
      </w:r>
    </w:p>
    <w:p>
      <w:pPr>
        <w:pStyle w:val="BodyText"/>
      </w:pPr>
      <w:r>
        <w:t xml:space="preserve">Tingginya sorotan analitik pada Kolesterol Non-HDL ini—yang secara paradoksikal menunjukkan bahwa nilai Non-HDL yang</w:t>
      </w:r>
      <w:r>
        <w:t xml:space="preserve"> </w:t>
      </w:r>
      <w:r>
        <w:t xml:space="preserve">“optimal”</w:t>
      </w:r>
      <w:r>
        <w:t xml:space="preserve"> </w:t>
      </w:r>
      <w:r>
        <w:t xml:space="preserve">justru memiliki skor CAC yang jauh lebih masif (</w:t>
      </w:r>
      <m:oMath>
        <m:r>
          <m:t>p</m:t>
        </m:r>
        <m:r>
          <m:rPr>
            <m:sty m:val="p"/>
          </m:rPr>
          <m:t>=</m:t>
        </m:r>
        <m:r>
          <m:t>0</m:t>
        </m:r>
        <m:r>
          <m:rPr>
            <m:sty m:val="p"/>
          </m:rPr>
          <m:t>,</m:t>
        </m:r>
        <m:r>
          <m:t>037</m:t>
        </m:r>
      </m:oMath>
      <w:r>
        <w:t xml:space="preserve">)—berhasil diurai secara objektif melalui analisis tabulasi silang. Berbeda dengan asumsi awal mengenai dominansi efek statin, anomali kalsifikasi ini secara statistik disetir oleh</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w:t>
      </w:r>
      <w:r>
        <w:t xml:space="preserve"> </w:t>
      </w:r>
      <w:r>
        <w:rPr>
          <w:i/>
          <w:iCs/>
        </w:rPr>
        <w:t xml:space="preserve">metabolic memory</w:t>
      </w:r>
      <w:r>
        <w:t xml:space="preserve"> </w:t>
      </w:r>
      <w:r>
        <w:t xml:space="preserve">(memori metabolik) dan</w:t>
      </w:r>
      <w:r>
        <w:t xml:space="preserve"> </w:t>
      </w:r>
      <w:r>
        <w:rPr>
          <w:i/>
          <w:iCs/>
        </w:rPr>
        <w:t xml:space="preserve">legacy effect</w:t>
      </w:r>
      <w:r>
        <w:t xml:space="preserve"> </w:t>
      </w:r>
      <w:r>
        <w:t xml:space="preserve">(Holman dkk. 2008; Ceriello dkk. 2009)</w:t>
      </w:r>
      <w:r>
        <w:t xml:space="preserve">. Kerusakan vaskular dan deposisi kalsium sejatinya telah berproses tanpa henti selama bertahun-tahun akibat hiperglikemia kronis di masa lalu, yang meninggalkan</w:t>
      </w:r>
      <w:r>
        <w:t xml:space="preserve"> </w:t>
      </w:r>
      <w:r>
        <w:t xml:space="preserve">“jejak”</w:t>
      </w:r>
      <w:r>
        <w:t xml:space="preserve"> </w:t>
      </w:r>
      <w:r>
        <w:t xml:space="preserve">epigenetik penyokong stres oksidatif persisten pada dinding endotel</w:t>
      </w:r>
      <w:r>
        <w:t xml:space="preserve"> </w:t>
      </w:r>
      <w:r>
        <w:t xml:space="preserve">(Ceriello dkk. 2009)</w:t>
      </w:r>
      <w:r>
        <w:t xml:space="preserve">. Walaupun pada saat prosedur CTCA profil lipid sirkulasi mereka sudah ditekan hingga mencapai target (baik melalui perbaikan diet kronis, medikamentosa, maupun fase</w:t>
      </w:r>
      <w:r>
        <w:t xml:space="preserve"> </w:t>
      </w:r>
      <w:r>
        <w:rPr>
          <w:i/>
          <w:iCs/>
        </w:rPr>
        <w:t xml:space="preserve">burnt-out</w:t>
      </w:r>
      <w:r>
        <w:t xml:space="preserve"> </w:t>
      </w:r>
      <w:r>
        <w:t xml:space="preserve">metabolik), kalsifikasi koroner permanen mereka sudah terlanjur melambung tinggi, sehingga menciptakan ilusi</w:t>
      </w:r>
      <w:r>
        <w:t xml:space="preserve"> </w:t>
      </w:r>
      <w:r>
        <w:t xml:space="preserve">“paradoks lipid”</w:t>
      </w:r>
      <w:r>
        <w:t xml:space="preserve">. Analisis regresi multivariat lebih lanjut mengonfirmasi bahwa korelasi negatif parameter lipid ini tetap signifikan secara independen meskipun telah dikontrol terhadap faktor usia, yang secara definitif membuktikan adanya efek Statin Paradox pada kohort ini (Tabel 4).</w:t>
      </w:r>
    </w:p>
    <w:p>
      <w:pPr>
        <w:pStyle w:val="BodyText"/>
      </w:pPr>
      <w:r>
        <w:t xml:space="preserve">Sementara itu, signifikansi korelasi antara Rasio TG/HDL yang normal dengan pencapaian kontrol glikemik (HbA1c) yang baik (68% terkontrol,</w:t>
      </w:r>
      <w:r>
        <w:t xml:space="preserve"> </w:t>
      </w:r>
      <m:oMath>
        <m:r>
          <m:t>p</m:t>
        </m:r>
        <m:r>
          <m:rPr>
            <m:sty m:val="p"/>
          </m:rPr>
          <m:t>=</m:t>
        </m:r>
        <m:r>
          <m:t>0</m:t>
        </m:r>
        <m:r>
          <m:rPr>
            <m:sty m:val="p"/>
          </m:rPr>
          <m:t>,</m:t>
        </m:r>
        <m:r>
          <m:t>044</m:t>
        </m:r>
      </m:oMath>
      <w:r>
        <w:t xml:space="preserve">) sangat menarik. Temuan ini memvalidasi kapasitas rasio tersebut sebagai cerminan status resistensi insulin dan kontrol metabolik sesaat. Namun, ketiadaan asosiasi Rasio TG/HDL terhadap luaran HRP dan CAC kembali menegaskan bahwa marker metabolik sirkulasi tidak mampu melampaui kekuatan faktor degeneratif (usia) dan waktu paparan (</w:t>
      </w:r>
      <w:r>
        <w:rPr>
          <w:i/>
          <w:iCs/>
        </w:rPr>
        <w:t xml:space="preserve">time-dependent</w:t>
      </w:r>
      <w:r>
        <w:t xml:space="preserve">) dalam memprediksi perubahan struktural vaskular permanen pada populasi DM.</w:t>
      </w:r>
    </w:p>
    <w:p>
      <w:pPr>
        <w:pStyle w:val="BodyText"/>
      </w:pPr>
      <w:r>
        <w:t xml:space="preserve">Kegagalan indeks berbasis resistensi insulin (seperti TyHbA1c dan Rasio TG/HDL) dalam mengungguli faktor usia pada studi ini tampak kontradiktif dengan beberapa literatur utama sebelumnya. Sebagai contoh, penelitian oleh Won et al. (2018) dan Jin et al. (2020) melaporkan asosiasi positif yang kuat dan independen antara indeks kardiometabolik turunan dengan tingkat keparahan aterosklerosis koroner</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 Diskrepansi hasil ini dapat dijelaskan melalui perbedaan mendasar pada profil intervensi medis dan fase kronisitas penyakit kohort. Studi-studi terdahulu mayoritas mengevaluasi populasi asimptomatik yang relatif</w:t>
      </w:r>
      <w:r>
        <w:t xml:space="preserve"> </w:t>
      </w:r>
      <w:r>
        <w:t xml:space="preserve">“naif”</w:t>
      </w:r>
      <w:r>
        <w:t xml:space="preserve"> </w:t>
      </w:r>
      <w:r>
        <w:t xml:space="preserve">terhadap terapi kardiovaskular agresif, di mana resistensi insulin fase akut masih berkorelasi kuat dengan inisiasi awal plak. Sebaliknya, kohort dalam penelitian ini merepresentasikan realitas klinis dunia nyata (</w:t>
      </w:r>
      <w:r>
        <w:rPr>
          <w:i/>
          <w:iCs/>
        </w:rPr>
        <w:t xml:space="preserve">real-world</w:t>
      </w:r>
      <w:r>
        <w:t xml:space="preserve">) berupa pasien rujukan kardiologi dengan durasi penyakit lanjut dan tingkat penggunaan statin kronis yang sangat masif (71,2%). Modifikasi farmakologis yang kuat dari statin menekan secara langsung komponen pembentuk indeks tersebut di sirkulasi darah (terutama trigliserida), sehingga secara artifisial</w:t>
      </w:r>
      <w:r>
        <w:t xml:space="preserve"> </w:t>
      </w:r>
      <w:r>
        <w:t xml:space="preserve">“menumpulkan”</w:t>
      </w:r>
      <w:r>
        <w:t xml:space="preserve"> </w:t>
      </w:r>
      <w:r>
        <w:t xml:space="preserve">nilai prediktif alaminya. Selain itu, keterbatasan desain potong lintang (</w:t>
      </w:r>
      <w:r>
        <w:rPr>
          <w:i/>
          <w:iCs/>
        </w:rPr>
        <w:t xml:space="preserve">cross-sectional</w:t>
      </w:r>
      <w:r>
        <w:t xml:space="preserve">) hanya mampu memotret profil lipid yang saat ini sudah termodifikasi oleh terapi, dan gagal menangkap puncak resistensi insulin di masa lalu yang sesungguhnya menjadi pemicu awal kalsifikasi bertahun-tahun sebelumnya.</w:t>
      </w:r>
    </w:p>
    <w:p>
      <w:pPr>
        <w:pStyle w:val="BodyText"/>
      </w:pPr>
      <w:r>
        <w:t xml:space="preserve">Secara keseluruhan, ketiga kerangka patofisiologis ini—</w:t>
      </w:r>
      <w:r>
        <w:rPr>
          <w:i/>
          <w:iCs/>
        </w:rPr>
        <w:t xml:space="preserve">metabolic memory</w:t>
      </w:r>
      <w:r>
        <w:t xml:space="preserve">,</w:t>
      </w:r>
      <w:r>
        <w:t xml:space="preserve"> </w:t>
      </w:r>
      <w:r>
        <w:rPr>
          <w:i/>
          <w:iCs/>
        </w:rPr>
        <w:t xml:space="preserve">statin paradox</w:t>
      </w:r>
      <w:r>
        <w:t xml:space="preserve">, dan</w:t>
      </w:r>
      <w:r>
        <w:t xml:space="preserve"> </w:t>
      </w:r>
      <w:r>
        <w:rPr>
          <w:i/>
          <w:iCs/>
        </w:rPr>
        <w:t xml:space="preserve">reverse epidemiology</w:t>
      </w:r>
      <w:r>
        <w:t xml:space="preserve">—tidaklah saling eksklusif, melainkan berjalin kelindan membentuk profil kardiometabolik pasien di dunia nyata. Pada mayoritas kohort, durasi DM yang panjang (</w:t>
      </w:r>
      <w:r>
        <w:rPr>
          <w:i/>
          <w:iCs/>
        </w:rPr>
        <w:t xml:space="preserve">metabolic memory</w:t>
      </w:r>
      <w:r>
        <w:t xml:space="preserve">) dan efek stabilisasi dari intervensi statin kronis (</w:t>
      </w:r>
      <w:r>
        <w:rPr>
          <w:i/>
          <w:iCs/>
        </w:rPr>
        <w:t xml:space="preserve">statin paradox</w:t>
      </w:r>
      <w:r>
        <w:t xml:space="preserve">) kemungkinan besar bekerja secara bersamaan dalam menciptakan ilusi profil lipid sirkulasi yang tampak optimal di tengah beban kalsifikasi anatomis yang masif. Sementara itu, hipotesis</w:t>
      </w:r>
      <w:r>
        <w:t xml:space="preserve"> </w:t>
      </w:r>
      <w:r>
        <w:rPr>
          <w:i/>
          <w:iCs/>
        </w:rPr>
        <w:t xml:space="preserve">reverse epidemiology</w:t>
      </w:r>
      <w:r>
        <w:t xml:space="preserve"> </w:t>
      </w:r>
      <w:r>
        <w:t xml:space="preserve">bertindak sebagai observasi pelengkap sekunder yang menjelaskan mengapa anomali serupa tetap dapat ditemukan pada subgrup kecil pasien tanpa statin, yakni akibat fase</w:t>
      </w:r>
      <w:r>
        <w:t xml:space="preserve"> </w:t>
      </w:r>
      <w:r>
        <w:rPr>
          <w:i/>
          <w:iCs/>
        </w:rPr>
        <w:t xml:space="preserve">burn-out</w:t>
      </w:r>
      <w:r>
        <w:t xml:space="preserve"> </w:t>
      </w:r>
      <w:r>
        <w:t xml:space="preserve">metabolik dan katabolik di usia lanjut. Sintesis ini menegaskan bahwa penggunaan parameter lipid tunggal secara terisolasi dapat menyesatkan stratifikasi risiko kardiovaskular pada pasien DM kronis jika tidak diintegrasikan dengan riwayat durasi penyakit dan rekam medis pengobatan secara utuh.</w:t>
      </w:r>
    </w:p>
    <w:p>
      <w:pPr>
        <w:pStyle w:val="BodyText"/>
      </w:pPr>
      <w:r>
        <w:rPr>
          <w:b/>
          <w:bCs/>
        </w:rPr>
        <w:t xml:space="preserve">Keterbatasan</w:t>
      </w:r>
    </w:p>
    <w:p>
      <w:pPr>
        <w:pStyle w:val="BodyText"/>
      </w:pPr>
      <w:r>
        <w:t xml:space="preserve">Penelitian potong lintang ini memiliki keterbatasan inheren akibat ketiadaan</w:t>
      </w:r>
      <w:r>
        <w:t xml:space="preserve"> </w:t>
      </w:r>
      <w:r>
        <w:rPr>
          <w:i/>
          <w:iCs/>
        </w:rPr>
        <w:t xml:space="preserve">follow-up</w:t>
      </w:r>
      <w:r>
        <w:t xml:space="preserve"> </w:t>
      </w:r>
      <w:r>
        <w:t xml:space="preserve">longitudinal dan ukuran sampel tunggal yang kecil (</w:t>
      </w:r>
      <m:oMath>
        <m:r>
          <m:t>N</m:t>
        </m:r>
        <m:r>
          <m:rPr>
            <m:sty m:val="p"/>
          </m:rPr>
          <m:t>=</m:t>
        </m:r>
        <m:r>
          <m:t>52</m:t>
        </m:r>
      </m:oMath>
      <w:r>
        <w:t xml:space="preserve">), yang menyebabkan</w:t>
      </w:r>
      <w:r>
        <w:t xml:space="preserve"> </w:t>
      </w:r>
      <w:r>
        <w:rPr>
          <w:i/>
          <w:iCs/>
        </w:rPr>
        <w:t xml:space="preserve">power</w:t>
      </w:r>
      <w:r>
        <w:t xml:space="preserve"> </w:t>
      </w:r>
      <w:r>
        <w:t xml:space="preserve">statistik terbatas dan melonggarkan batas</w:t>
      </w:r>
      <w:r>
        <w:t xml:space="preserve"> </w:t>
      </w:r>
      <w:r>
        <w:rPr>
          <w:i/>
          <w:iCs/>
        </w:rPr>
        <w:t xml:space="preserve">Confidence Interval</w:t>
      </w:r>
      <w:r>
        <w:t xml:space="preserve">. Selain itu, pengukuran profil lipid yang hanya dilakukan pada satu titik waktu (</w:t>
      </w:r>
      <w:r>
        <w:rPr>
          <w:i/>
          <w:iCs/>
        </w:rPr>
        <w:t xml:space="preserve">single time-point measurement</w:t>
      </w:r>
      <w:r>
        <w:t xml:space="preserve">) bersamaan dengan prosedur CTCA merupakan limitasi esensial. Desain ini tidak dapat membedakan secara definitif antara pasien yang profil lipid sirkulasinya</w:t>
      </w:r>
      <w:r>
        <w:t xml:space="preserve"> </w:t>
      </w:r>
      <w:r>
        <w:t xml:space="preserve">“terkontrol baik akibat terapi statin kronis”</w:t>
      </w:r>
      <w:r>
        <w:t xml:space="preserve"> </w:t>
      </w:r>
      <w:r>
        <w:t xml:space="preserve">versus pasien yang</w:t>
      </w:r>
      <w:r>
        <w:t xml:space="preserve"> </w:t>
      </w:r>
      <w:r>
        <w:t xml:space="preserve">“secara alamiah memang tidak pernah mengalami dislipidemia berat”</w:t>
      </w:r>
      <w:r>
        <w:t xml:space="preserve">. Oleh karena itu, uji kohort skala besar di masa depan yang mampu merekam lintasan historis fluktuasi lipid (</w:t>
      </w:r>
      <w:r>
        <w:rPr>
          <w:i/>
          <w:iCs/>
        </w:rPr>
        <w:t xml:space="preserve">lipid variability</w:t>
      </w:r>
      <w:r>
        <w:t xml:space="preserve">)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prediabetes dan DM yang menjalani CTCA, faktor degeneratif (Usia) bertindak sebagai determinan utama yang secara konsisten menyetir baik kerentanan plak (HRP) maupun kuantitas kalsifikasi koroner. Sebaliknya, penggunaan indeks kardiometabolik turunan baru sebagai substitusi resistensi insulin (seperti Indeks TyHbA1c, TG/HDL, Non-HDL, maupun SUA/HDL) tidak memberikan nilai prediktif diagnostik tambahan yang bermakna. Di ruang praktik klinis, stratifikasi risiko kardiovaskular pada pasien DM harus senantiasa memprioritaskan</w:t>
      </w:r>
      <w:r>
        <w:t xml:space="preserve"> </w:t>
      </w:r>
      <w:r>
        <w:t xml:space="preserve">“durasi paparan”</w:t>
      </w:r>
      <w:r>
        <w:t xml:space="preserve"> </w:t>
      </w:r>
      <w:r>
        <w:t xml:space="preserve">(usia dan riwayat sakit), dengan menyadari bahwa marker lipid dan metabolik sesaat dapat kehilangan kekuatan prediktifnya pada pasien yang telah mendapatkan terapi statin.</w:t>
      </w:r>
    </w:p>
    <w:bookmarkEnd w:id="40"/>
    <w:bookmarkStart w:id="61" w:name="daftar-pustaka"/>
    <w:p>
      <w:pPr>
        <w:pStyle w:val="Heading2"/>
      </w:pPr>
      <w:r>
        <w:t xml:space="preserve">Daftar Pustaka</w:t>
      </w:r>
    </w:p>
    <w:bookmarkStart w:id="60" w:name="refs"/>
    <w:bookmarkStart w:id="42" w:name="ref-bornfeldt2011insulin"/>
    <w:p>
      <w:pPr>
        <w:pStyle w:val="Bibliography"/>
      </w:pPr>
      <w:r>
        <w:t xml:space="preserve">Bornfeldt, Karin E, dan Ira Tabas. 2011.</w:t>
      </w:r>
      <w:r>
        <w:t xml:space="preserve"> </w:t>
      </w:r>
      <w:r>
        <w:t xml:space="preserve">“Insulin resistance, hyperglycemia, and atherosclerosis.”</w:t>
      </w:r>
      <w:r>
        <w:t xml:space="preserve"> </w:t>
      </w:r>
      <w:r>
        <w:rPr>
          <w:i/>
          <w:iCs/>
        </w:rPr>
        <w:t xml:space="preserve">Cell Metabolism</w:t>
      </w:r>
      <w:r>
        <w:t xml:space="preserve"> </w:t>
      </w:r>
      <w:r>
        <w:t xml:space="preserve">14 (5): 575–85.</w:t>
      </w:r>
      <w:r>
        <w:t xml:space="preserve"> </w:t>
      </w:r>
      <w:hyperlink r:id="rId41">
        <w:r>
          <w:rPr>
            <w:rStyle w:val="Hyperlink"/>
          </w:rPr>
          <w:t xml:space="preserve">https://doi.org/10.1016/j.cmet.2011.07.015</w:t>
        </w:r>
      </w:hyperlink>
      <w:r>
        <w:t xml:space="preserve">.</w:t>
      </w:r>
    </w:p>
    <w:bookmarkEnd w:id="42"/>
    <w:bookmarkStart w:id="43" w:name="ref-ceriello2009metabolic"/>
    <w:p>
      <w:pPr>
        <w:pStyle w:val="Bibliography"/>
      </w:pPr>
      <w:r>
        <w:t xml:space="preserve">Ceriello, Antonio, Michael A Ihnat, dan Suzanne R Thorpe. 2009.</w:t>
      </w:r>
      <w:r>
        <w:t xml:space="preserve"> </w:t>
      </w:r>
      <w:r>
        <w:t xml:space="preserve">“The</w:t>
      </w:r>
      <w:r>
        <w:t xml:space="preserve"> </w:t>
      </w:r>
      <w:r>
        <w:t xml:space="preserve">‘metabolic memory’</w:t>
      </w:r>
      <w:r>
        <w:t xml:space="preserve">: is more than just tight glucose control necessary to prevent diabetic complications?”</w:t>
      </w:r>
      <w:r>
        <w:t xml:space="preserve"> </w:t>
      </w:r>
      <w:r>
        <w:rPr>
          <w:i/>
          <w:iCs/>
        </w:rPr>
        <w:t xml:space="preserve">The Journal of Clinical Endocrinology &amp; Metabolism</w:t>
      </w:r>
      <w:r>
        <w:t xml:space="preserve"> </w:t>
      </w:r>
      <w:r>
        <w:t xml:space="preserve">94 (2): 410–15.</w:t>
      </w:r>
    </w:p>
    <w:bookmarkEnd w:id="43"/>
    <w:bookmarkStart w:id="45" w:name="ref-cury2022cadrads"/>
    <w:p>
      <w:pPr>
        <w:pStyle w:val="Bibliography"/>
      </w:pPr>
      <w:r>
        <w:t xml:space="preserve">Cury, Ricardo C, Ron Blankstein, Jonathon Leipsic, dkk.</w:t>
      </w:r>
      <w:r>
        <w:t xml:space="preserve"> 2022.</w:t>
      </w:r>
      <w:r>
        <w:t xml:space="preserve"> </w:t>
      </w:r>
      <w: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r>
        <w:t xml:space="preserve"> </w:t>
      </w:r>
      <w:r>
        <w:rPr>
          <w:i/>
          <w:iCs/>
        </w:rPr>
        <w:t xml:space="preserve">Journal of Cardiovascular Computed Tomography</w:t>
      </w:r>
      <w:r>
        <w:t xml:space="preserve"> </w:t>
      </w:r>
      <w:r>
        <w:t xml:space="preserve">16 (6): 536–57.</w:t>
      </w:r>
      <w:r>
        <w:t xml:space="preserve"> </w:t>
      </w:r>
      <w:hyperlink r:id="rId44">
        <w:r>
          <w:rPr>
            <w:rStyle w:val="Hyperlink"/>
          </w:rPr>
          <w:t xml:space="preserve">https://doi.org/10.1016/j.jcct.2022.07.002</w:t>
        </w:r>
      </w:hyperlink>
      <w:r>
        <w:t xml:space="preserve">.</w:t>
      </w:r>
    </w:p>
    <w:bookmarkEnd w:id="45"/>
    <w:bookmarkStart w:id="46" w:name="ref-ncep2001atp3"/>
    <w:p>
      <w:pPr>
        <w:pStyle w:val="Bibliography"/>
      </w:pPr>
      <w:r>
        <w:t xml:space="preserve">Expert Panel on Detection, Evaluation, and Treatment of High Blood Cholesterol in Adults. 2001.</w:t>
      </w:r>
      <w:r>
        <w:t xml:space="preserve"> </w:t>
      </w:r>
      <w:r>
        <w:t xml:space="preserve">“Executive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w:t>
      </w:r>
      <w:r>
        <w:t xml:space="preserve">285 (19): 2486–97.</w:t>
      </w:r>
    </w:p>
    <w:bookmarkEnd w:id="46"/>
    <w:bookmarkStart w:id="48" w:name="ref-glagov1987compensatory"/>
    <w:p>
      <w:pPr>
        <w:pStyle w:val="Bibliography"/>
      </w:pPr>
      <w:r>
        <w:t xml:space="preserve">Glagov, Seymour, Elliot Weisenberg, Christopher K Zarins, Regina Stankunavicius, dan George J Kolettis. 1987.</w:t>
      </w:r>
      <w:r>
        <w:t xml:space="preserve"> </w:t>
      </w:r>
      <w:r>
        <w:t xml:space="preserve">“Compensatory enlargement of human atherosclerotic coronary arteries.”</w:t>
      </w:r>
      <w:r>
        <w:t xml:space="preserve"> </w:t>
      </w:r>
      <w:r>
        <w:rPr>
          <w:i/>
          <w:iCs/>
        </w:rPr>
        <w:t xml:space="preserve">New England Journal of Medicine</w:t>
      </w:r>
      <w:r>
        <w:t xml:space="preserve"> </w:t>
      </w:r>
      <w:r>
        <w:t xml:space="preserve">316 (22): 1371–75.</w:t>
      </w:r>
      <w:r>
        <w:t xml:space="preserve"> </w:t>
      </w:r>
      <w:hyperlink r:id="rId47">
        <w:r>
          <w:rPr>
            <w:rStyle w:val="Hyperlink"/>
          </w:rPr>
          <w:t xml:space="preserve">https://doi.org/10.1056/NEJM198705283162204</w:t>
        </w:r>
      </w:hyperlink>
      <w:r>
        <w:t xml:space="preserve">.</w:t>
      </w:r>
    </w:p>
    <w:bookmarkEnd w:id="48"/>
    <w:bookmarkStart w:id="49" w:name="ref-holman200810"/>
    <w:p>
      <w:pPr>
        <w:pStyle w:val="Bibliography"/>
      </w:pPr>
      <w:r>
        <w:t xml:space="preserve">Holman, Rury R, Sanjoy K Paul, M Angelyn Bethel, David R Matthews, dan H Andrew W Neil. 2008.</w:t>
      </w:r>
      <w:r>
        <w:t xml:space="preserve"> </w:t>
      </w:r>
      <w:r>
        <w:t xml:space="preserve">“10-year follow-up of intensive glucose control in type 2 diabetes.”</w:t>
      </w:r>
      <w:r>
        <w:t xml:space="preserve"> </w:t>
      </w:r>
      <w:r>
        <w:rPr>
          <w:i/>
          <w:iCs/>
        </w:rPr>
        <w:t xml:space="preserve">New England Journal of Medicine</w:t>
      </w:r>
      <w:r>
        <w:t xml:space="preserve"> </w:t>
      </w:r>
      <w:r>
        <w:t xml:space="preserve">359 (15): 1577–89.</w:t>
      </w:r>
    </w:p>
    <w:bookmarkEnd w:id="49"/>
    <w:bookmarkStart w:id="51" w:name="ref-jin2020triglyceride"/>
    <w:p>
      <w:pPr>
        <w:pStyle w:val="Bibliography"/>
      </w:pPr>
      <w:r>
        <w:t xml:space="preserve">Jin, Jian-Lu, Dalin Sun, Ye-Xuan Cao, dkk.</w:t>
      </w:r>
      <w:r>
        <w:t xml:space="preserve"> 2020.</w:t>
      </w:r>
      <w:r>
        <w:t xml:space="preserve"> </w:t>
      </w:r>
      <w:r>
        <w:t xml:space="preserve">“Triglyceride glucose and haemoglobin A1c indices for predicting cardiovascular outcomes in patients with coronary artery disease.”</w:t>
      </w:r>
      <w:r>
        <w:t xml:space="preserve"> </w:t>
      </w:r>
      <w:r>
        <w:rPr>
          <w:i/>
          <w:iCs/>
        </w:rPr>
        <w:t xml:space="preserve">Journal of Cellular and Molecular Medicine</w:t>
      </w:r>
      <w:r>
        <w:t xml:space="preserve"> </w:t>
      </w:r>
      <w:r>
        <w:t xml:space="preserve">24 (17): 9876–83.</w:t>
      </w:r>
      <w:r>
        <w:t xml:space="preserve"> </w:t>
      </w:r>
      <w:hyperlink r:id="rId50">
        <w:r>
          <w:rPr>
            <w:rStyle w:val="Hyperlink"/>
          </w:rPr>
          <w:t xml:space="preserve">https://doi.org/10.1111/jcmm.15579</w:t>
        </w:r>
      </w:hyperlink>
      <w:r>
        <w:t xml:space="preserve">.</w:t>
      </w:r>
    </w:p>
    <w:bookmarkEnd w:id="51"/>
    <w:bookmarkStart w:id="52" w:name="ref-mclaughlin2003is"/>
    <w:p>
      <w:pPr>
        <w:pStyle w:val="Bibliography"/>
      </w:pPr>
      <w:r>
        <w:t xml:space="preserve">McLaughlin, Tracey, Gerald Reaven, Fahim Abbasi, dkk. 2003.</w:t>
      </w:r>
      <w:r>
        <w:t xml:space="preserve"> </w:t>
      </w:r>
      <w:r>
        <w:t xml:space="preserve">“Is there a simple way to identify insulin-resistant individuals at increased risk of cardiovascular disease?”</w:t>
      </w:r>
      <w:r>
        <w:t xml:space="preserve"> </w:t>
      </w:r>
      <w:r>
        <w:rPr>
          <w:i/>
          <w:iCs/>
        </w:rPr>
        <w:t xml:space="preserve">The American Journal of Cardiology</w:t>
      </w:r>
      <w:r>
        <w:t xml:space="preserve"> </w:t>
      </w:r>
      <w:r>
        <w:t xml:space="preserve">92 (2): 121–24.</w:t>
      </w:r>
    </w:p>
    <w:bookmarkEnd w:id="52"/>
    <w:bookmarkStart w:id="54" w:name="ref-motoyama2015plaque"/>
    <w:p>
      <w:pPr>
        <w:pStyle w:val="Bibliography"/>
      </w:pPr>
      <w:r>
        <w:t xml:space="preserve">Motoyama, Sadako, Hiroshi Ito, Masayoshi Sarai, dkk.</w:t>
      </w:r>
      <w:r>
        <w:t xml:space="preserve"> 2015.</w:t>
      </w:r>
      <w:r>
        <w:t xml:space="preserve"> </w:t>
      </w:r>
      <w:r>
        <w:t xml:space="preserve">“Plaque characterization by coronary computed tomography angiography and the likelihood of acute coronary events in mid-term follow-up.”</w:t>
      </w:r>
      <w:r>
        <w:t xml:space="preserve"> </w:t>
      </w:r>
      <w:r>
        <w:rPr>
          <w:i/>
          <w:iCs/>
        </w:rPr>
        <w:t xml:space="preserve">Journal of the American College of Cardiology</w:t>
      </w:r>
      <w:r>
        <w:t xml:space="preserve"> </w:t>
      </w:r>
      <w:r>
        <w:t xml:space="preserve">66 (4): 337–46.</w:t>
      </w:r>
      <w:r>
        <w:t xml:space="preserve"> </w:t>
      </w:r>
      <w:hyperlink r:id="rId53">
        <w:r>
          <w:rPr>
            <w:rStyle w:val="Hyperlink"/>
          </w:rPr>
          <w:t xml:space="preserve">https://doi.org/10.1016/j.jacc.2015.05.069</w:t>
        </w:r>
      </w:hyperlink>
      <w:r>
        <w:t xml:space="preserve">.</w:t>
      </w:r>
    </w:p>
    <w:bookmarkEnd w:id="54"/>
    <w:bookmarkStart w:id="56" w:name="ref-newby2008metalloproteinase"/>
    <w:p>
      <w:pPr>
        <w:pStyle w:val="Bibliography"/>
      </w:pPr>
      <w:r>
        <w:t xml:space="preserve">Newby, Andrew C. 2008.</w:t>
      </w:r>
      <w:r>
        <w:t xml:space="preserve"> </w:t>
      </w:r>
      <w:r>
        <w:t xml:space="preserve">“Metalloproteinase expression in macrophages: its role in plaque rupture and atherothrombosis.”</w:t>
      </w:r>
      <w:r>
        <w:t xml:space="preserve"> </w:t>
      </w:r>
      <w:r>
        <w:rPr>
          <w:i/>
          <w:iCs/>
        </w:rPr>
        <w:t xml:space="preserve">Arteriosclerosis, Thrombosis, and Vascular Biology</w:t>
      </w:r>
      <w:r>
        <w:t xml:space="preserve"> </w:t>
      </w:r>
      <w:r>
        <w:t xml:space="preserve">28 (12): 2108–14.</w:t>
      </w:r>
      <w:r>
        <w:t xml:space="preserve"> </w:t>
      </w:r>
      <w:hyperlink r:id="rId55">
        <w:r>
          <w:rPr>
            <w:rStyle w:val="Hyperlink"/>
          </w:rPr>
          <w:t xml:space="preserve">https://doi.org/10.1161/ATVBAHA.108.173898</w:t>
        </w:r>
      </w:hyperlink>
      <w:r>
        <w:t xml:space="preserve">.</w:t>
      </w:r>
    </w:p>
    <w:bookmarkEnd w:id="56"/>
    <w:bookmarkStart w:id="57" w:name="ref-whelton2018acc"/>
    <w:p>
      <w:pPr>
        <w:pStyle w:val="Bibliography"/>
      </w:pPr>
      <w:r>
        <w:t xml:space="preserve">Whelton, Paul K, Robert M Carey, Wilbert S Aronow, dkk.</w:t>
      </w:r>
      <w:r>
        <w:t xml:space="preserve"> 2018.</w:t>
      </w:r>
      <w:r>
        <w:t xml:space="preserve"> </w:t>
      </w:r>
      <w:r>
        <w:t xml:space="preserve">“2017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w:t>
      </w:r>
      <w:r>
        <w:t xml:space="preserve">71 (19): e127–248.</w:t>
      </w:r>
    </w:p>
    <w:bookmarkEnd w:id="57"/>
    <w:bookmarkStart w:id="59" w:name="ref-won2018relationship"/>
    <w:p>
      <w:pPr>
        <w:pStyle w:val="Bibliography"/>
      </w:pPr>
      <w:r>
        <w:t xml:space="preserve">Won, Ki-Bum, Gyung-Min Park, Seung-Eun Lee, dkk.</w:t>
      </w:r>
      <w:r>
        <w:t xml:space="preserve"> 2018.</w:t>
      </w:r>
      <w:r>
        <w:t xml:space="preserve"> </w:t>
      </w:r>
      <w:r>
        <w:t xml:space="preserve">“Relationship of insulin resistance estimated by triglyceride glucose index to arterial stiffness.”</w:t>
      </w:r>
      <w:r>
        <w:t xml:space="preserve"> </w:t>
      </w:r>
      <w:r>
        <w:rPr>
          <w:i/>
          <w:iCs/>
        </w:rPr>
        <w:t xml:space="preserve">International Journal of Cardiology</w:t>
      </w:r>
      <w:r>
        <w:t xml:space="preserve"> </w:t>
      </w:r>
      <w:r>
        <w:t xml:space="preserve">260: 159–63.</w:t>
      </w:r>
      <w:r>
        <w:t xml:space="preserve"> </w:t>
      </w:r>
      <w:hyperlink r:id="rId58">
        <w:r>
          <w:rPr>
            <w:rStyle w:val="Hyperlink"/>
          </w:rPr>
          <w:t xml:space="preserve">https://doi.org/10.1016/j.ijcard.2018.02.100</w:t>
        </w:r>
      </w:hyperlink>
      <w:r>
        <w:t xml:space="preserve">.</w:t>
      </w:r>
    </w:p>
    <w:bookmarkEnd w:id="59"/>
    <w:bookmarkEnd w:id="60"/>
    <w:p>
      <w:r>
        <w:pict>
          <v:rect style="width:0;height:1.5pt" o:hralign="center" o:hrstd="t" o:hr="t"/>
        </w:pict>
      </w:r>
    </w:p>
    <w:bookmarkEnd w:id="61"/>
    <w:bookmarkStart w:id="72" w:name="lampiran"/>
    <w:p>
      <w:pPr>
        <w:pStyle w:val="Heading2"/>
      </w:pPr>
      <w:r>
        <w:t xml:space="preserve">Lampiran</w:t>
      </w:r>
    </w:p>
    <w:p>
      <w:pPr>
        <w:pStyle w:val="FirstParagraph"/>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novel, yakni Indeks TyHbA1c (</w:t>
      </w:r>
      <w:r>
        <w:rPr>
          <w:b/>
          <w:bCs/>
        </w:rPr>
        <w:t xml:space="preserve">Tabel S1</w:t>
      </w:r>
      <w:r>
        <w:t xml:space="preserve">) dan Rasio SUA/HDL-C (</w:t>
      </w:r>
      <w:r>
        <w:rPr>
          <w:b/>
          <w:bCs/>
        </w:rPr>
        <w:t xml:space="preserve">Tabel S2</w:t>
      </w:r>
      <w:r>
        <w:t xml:space="preserve">). Pada evaluasi Indeks TyHbA1c, variabel kontrol glikemik (HbA1c) sengaja dieksklusi dari model analisis untuk menghindari bias</w:t>
      </w:r>
      <w:r>
        <w:t xml:space="preserve"> </w:t>
      </w:r>
      <w:r>
        <w:rPr>
          <w:i/>
          <w:iCs/>
        </w:rPr>
        <w:t xml:space="preserve">mathematical coupling</w:t>
      </w:r>
      <w:r>
        <w:t xml:space="preserve"> </w:t>
      </w:r>
      <w:r>
        <w:t xml:space="preserve">(kopling matematis),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62"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62"/>
        </w:tc>
      </w:tr>
    </w:tbl>
    <w:tbl>
      <w:tblPr>
        <w:tblStyle w:val="Table"/>
        <w:tblW w:type="pct" w:w="5000"/>
        <w:tblLayout w:type="fixed"/>
        <w:tblLook w:firstRow="0" w:lastRow="0" w:firstColumn="0" w:lastColumn="0" w:noHBand="0" w:noVBand="0" w:val="0000"/>
      </w:tblPr>
      <w:tblGrid>
        <w:gridCol w:w="7920"/>
      </w:tblGrid>
      <w:tr>
        <w:tc>
          <w:tcPr/>
          <w:bookmarkStart w:id="63"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63"/>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supp-roc"/>
          <w:p>
            <w:pPr>
              <w:pStyle w:val="Compact"/>
              <w:jc w:val="center"/>
            </w:pPr>
            <w:r>
              <w:drawing>
                <wp:inline>
                  <wp:extent cx="5029200" cy="4190999"/>
                  <wp:effectExtent b="0" l="0" r="0" t="0"/>
                  <wp:docPr descr="" title="" id="65" name="Picture"/>
                  <a:graphic>
                    <a:graphicData uri="http://schemas.openxmlformats.org/drawingml/2006/picture">
                      <pic:pic>
                        <pic:nvPicPr>
                          <pic:cNvPr descr="index_files/figure-docx/fig-supp-roc-1.png" id="66" name="Picture"/>
                          <pic:cNvPicPr>
                            <a:picLocks noChangeArrowheads="1" noChangeAspect="1"/>
                          </pic:cNvPicPr>
                        </pic:nvPicPr>
                        <pic:blipFill>
                          <a:blip r:embed="rId64"/>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2.</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67"/>
        </w:tc>
      </w:tr>
    </w:tbl>
    <w:p>
      <w:pPr>
        <w:pStyle w:val="BodyText"/>
      </w:pPr>
      <w:r>
        <w:rPr>
          <w:b/>
          <w:bCs/>
        </w:rPr>
        <w:t xml:space="preserve">Korelasi Komprehensif Seluruh Parameter Klinis dan Laboratorium</w:t>
      </w:r>
    </w:p>
    <w:p>
      <w:pPr>
        <w:pStyle w:val="BodyText"/>
      </w:pPr>
      <w:r>
        <w:t xml:space="preserve">Analisis korelasi linear yang komprehensif dilakukan untuk mengevaluasi hubungan antara seluruh variabel kontinu (termasuk usia, IMT, parameter laboratorium standar, dan indeks kardiometabolik) terhadap nilai logaritmik kalsifikasi koroner absolut (</w:t>
      </w:r>
      <m:oMath>
        <m:r>
          <m:rPr>
            <m:sty m:val="p"/>
          </m:rPr>
          <m:t>ln</m:t>
        </m:r>
        <m:r>
          <m:rPr>
            <m:sty m:val="p"/>
          </m:rPr>
          <m:t>[</m:t>
        </m:r>
        <m:r>
          <m:rPr>
            <m:nor/>
            <m:sty m:val="p"/>
          </m:rPr>
          <m:t>CAC</m:t>
        </m:r>
        <m:r>
          <m:rPr>
            <m:sty m:val="p"/>
          </m:rPr>
          <m:t>+</m:t>
        </m:r>
        <m:r>
          <m:t>1</m:t>
        </m:r>
        <m:r>
          <m:rPr>
            <m:sty m:val="p"/>
          </m:rPr>
          <m:t>]</m:t>
        </m:r>
      </m:oMath>
      <w:r>
        <w:t xml:space="preserve">). Hasil pemetaan ini menegaskan bahwa faktor degeneratif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405</m:t>
        </m:r>
        <m:r>
          <m:rPr>
            <m:sty m:val="p"/>
          </m:rPr>
          <m:t>,</m:t>
        </m:r>
        <m:r>
          <m:t>p</m:t>
        </m:r>
        <m:r>
          <m:rPr>
            <m:sty m:val="p"/>
          </m:rPr>
          <m:t>=</m:t>
        </m:r>
        <m:r>
          <m:t>0</m:t>
        </m:r>
        <m:r>
          <m:rPr>
            <m:sty m:val="p"/>
          </m:rPr>
          <m:t>,</m:t>
        </m:r>
        <m:r>
          <m:t>003</m:t>
        </m:r>
      </m:oMath>
      <w:r>
        <w:t xml:space="preserve">). Sebaliknya, seluruh parameter lipid sirkulasi beserta indeks turunannya (termasuk Rasio TG/HDL dan Non-HDL) secara konsisten menunjukkan korelasi linear yang bermakna namun dengan arah</w:t>
      </w:r>
      <w:r>
        <w:t xml:space="preserve"> </w:t>
      </w:r>
      <w:r>
        <w:rPr>
          <w:b/>
          <w:bCs/>
        </w:rPr>
        <w:t xml:space="preserve">negatif</w:t>
      </w:r>
      <w:r>
        <w:t xml:space="preserve">. Pola ini mendukung hipotesis bias indikasi terapi profilaksis agresif (statin) yang diberikan secara proporsional terhadap tingkat keparahan aterosklerosis klinis pasien (</w:t>
      </w:r>
      <w:hyperlink w:anchor="fig-supp-scatter">
        <w:r>
          <w:rPr>
            <w:rStyle w:val="Hyperlink"/>
          </w:rPr>
          <w:t xml:space="preserve">Gambar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supp-scatter"/>
          <w:p>
            <w:pPr>
              <w:pStyle w:val="Compact"/>
              <w:jc w:val="center"/>
            </w:pPr>
            <w:r>
              <w:drawing>
                <wp:inline>
                  <wp:extent cx="5029200" cy="8283388"/>
                  <wp:effectExtent b="0" l="0" r="0" t="0"/>
                  <wp:docPr descr="" title="" id="69" name="Picture"/>
                  <a:graphic>
                    <a:graphicData uri="http://schemas.openxmlformats.org/drawingml/2006/picture">
                      <pic:pic>
                        <pic:nvPicPr>
                          <pic:cNvPr descr="index_files/figure-docx/fig-supp-scatter-1.png" id="70" name="Picture"/>
                          <pic:cNvPicPr>
                            <a:picLocks noChangeArrowheads="1" noChangeAspect="1"/>
                          </pic:cNvPicPr>
                        </pic:nvPicPr>
                        <pic:blipFill>
                          <a:blip r:embed="rId68"/>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Korelasi Parameter Klinis, Laboratorium Dasar, dan Indeks Kardiometabolik dengan Kalsifikasi Koroner</w:t>
            </w:r>
          </w:p>
          <w:bookmarkEnd w:id="71"/>
        </w:tc>
      </w:tr>
    </w:tbl>
    <w:bookmarkEnd w:id="72"/>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id"/>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hyperlink" Id="rId41" Target="https://doi.org/10.1016/j.cmet.2011.07.015" TargetMode="External" /><Relationship Type="http://schemas.openxmlformats.org/officeDocument/2006/relationships/hyperlink" Id="rId58" Target="https://doi.org/10.1016/j.ijcard.2018.02.100" TargetMode="External" /><Relationship Type="http://schemas.openxmlformats.org/officeDocument/2006/relationships/hyperlink" Id="rId53" Target="https://doi.org/10.1016/j.jacc.2015.05.069" TargetMode="External" /><Relationship Type="http://schemas.openxmlformats.org/officeDocument/2006/relationships/hyperlink" Id="rId44" Target="https://doi.org/10.1016/j.jcct.2022.07.002" TargetMode="External" /><Relationship Type="http://schemas.openxmlformats.org/officeDocument/2006/relationships/hyperlink" Id="rId47" Target="https://doi.org/10.1056/NEJM198705283162204" TargetMode="External" /><Relationship Type="http://schemas.openxmlformats.org/officeDocument/2006/relationships/hyperlink" Id="rId50" Target="https://doi.org/10.1111/jcmm.15579" TargetMode="External" /><Relationship Type="http://schemas.openxmlformats.org/officeDocument/2006/relationships/hyperlink" Id="rId55" Target="https://doi.org/10.1161/ATVBAHA.108.173898"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cmet.2011.07.015" TargetMode="External" /><Relationship Type="http://schemas.openxmlformats.org/officeDocument/2006/relationships/hyperlink" Id="rId58" Target="https://doi.org/10.1016/j.ijcard.2018.02.100" TargetMode="External" /><Relationship Type="http://schemas.openxmlformats.org/officeDocument/2006/relationships/hyperlink" Id="rId53" Target="https://doi.org/10.1016/j.jacc.2015.05.069" TargetMode="External" /><Relationship Type="http://schemas.openxmlformats.org/officeDocument/2006/relationships/hyperlink" Id="rId44" Target="https://doi.org/10.1016/j.jcct.2022.07.002" TargetMode="External" /><Relationship Type="http://schemas.openxmlformats.org/officeDocument/2006/relationships/hyperlink" Id="rId47" Target="https://doi.org/10.1056/NEJM198705283162204" TargetMode="External" /><Relationship Type="http://schemas.openxmlformats.org/officeDocument/2006/relationships/hyperlink" Id="rId50" Target="https://doi.org/10.1111/jcmm.15579" TargetMode="External" /><Relationship Type="http://schemas.openxmlformats.org/officeDocument/2006/relationships/hyperlink" Id="rId55" Target="https://doi.org/10.1161/ATVBAHA.108.1738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Hubungan Faktor Risiko Klinis dan Indeks Kardiometabolik terhadap Kerentanan Plak dan Beban Kalsifikasi Koroner pada Pasien Diabetes Mellitus</dc:title>
  <dc:creator>Kadek Adit Wiryadana</dc:creator>
  <dc:language>id</dc:language>
  <cp:keywords>Cardiometabolic Index, Coronary Artery Calcification, Diabetes Mellitus, High-Risk Plaque, Statin Paradox</cp:keywords>
  <dcterms:created xsi:type="dcterms:W3CDTF">2026-09-10T16:34:59Z</dcterms:created>
  <dcterms:modified xsi:type="dcterms:W3CDTF">2026-09-10T16:34:59Z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Penelitian ini bertujuan mengevaluasi asosiasi faktor risiko konvensional dan indeks kardiometabolik turunan dengan kerentanan High-Risk Plaque (HRP) dan keparahan kalsifikasi arteri koroner (CAC) pada pasien DM.Metode: Studi potong lintang mengevaluasi pasien DM yang menjalani Computed Tomography Coronary Angiography (CTCA)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CAC.Hasil: 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 (paradoks statin).Simpulan: 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mandirinya.AbstractBackground: 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patients.Methods: 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scores.Results: 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paradox).Conclusion: 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11 September 2026, 00:34</vt:lpwstr>
  </property>
  <property fmtid="{D5CDD505-2E9C-101B-9397-08002B2CF9AE}" pid="11" name="date-format">
    <vt:lpwstr>DD MMMM YYYY, HH:mm</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