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4.png" ContentType="image/png"/>
  <Override PartName="/word/media/rId88.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 Tipe 2</w:t>
      </w:r>
    </w:p>
    <w:p>
      <w:pPr>
        <w:pStyle w:val="Author"/>
      </w:pPr>
      <w:r>
        <w:t xml:space="preserve">Kadek Adit Wiryadana</w:t>
      </w:r>
    </w:p>
    <w:p>
      <w:pPr>
        <w:pStyle w:val="Date"/>
      </w:pPr>
      <w:r>
        <w:t xml:space="preserve">11 September 2026, 12:29</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 (paradoks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rPr>
          <w:vertAlign w:val="superscript"/>
        </w:rPr>
        <w:t xml:space="preserve">1</w:t>
      </w:r>
      <w:r>
        <w:t xml:space="preserve"> </w:t>
      </w:r>
      <w:r>
        <w:t xml:space="preserve">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rPr>
          <w:vertAlign w:val="superscript"/>
        </w:rPr>
        <w:t xml:space="preserve">2,3</w:t>
      </w:r>
    </w:p>
    <w:p>
      <w:pPr>
        <w:pStyle w:val="BodyText"/>
      </w:pPr>
      <w:r>
        <w:t xml:space="preserve">Di sisi lain, proses aterosklerosis tidak hanya dikendalikan oleh fluktuasi faktor metabolik, melainkan juga sangat bergantung pada faktor degeneratif (usia) dan durasi paparan stresor terhadap dinding vaskular.</w:t>
      </w:r>
      <w:r>
        <w:rPr>
          <w:vertAlign w:val="superscript"/>
        </w:rPr>
        <w:t xml:space="preserve">4</w:t>
      </w:r>
      <w:r>
        <w:t xml:space="preserve"> </w:t>
      </w:r>
      <w:r>
        <w:t xml:space="preserve">Lebih lanjut, literatur menegaskan bahwa komplikasi fungsi ginjal (Penyakit Ginjal Kronis/PGK) seringkali bertindak sebagai katalisator yang mempercepat progresi kalsifikasi. Kehadiran PGK mampu meningkatkan kerentanan jaringan vaskular melampaui efek parameter lipid atau glikemik saja.</w:t>
      </w:r>
      <w:r>
        <w:rPr>
          <w:vertAlign w:val="superscript"/>
        </w:rPr>
        <w:t xml:space="preserve">5</w:t>
      </w:r>
    </w:p>
    <w:p>
      <w:pPr>
        <w:pStyle w:val="BodyText"/>
      </w:pPr>
      <w:r>
        <w:t xml:space="preserve">Seiring perkembangan alat diagnostik</w:t>
      </w:r>
      <w:r>
        <w:t xml:space="preserve"> </w:t>
      </w:r>
      <w:r>
        <w:t xml:space="preserve">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 sekaligus mengkuantifikasi beban kalsifikasi arteri koroner dengan</w:t>
      </w:r>
      <w:r>
        <w:t xml:space="preserve"> </w:t>
      </w:r>
      <w:r>
        <w:rPr>
          <w:i/>
          <w:iCs/>
        </w:rPr>
        <w:t xml:space="preserve">coronary artery calcification score</w:t>
      </w:r>
      <w:r>
        <w:t xml:space="preserve"> </w:t>
      </w:r>
      <w:r>
        <w:t xml:space="preserve">(</w:t>
      </w:r>
      <w:r>
        <w:rPr>
          <w:i/>
          <w:iCs/>
        </w:rPr>
        <w:t xml:space="preserve">CAC Score</w:t>
      </w:r>
      <w:r>
        <w:t xml:space="preserve">).</w:t>
      </w:r>
      <w:r>
        <w:rPr>
          <w:vertAlign w:val="superscript"/>
        </w:rPr>
        <w:t xml:space="preserve">6,7</w:t>
      </w:r>
      <w:r>
        <w:t xml:space="preserve"> </w:t>
      </w:r>
      <w:r>
        <w:t xml:space="preserve">Kendati berbagai penelitian indeks kardiometabolik turunan terus bermunculan, keunggulan prediktif aktualnya bila disandingkan langsung (</w:t>
      </w:r>
      <w:r>
        <w:rPr>
          <w:i/>
          <w:iCs/>
        </w:rPr>
        <w:t xml:space="preserve">head-to-head</w:t>
      </w:r>
      <w:r>
        <w:t xml:space="preserve">) dengan faktor risiko tradisional pada konteks praktik klinik sehari-hari masih belum konklusif. Oleh karena itu, penelitian ini bertujuan untuk mengeksplorasi hubungan faktor risiko tradisional dan indeks kardiometabolik turunan dengan adanya HRP dan beban kalsifikasi koroner pada kohort DM untuk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w:t>
      </w:r>
      <w:r>
        <w:rPr>
          <w:vertAlign w:val="superscript"/>
        </w:rPr>
        <w:t xml:space="preserve">8</w:t>
      </w:r>
      <w:r>
        <w:t xml:space="preserve"> </w:t>
      </w:r>
      <w:r>
        <w:t xml:space="preserve">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w:t>
      </w:r>
      <w:r>
        <w:rPr>
          <w:vertAlign w:val="superscript"/>
        </w:rPr>
        <w:t xml:space="preserve">9</w:t>
      </w:r>
      <w:r>
        <w:t xml:space="preserve"> </w:t>
      </w:r>
      <w:r>
        <w:t xml:space="preserve">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rPr>
          <w:vertAlign w:val="superscript"/>
        </w:rPr>
        <w:t xml:space="preserve">10</w:t>
      </w:r>
    </w:p>
    <w:p>
      <w:pPr>
        <w:pStyle w:val="BodyText"/>
      </w:pPr>
      <w:r>
        <w:t xml:space="preserve">Pada parameter laboratorium dikategorikan dikotom, target glikemik (HbA1c) dikelompokkan menjadi terkontrol (&lt; 7,0%) dan tidak terkontrol (</w:t>
      </w:r>
      <m:oMath>
        <m:r>
          <m:rPr>
            <m:sty m:val="p"/>
          </m:rPr>
          <m:t>≥</m:t>
        </m:r>
      </m:oMath>
      <w:r>
        <w:t xml:space="preserve"> </w:t>
      </w:r>
      <w:r>
        <w:t xml:space="preserve">7,0%).</w:t>
      </w:r>
      <w:r>
        <w:rPr>
          <w:vertAlign w:val="superscript"/>
        </w:rPr>
        <w:t xml:space="preserve">11</w:t>
      </w:r>
      <w:r>
        <w:t xml:space="preserve"> </w:t>
      </w:r>
      <w:r>
        <w:t xml:space="preserve">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w:t>
      </w:r>
      <w:r>
        <w:rPr>
          <w:vertAlign w:val="superscript"/>
        </w:rPr>
        <w:t xml:space="preserve">12</w:t>
      </w:r>
      <w:r>
        <w:t xml:space="preserve"> </w:t>
      </w:r>
      <w:r>
        <w:t xml:space="preserve">Hiperurisemia didefinisikan sebagai kadar asam urat serum &gt; 7,0 mg/dL pada laki-laki dan &gt; 6,0 mg/dL pada perempuan,</w:t>
      </w:r>
      <w:r>
        <w:rPr>
          <w:vertAlign w:val="superscript"/>
        </w:rPr>
        <w:t xml:space="preserve">13</w:t>
      </w:r>
      <w:r>
        <w:t xml:space="preserve"> </w:t>
      </w:r>
      <w:r>
        <w:t xml:space="preserve">sedangkan anemia jika hemoglobin &lt; 13,0 g/dL (laki-laki) dan &lt; 12,0 g/dL (perempuan).</w:t>
      </w:r>
      <w:r>
        <w:rPr>
          <w:vertAlign w:val="superscript"/>
        </w:rPr>
        <w:t xml:space="preserve">14</w:t>
      </w:r>
    </w:p>
    <w:p>
      <w:pPr>
        <w:pStyle w:val="BodyText"/>
      </w:pPr>
      <w:r>
        <w:t xml:space="preserve">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w:t>
      </w:r>
      <w:r>
        <w:rPr>
          <w:vertAlign w:val="superscript"/>
        </w:rPr>
        <w:t xml:space="preserve">2</w:t>
      </w:r>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w:t>
      </w:r>
      <w:r>
        <w:rPr>
          <w:vertAlign w:val="superscript"/>
        </w:rPr>
        <w:t xml:space="preserve">15</w:t>
      </w:r>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w:t>
      </w:r>
      <w:r>
        <w:rPr>
          <w:vertAlign w:val="superscript"/>
        </w:rPr>
        <w:t xml:space="preserve">12</w:t>
      </w:r>
      <w:r>
        <w:t xml:space="preserve"> </w:t>
      </w:r>
      <w:r>
        <w:t xml:space="preserve">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w:t>
      </w:r>
      <w:r>
        <w:rPr>
          <w:vertAlign w:val="superscript"/>
        </w:rPr>
        <w:t xml:space="preserve">16</w:t>
      </w:r>
      <w:r>
        <w:t xml:space="preserve"> </w:t>
      </w:r>
      <w:r>
        <w:t xml:space="preserve">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rPr>
          <w:vertAlign w:val="superscript"/>
        </w:rPr>
        <w:t xml:space="preserve">12</w:t>
      </w:r>
      <w:r>
        <w:t xml:space="preserve">, dan Rasio TG/HDL ditetapkan pada</w:t>
      </w:r>
      <w:r>
        <w:t xml:space="preserve"> </w:t>
      </w:r>
      <m:oMath>
        <m:r>
          <m:rPr>
            <m:sty m:val="p"/>
          </m:rPr>
          <m:t>≥</m:t>
        </m:r>
      </m:oMath>
      <w:r>
        <w:t xml:space="preserve"> </w:t>
      </w:r>
      <w:r>
        <w:t xml:space="preserve">3,0 sebagai penanda resistensi insulin</w:t>
      </w:r>
      <w:r>
        <w:rPr>
          <w:vertAlign w:val="superscript"/>
        </w:rPr>
        <w:t xml:space="preserve">15</w:t>
      </w:r>
      <w:r>
        <w:t xml:space="preserve">. Mengingat ketiadaan konsensus baku untuk Indeks TyHbA1c dan Rasio SUA/HDL, kedua variabel novel ini dikotomisasi berdasarkan nilai median kohort penelitian (rendah dan tinggi) untuk keperluan komparasi analitik.Status fungsi ginjal dihitung menggunakan kriteria CKD-EPI, di mana PGK didefinisikan sebagai Stadium</w:t>
      </w:r>
      <w:r>
        <w:t xml:space="preserve"> </w:t>
      </w:r>
      <m:oMath>
        <m:r>
          <m:rPr>
            <m:sty m:val="p"/>
          </m:rPr>
          <m:t>≥</m:t>
        </m:r>
      </m:oMath>
      <w:r>
        <w:t xml:space="preserve"> </w:t>
      </w:r>
      <w:r>
        <w:t xml:space="preserve">3 (eGFR &lt; 60).</w:t>
      </w:r>
      <w:r>
        <w:rPr>
          <w:vertAlign w:val="superscript"/>
        </w:rPr>
        <w:t xml:space="preserve">17</w:t>
      </w:r>
      <w:r>
        <w:t xml:space="preserve"> </w:t>
      </w:r>
      <w:r>
        <w:t xml:space="preserve">Luaran dependen utama pada studi ini meliputi:</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w:t>
      </w:r>
      <w:r>
        <w:rPr>
          <w:vertAlign w:val="superscript"/>
        </w:rPr>
        <w:t xml:space="preserve">6</w:t>
      </w:r>
      <w:r>
        <w:t xml:space="preserve"> </w:t>
      </w:r>
      <w:r>
        <w:t xml:space="preserve">Luaran kedua adalah</w:t>
      </w:r>
      <w:r>
        <w:t xml:space="preserve"> </w:t>
      </w:r>
      <w:r>
        <w:rPr>
          <w:b/>
          <w:bCs/>
        </w:rPr>
        <w:t xml:space="preserve">Beban Kalsifikasi Koroner (Skor CAC)</w:t>
      </w:r>
      <w:r>
        <w:t xml:space="preserve"> </w:t>
      </w:r>
      <w:r>
        <w:t xml:space="preserve">Dikuantifikasi menggunakan Skor Agatston absolut sesuai laporan interpretasi dokter spesialis radiologi.</w:t>
      </w:r>
      <w:r>
        <w:rPr>
          <w:vertAlign w:val="superscript"/>
        </w:rPr>
        <w:t xml:space="preserve">7,18</w:t>
      </w:r>
    </w:p>
    <w:p>
      <w:pPr>
        <w:pStyle w:val="BodyText"/>
      </w:pPr>
      <w:r>
        <w:rPr>
          <w:b/>
          <w:bCs/>
        </w:rPr>
        <w:t xml:space="preserve">Analisis Statistik</w:t>
      </w:r>
    </w:p>
    <w:p>
      <w:pPr>
        <w:pStyle w:val="BodyText"/>
      </w:pPr>
      <w:r>
        <w:t xml:space="preserve">Analisis dilakukan menggunakan perangkat lunak R.</w:t>
      </w:r>
      <w:r>
        <w:rPr>
          <w:vertAlign w:val="superscript"/>
        </w:rPr>
        <w:t xml:space="preserve">19</w:t>
      </w:r>
      <w:r>
        <w:t xml:space="preserve"> </w:t>
      </w:r>
      <w:r>
        <w:t xml:space="preserve">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pasien terbagi merata antara pengguna obat oral (32,7%) dan insulin (32,7%), sedangkan sisanya (34,6%) belum atau tidak menerima terapi medikamentosa (terdiri atas 3,8% pasien DM lama yang mengandalkan modifikasi diet dan 30,8% pasien baru terdiagnosis).</w:t>
      </w:r>
    </w:p>
    <w:p>
      <w:pPr>
        <w:pStyle w:val="BodyText"/>
      </w:pPr>
      <w:r>
        <w:t xml:space="preserve">Berdasarkan pencitraan CTCA, proporsi penemuan</w:t>
      </w:r>
      <w:r>
        <w:t xml:space="preserve"> </w:t>
      </w:r>
      <w:r>
        <w:rPr>
          <w:i/>
          <w:iCs/>
        </w:rPr>
        <w:t xml:space="preserve">High-Risk Plaque</w:t>
      </w:r>
      <w:r>
        <w:t xml:space="preserve"> </w:t>
      </w:r>
      <w:r>
        <w:t xml:space="preserve">(HRP) yakni sebesar 71,2%. Seluruh karakteristik dasar, parameter laboratorium, dan profil pengobatan dievaluasi sekaligus terhadap dua luaran utama yakni status HRP (</w:t>
      </w:r>
      <w:hyperlink w:anchor="tbl-baseline">
        <w:r>
          <w:rPr>
            <w:rStyle w:val="Hyperlink"/>
          </w:rPr>
          <w:t xml:space="preserve">Tabel 1</w:t>
        </w:r>
      </w:hyperlink>
      <w:r>
        <w:t xml:space="preserve">) dan skor kalsifikasi absolut (</w:t>
      </w:r>
      <w:hyperlink w:anchor="tbl-cac">
        <w:r>
          <w:rPr>
            <w:rStyle w:val="Hyperlink"/>
          </w:rPr>
          <w:t xml:space="preserve">Tabel 2</w:t>
        </w:r>
      </w:hyperlink>
      <w:r>
        <w:t xml:space="preserve">). 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bermakna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Melihat tingginya persentase pasien yang telah menerima terapi medis spesifik, evaluasi komparatif tambahan terkait penggunaan statin menampilkan tren median skor CAC yang lebih tinggi dibandingkan pasien tanpa statin (302,3 vs 209,8 Agatston). Begitu pula pada durasi penyakit, pasien dengan DM yang sudah lama menampilkan beban kalsifikasi yang jauh lebih tinggi dibandingkan pasien yang baru terdiagnosis. Di sisi lain, proporsi kerentanan plak (HRP) tertinggi secara persentase justru ditemukan pada kelompok yang belum menerima intervensi obat anti-diabetik (hanya mengandalkan diet).</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Evaluasi secara spesifik hubungan indeks kardiometabolik turunan (sebagai penanda resistensi insulin dan disfungsi endotel) dengan arteriosklerosis dilakukan analisis bivariat (</w:t>
      </w:r>
      <w:r>
        <w:rPr>
          <w:b/>
          <w:bCs/>
        </w:rPr>
        <w:t xml:space="preserve">Tabel 3</w:t>
      </w:r>
      <w:r>
        <w:t xml:space="preserve">).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memiliki median kalsifikasi yang lebih tinggi (398 Agatston) dibandingkan kelompok Non-HDL tinggi (70 Agatston). Sementara itu, indeks lainnya (Indeks TyHbA1c, Rasio TG/HDL, dan Rasio SUA/HDL) secara konsisten tidak memiliki hubungan yang bermakna secara statistik terhadap keparahan kalsifikasi.terkait status kerentanan plak (HRP), tidak ada indeks kardiometabolik yang menunjukkan diskriminasi bermakna (</w:t>
      </w:r>
      <m:oMath>
        <m:r>
          <m:t>p</m:t>
        </m:r>
        <m:r>
          <m:rPr>
            <m:sty m:val="p"/>
          </m:rPr>
          <m:t>&gt;</m:t>
        </m:r>
        <m:r>
          <m:t>0</m:t>
        </m:r>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Analisis Indeks Non-HDL dan Rasio TG/HDL</w:t>
      </w:r>
    </w:p>
    <w:p>
      <w:pPr>
        <w:pStyle w:val="BodyText"/>
      </w:pPr>
      <w:r>
        <w:t xml:space="preserve">Analisis korelasi terbalik pada kolesterol Non-HDL dilanjutkan dengan analisis komparasi silang (cross-tabulation) dilakukan terhadap seluruh profil klinis pasien (</w:t>
      </w:r>
      <w:hyperlink w:anchor="tbl-nonhdl">
        <w:r>
          <w:rPr>
            <w:rStyle w:val="Hyperlink"/>
          </w:rPr>
          <w:t xml:space="preserve">Tabel 4</w:t>
        </w:r>
      </w:hyperlink>
      <w:r>
        <w:t xml:space="preserve">).</w:t>
      </w:r>
      <w:r>
        <w:t xml:space="preserve"> </w:t>
      </w:r>
      <w:r>
        <w:t xml:space="preserve">Hasil analisis menujukan tidak adanya hubungan terkait penggunaan statin (</w:t>
      </w:r>
      <m:oMath>
        <m:r>
          <m:t>p</m:t>
        </m:r>
        <m:r>
          <m:rPr>
            <m:sty m:val="p"/>
          </m:rPr>
          <m:t>=</m:t>
        </m:r>
        <m:r>
          <m:t>0</m:t>
        </m:r>
        <m:r>
          <m:rPr>
            <m:sty m:val="p"/>
          </m:rPr>
          <m:t>,</m:t>
        </m:r>
        <m:r>
          <m:t>2</m:t>
        </m:r>
      </m:oMath>
      <w:r>
        <w:t xml:space="preserve">), melainkan angka Non-HDL secara signifikan berhubungan dengan durasi terdiagnosis DM (</w:t>
      </w:r>
      <m:oMath>
        <m:r>
          <m:t>p</m:t>
        </m:r>
        <m:r>
          <m:rPr>
            <m:sty m:val="p"/>
          </m:rPr>
          <m:t>=</m:t>
        </m:r>
        <m:r>
          <m:t>0</m:t>
        </m:r>
        <m:r>
          <m:rPr>
            <m:sty m:val="p"/>
          </m:rPr>
          <m:t>,</m:t>
        </m:r>
        <m:r>
          <m:t>029</m:t>
        </m:r>
      </m:oMath>
      <w:r>
        <w:t xml:space="preserve">). Kelompok pasien dengan Kolesterol Non-HDL yang optimal (&lt; 130 mg/dL) sebagian besar (82%) adalah pasien dengan riwayat DM yang sudah lama.</w:t>
      </w:r>
    </w:p>
    <w:p>
      <w:pPr>
        <w:pStyle w:val="BodyText"/>
      </w:pPr>
      <w:r>
        <w:t xml:space="preserve">Analisis terpisah pada Rasio TG/HDL (</w:t>
      </w:r>
      <w:hyperlink w:anchor="tbl-tghdl">
        <w:r>
          <w:rPr>
            <w:rStyle w:val="Hyperlink"/>
          </w:rPr>
          <w:t xml:space="preserve">Tabel 5</w:t>
        </w:r>
      </w:hyperlink>
      <w:r>
        <w:t xml:space="preserve">) menunjukan hubungan dengan kontrol glikemik. Kelompok pasien dengan Rasio TG/HDL yang normal (&lt; 3,0) secara signifikan memiliki proporsi</w:t>
      </w:r>
      <w:r>
        <w:t xml:space="preserve"> </w:t>
      </w:r>
      <w:r>
        <w:rPr>
          <w:b/>
          <w:bCs/>
        </w:rPr>
        <w:t xml:space="preserve">kontrol glikemik (HbA1c)</w:t>
      </w:r>
      <w:r>
        <w:t xml:space="preserve"> </w:t>
      </w:r>
      <w:r>
        <w:t xml:space="preserve">yang lebih baik (68% terkontrol,</w:t>
      </w:r>
      <w:r>
        <w:t xml:space="preserve"> </w:t>
      </w:r>
      <m:oMath>
        <m:r>
          <m:t>p</m:t>
        </m:r>
        <m:r>
          <m:rPr>
            <m:sty m:val="p"/>
          </m:rPr>
          <m:t>=</m:t>
        </m:r>
        <m:r>
          <m:t>0</m:t>
        </m:r>
        <m:r>
          <m:rPr>
            <m:sty m:val="p"/>
          </m:rPr>
          <m:t>,</m:t>
        </m:r>
        <m:r>
          <m:t>044</m:t>
        </m:r>
      </m:oMath>
      <w:r>
        <w:t xml:space="preserve">) dibandingkan kelompok dengan rasio tinggi. Hal ini mendukung Rasio TG/HDL sebagai penanda surrogate resistensi insulin yang representatif, meskipun indeks tersebut gagal mengungguli faktor degeneratif (usia) dalam memprediksi kerentanan plak dan kalsifikasi koroner.</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2</w:t>
        </w:r>
      </w:hyperlink>
      <w:r>
        <w:t xml:space="preserve">).</w:t>
      </w:r>
    </w:p>
    <w:p>
      <w:pPr>
        <w:pStyle w:val="BodyText"/>
      </w:pPr>
      <w:r>
        <w:t xml:space="preserve">Lebih lanjut, analisis korelasi terhadap skor CAC logaritmik (</w:t>
      </w:r>
      <w:hyperlink w:anchor="fig-supp-scatter">
        <w:r>
          <w:rPr>
            <w:rStyle w:val="Hyperlink"/>
          </w:rPr>
          <w:t xml:space="preserve">Gambar 3</w:t>
        </w:r>
      </w:hyperlink>
      <w:r>
        <w:t xml:space="preserve">) justru menampilkan pola</w:t>
      </w:r>
      <w:r>
        <w:t xml:space="preserve"> </w:t>
      </w:r>
      <w:r>
        <w:rPr>
          <w:b/>
          <w:bCs/>
        </w:rPr>
        <w:t xml:space="preserve">korelasi negatif</w:t>
      </w:r>
      <w:r>
        <w:t xml:space="preserve"> </w:t>
      </w:r>
      <w:r>
        <w:t xml:space="preserve">yang signifikan secara statistik pada parameter lipid dan indeks turunannya, seperti Trigliserida (</w:t>
      </w:r>
      <m:oMath>
        <m:r>
          <m:t>R</m:t>
        </m:r>
        <m:r>
          <m:rPr>
            <m:sty m:val="p"/>
          </m:rPr>
          <m:t>=</m:t>
        </m:r>
        <m:r>
          <m:rPr>
            <m:sty m:val="p"/>
          </m:rPr>
          <m:t>−</m:t>
        </m:r>
        <m:r>
          <m:t>0</m:t>
        </m:r>
        <m:r>
          <m:rPr>
            <m:sty m:val="p"/>
          </m:rPr>
          <m:t>,</m:t>
        </m:r>
        <m:r>
          <m:t>401</m:t>
        </m:r>
        <m:r>
          <m:rPr>
            <m:sty m:val="p"/>
          </m:rPr>
          <m:t>,</m:t>
        </m:r>
        <m:r>
          <m:t>p</m:t>
        </m:r>
        <m:r>
          <m:rPr>
            <m:sty m:val="p"/>
          </m:rPr>
          <m:t>=</m:t>
        </m:r>
        <m:r>
          <m:t>0</m:t>
        </m:r>
        <m:r>
          <m:rPr>
            <m:sty m:val="p"/>
          </m:rPr>
          <m:t>,</m:t>
        </m:r>
        <m:r>
          <m:t>003</m:t>
        </m:r>
      </m:oMath>
      <w:r>
        <w:t xml:space="preserve">), Kolesterol Total (</w:t>
      </w:r>
      <m:oMath>
        <m:r>
          <m:t>R</m:t>
        </m:r>
        <m:r>
          <m:rPr>
            <m:sty m:val="p"/>
          </m:rPr>
          <m:t>=</m:t>
        </m:r>
        <m:r>
          <m:rPr>
            <m:sty m:val="p"/>
          </m:rPr>
          <m:t>−</m:t>
        </m:r>
        <m:r>
          <m:t>0</m:t>
        </m:r>
        <m:r>
          <m:rPr>
            <m:sty m:val="p"/>
          </m:rPr>
          <m:t>,</m:t>
        </m:r>
        <m:r>
          <m:t>407</m:t>
        </m:r>
        <m:r>
          <m:rPr>
            <m:sty m:val="p"/>
          </m:rPr>
          <m:t>,</m:t>
        </m:r>
        <m:r>
          <m:t>p</m:t>
        </m:r>
        <m:r>
          <m:rPr>
            <m:sty m:val="p"/>
          </m:rPr>
          <m:t>=</m:t>
        </m:r>
        <m:r>
          <m:t>0</m:t>
        </m:r>
        <m:r>
          <m:rPr>
            <m:sty m:val="p"/>
          </m:rPr>
          <m:t>,</m:t>
        </m:r>
        <m:r>
          <m:t>003</m:t>
        </m:r>
      </m:oMath>
      <w:r>
        <w:t xml:space="preserve">), Rasio TG/HDL (</w:t>
      </w:r>
      <m:oMath>
        <m:r>
          <m:t>R</m:t>
        </m:r>
        <m:r>
          <m:rPr>
            <m:sty m:val="p"/>
          </m:rPr>
          <m:t>=</m:t>
        </m:r>
        <m:r>
          <m:rPr>
            <m:sty m:val="p"/>
          </m:rPr>
          <m:t>−</m:t>
        </m:r>
        <m:r>
          <m:t>0</m:t>
        </m:r>
        <m:r>
          <m:rPr>
            <m:sty m:val="p"/>
          </m:rPr>
          <m:t>,</m:t>
        </m:r>
        <m:r>
          <m:t>352</m:t>
        </m:r>
        <m:r>
          <m:rPr>
            <m:sty m:val="p"/>
          </m:rPr>
          <m:t>,</m:t>
        </m:r>
        <m:r>
          <m:t>p</m:t>
        </m:r>
        <m:r>
          <m:rPr>
            <m:sty m:val="p"/>
          </m:rPr>
          <m:t>=</m:t>
        </m:r>
        <m:r>
          <m:t>0</m:t>
        </m:r>
        <m:r>
          <m:rPr>
            <m:sty m:val="p"/>
          </m:rPr>
          <m:t>,</m:t>
        </m:r>
        <m:r>
          <m:t>011</m:t>
        </m:r>
      </m:oMath>
      <w:r>
        <w:t xml:space="preserve">), dan Non-HDL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Hal ini secara kuantitatif mendukung hipotesis</w:t>
      </w:r>
      <w:r>
        <w:t xml:space="preserve"> </w:t>
      </w:r>
      <w:r>
        <w:rPr>
          <w:i/>
          <w:iCs/>
        </w:rPr>
        <w:t xml:space="preserve">metabolic memory</w:t>
      </w:r>
      <w:r>
        <w:t xml:space="preserve"> </w:t>
      </w:r>
      <w:r>
        <w:t xml:space="preserve">yakni kalsifikasi yang semakin berat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mengevaluasi hubungan kolesterol Non-HDL dan Rasio TG/HDL terhadap kalsifikasi koroner, analisis regresi linear multivariat sederhana dilakukan. Model regresi linier multivariat disusun untuk memprediksi kalsifikasi (</w:t>
      </w:r>
      <m:oMath>
        <m:r>
          <m:rPr>
            <m:sty m:val="p"/>
          </m:rPr>
          <m:t>ln</m:t>
        </m:r>
        <m:r>
          <m:rPr>
            <m:sty m:val="p"/>
          </m:rPr>
          <m:t>[</m:t>
        </m:r>
        <m:r>
          <m:rPr>
            <m:nor/>
            <m:sty m:val="p"/>
          </m:rPr>
          <m:t>CAC</m:t>
        </m:r>
        <m:r>
          <m:rPr>
            <m:sty m:val="p"/>
          </m:rPr>
          <m:t>+</m:t>
        </m:r>
        <m:r>
          <m:t>1</m:t>
        </m:r>
        <m:r>
          <m:rPr>
            <m:sty m:val="p"/>
          </m:rPr>
          <m:t>]</m:t>
        </m:r>
      </m:oMath>
      <w:r>
        <w:t xml:space="preserve">) menggunakan indeks Kolesterol Non-HDL dan Rasio TG/HDL-C dengan mengontrol faktor usia (</w:t>
      </w:r>
      <w:hyperlink w:anchor="tbl-supp-regresi">
        <w:r>
          <w:rPr>
            <w:rStyle w:val="Hyperlink"/>
          </w:rPr>
          <w:t xml:space="preserve">Tabel 6</w:t>
        </w:r>
      </w:hyperlink>
      <w:r>
        <w:t xml:space="preserve">).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setelah dikontrol usia. Hal ini membuktikan secara objektif bahwa Usia bukanlah satu-satunya confounder. Persistensi korelasi negatif yang independen terhadap usia ini mengindikasikan kuat adanya bias perancu lain di luar faktor usia.</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rPr>
          <w:b/>
          <w:bCs/>
        </w:rPr>
        <w:t xml:space="preserve">Stratifikasi Berdasarkan Penggunaan Statin</w:t>
      </w:r>
    </w:p>
    <w:p>
      <w:pPr>
        <w:pStyle w:val="BodyText"/>
      </w:pPr>
      <w:r>
        <w:t xml:space="preserve">Analisis stratifikasi eksploratif dilakukan untuk membandingkan korelasi indeks kardiometabolik terhadap kalsifikasi secara terpisah antara kelompok dengan terapi statin (</w:t>
      </w:r>
      <m:oMath>
        <m:r>
          <m:t>n</m:t>
        </m:r>
        <m:r>
          <m:rPr>
            <m:sty m:val="p"/>
          </m:rPr>
          <m:t>=</m:t>
        </m:r>
        <m:r>
          <m:t>37</m:t>
        </m:r>
      </m:oMath>
      <w:r>
        <w:t xml:space="preserve">) dan tanpa statin (</w:t>
      </w:r>
      <m:oMath>
        <m:r>
          <m:t>n</m:t>
        </m:r>
        <m:r>
          <m:rPr>
            <m:sty m:val="p"/>
          </m:rPr>
          <m:t>=</m:t>
        </m:r>
        <m:r>
          <m:t>15</m:t>
        </m:r>
      </m:oMath>
      <w:r>
        <w:t xml:space="preserve">). Analisis korelasi (</w:t>
      </w:r>
      <w:hyperlink w:anchor="fig-supp-statin">
        <w:r>
          <w:rPr>
            <w:rStyle w:val="Hyperlink"/>
          </w:rPr>
          <w:t xml:space="preserve">Gambar 1</w:t>
        </w:r>
      </w:hyperlink>
      <w:r>
        <w:t xml:space="preserve">) parameter Rasio TG/HDL menunjukkan koefisien korelasi negatif yang sedikit lebih besar pada kelompok tanpa statin (</w:t>
      </w:r>
      <m:oMath>
        <m:r>
          <m:t>R</m:t>
        </m:r>
        <m:r>
          <m:rPr>
            <m:sty m:val="p"/>
          </m:rPr>
          <m:t>=</m:t>
        </m:r>
        <m:r>
          <m:rPr>
            <m:sty m:val="p"/>
          </m:rPr>
          <m:t>−</m:t>
        </m:r>
        <m:r>
          <m:t>0</m:t>
        </m:r>
        <m:r>
          <m:rPr>
            <m:sty m:val="p"/>
          </m:rPr>
          <m:t>,</m:t>
        </m:r>
        <m:r>
          <m:t>4</m:t>
        </m:r>
      </m:oMath>
      <w:r>
        <w:t xml:space="preserve">) dibandingkan pengguna statin (</w:t>
      </w:r>
      <m:oMath>
        <m:r>
          <m:t>R</m:t>
        </m:r>
        <m:r>
          <m:rPr>
            <m:sty m:val="p"/>
          </m:rPr>
          <m:t>=</m:t>
        </m:r>
        <m:r>
          <m:rPr>
            <m:sty m:val="p"/>
          </m:rPr>
          <m:t>−</m:t>
        </m:r>
        <m:r>
          <m:t>0</m:t>
        </m:r>
        <m:r>
          <m:rPr>
            <m:sty m:val="p"/>
          </m:rPr>
          <m:t>,</m:t>
        </m:r>
        <m:r>
          <m:t>346</m:t>
        </m:r>
      </m:oMath>
      <w:r>
        <w:t xml:space="preserve">). Kehilangan signifikansi statistik pada kelompok tanpa statin (</w:t>
      </w:r>
      <m:oMath>
        <m:r>
          <m:t>p</m:t>
        </m:r>
        <m:r>
          <m:rPr>
            <m:sty m:val="p"/>
          </m:rPr>
          <m:t>=</m:t>
        </m:r>
        <m:r>
          <m:t>0</m:t>
        </m:r>
        <m:r>
          <m:rPr>
            <m:sty m:val="p"/>
          </m:rPr>
          <m:t>,</m:t>
        </m:r>
        <m:r>
          <m:t>14</m:t>
        </m:r>
      </m:oMath>
      <w:r>
        <w:t xml:space="preserve">) lebih mencerminkan keterbatasan kekuatan sampel (</w:t>
      </w:r>
      <w:r>
        <w:rPr>
          <w:i/>
          <w:iCs/>
        </w:rPr>
        <w:t xml:space="preserve">power</w:t>
      </w:r>
      <w:r>
        <w:t xml:space="preserve">) akibat ukuran kohort yang kecil (</w:t>
      </w:r>
      <m:oMath>
        <m:r>
          <m:t>n</m:t>
        </m:r>
        <m:r>
          <m:rPr>
            <m:sty m:val="p"/>
          </m:rPr>
          <m:t>=</m:t>
        </m:r>
        <m:r>
          <m:t>15</m:t>
        </m:r>
      </m:oMath>
      <w:r>
        <w:t xml:space="preserve">) daripada hilangnya arah asosiasi.Pada parameter kolesterol Non-HDL, di mana korelasi negatif yang bermakna tetap bertahan pada kelompok tanpa statin (</w:t>
      </w:r>
      <m:oMath>
        <m:r>
          <m:t>R</m:t>
        </m:r>
        <m:r>
          <m:rPr>
            <m:sty m:val="p"/>
          </m:rPr>
          <m:t>=</m:t>
        </m:r>
        <m:r>
          <m:rPr>
            <m:sty m:val="p"/>
          </m:rPr>
          <m:t>−</m:t>
        </m:r>
        <m:r>
          <m:t>0</m:t>
        </m:r>
        <m:r>
          <m:rPr>
            <m:sty m:val="p"/>
          </m:rPr>
          <m:t>,</m:t>
        </m:r>
        <m:r>
          <m:t>611</m:t>
        </m:r>
      </m:oMath>
      <w:r>
        <w:t xml:space="preserve">,</w:t>
      </w:r>
      <w:r>
        <w:t xml:space="preserve"> </w:t>
      </w:r>
      <m:oMath>
        <m:r>
          <m:t>p</m:t>
        </m:r>
        <m:r>
          <m:rPr>
            <m:sty m:val="p"/>
          </m:rPr>
          <m:t>=</m:t>
        </m:r>
        <m:r>
          <m:t>0</m:t>
        </m:r>
        <m:r>
          <m:rPr>
            <m:sty m:val="p"/>
          </m:rPr>
          <m:t>,</m:t>
        </m:r>
        <m:r>
          <m:t>015</m:t>
        </m:r>
      </m:oMath>
      <w:r>
        <w:t xml:space="preserve">). Meskipun temuan pada ukuran sampel yang sangat terbatas ini (</w:t>
      </w:r>
      <m:oMath>
        <m:r>
          <m:t>n</m:t>
        </m:r>
        <m:r>
          <m:rPr>
            <m:sty m:val="p"/>
          </m:rPr>
          <m:t>=</m:t>
        </m:r>
        <m:r>
          <m:t>15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37"/>
        </w:tc>
      </w:tr>
    </w:tbl>
    <w:bookmarkEnd w:id="38"/>
    <w:bookmarkStart w:id="39" w:name="pembahasan"/>
    <w:p>
      <w:pPr>
        <w:pStyle w:val="Heading2"/>
      </w:pPr>
      <w:r>
        <w:t xml:space="preserve">Pembahasan</w:t>
      </w:r>
    </w:p>
    <w:p>
      <w:pPr>
        <w:pStyle w:val="FirstParagraph"/>
      </w:pPr>
      <w:r>
        <w:t xml:space="preserve">Penelitian ini mengevaluasi faktor klinis serta laboratorium terhadap derjat aterosklerosis koroner. Faktor usia merupakan prediktor independen yang mendominasi kerentanan plak maupun kalsifikasi koroner,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Usia sebagai satu-satunya determinan klinis yang mencapai signifikansi statistik mendukung karakter natural aterosklerosis sebagai kondisi patologis yang bergantung pada waktu (</w:t>
      </w:r>
      <w:r>
        <w:rPr>
          <w:i/>
          <w:iCs/>
        </w:rPr>
        <w:t xml:space="preserve">time-dependent</w:t>
      </w:r>
      <w:r>
        <w:t xml:space="preserve">). Semakin bertambah usia, semakin lama durasi sel endotel vaskular mengalami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rPr>
          <w:vertAlign w:val="superscript"/>
        </w:rPr>
        <w:t xml:space="preserve">20</w:t>
      </w:r>
      <w:r>
        <w:t xml:space="preserve"> </w:t>
      </w:r>
      <w:r>
        <w:t xml:space="preserve">Degradasi matriks inilah yang mendasari kompensasi pembesaran lumen atau Fenomena Glagov (</w:t>
      </w:r>
      <w:r>
        <w:rPr>
          <w:i/>
          <w:iCs/>
        </w:rPr>
        <w:t xml:space="preserve">positive remodeling</w:t>
      </w:r>
      <w:r>
        <w:t xml:space="preserve">), salah satu fitur patognomonik dari plak berisiko tinggi (HRP).</w:t>
      </w:r>
      <w:r>
        <w:rPr>
          <w:vertAlign w:val="superscript"/>
        </w:rPr>
        <w:t xml:space="preserve">21</w:t>
      </w:r>
      <w:r>
        <w:t xml:space="preserve"> </w:t>
      </w:r>
      <w:r>
        <w:t xml:space="preserve">Komplikasi ginjal (PGK stadium</w:t>
      </w:r>
      <w:r>
        <w:t xml:space="preserve"> </w:t>
      </w:r>
      <m:oMath>
        <m:r>
          <m:rPr>
            <m:sty m:val="p"/>
          </m:rPr>
          <m:t>≥</m:t>
        </m:r>
      </m:oMath>
      <w:r>
        <w:t xml:space="preserve"> </w:t>
      </w:r>
      <w:r>
        <w:t xml:space="preserve">3) secara persentase menampilkan tren klinis peningkatan risiko pada kelompok HRP positif dibandingkan HRP negatif (32% vs 13%), namun belum mencapai kemaknaan statistik, kemungkinan besar akibat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Indeks Kardiometabolik</w:t>
      </w:r>
    </w:p>
    <w:p>
      <w:pPr>
        <w:pStyle w:val="BodyText"/>
      </w:pPr>
      <w:r>
        <w:t xml:space="preserve">Di antara keempat kandidat indeks kardiometabolik, kolesterol Non-HDL konsisten menunjukan signifikansi korelasi linear negatif terhadap logaritma skor kalsifikasi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Di sisi lain, indeks turunan yang diangkat untuk merepresentasikan resistensi insulin seperti TyHbA1c dan Rasio SUA/HDL tidak menunjukan hubungan bermakna. Nilai kolesterol non-HDL yang “optimal” justru memiliki skor CAC yang jauh lebih tinggi (</w:t>
      </w:r>
      <m:oMath>
        <m:r>
          <m:t>p</m:t>
        </m:r>
        <m:r>
          <m:rPr>
            <m:sty m:val="p"/>
          </m:rPr>
          <m:t>=</m:t>
        </m:r>
        <m:r>
          <m:t>0</m:t>
        </m:r>
        <m:r>
          <m:rPr>
            <m:sty m:val="p"/>
          </m:rPr>
          <m:t>,</m:t>
        </m:r>
        <m:r>
          <m:t>037</m:t>
        </m:r>
      </m:oMath>
      <w:r>
        <w:t xml:space="preserve">)ketika dievaluasi melalui analisis tabulasi silang menunjukan adanya efek statin dan durasi diagnosis DM (</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w:t>
      </w:r>
      <w:r>
        <w:t xml:space="preserve"> </w:t>
      </w:r>
      <w:r>
        <w:rPr>
          <w:i/>
          <w:iCs/>
        </w:rPr>
        <w:t xml:space="preserve">metabolic memory</w:t>
      </w:r>
      <w:r>
        <w:t xml:space="preserve"> </w:t>
      </w:r>
      <w:r>
        <w:t xml:space="preserve">(memori metabolik) dan</w:t>
      </w:r>
      <w:r>
        <w:t xml:space="preserve"> </w:t>
      </w:r>
      <w:r>
        <w:rPr>
          <w:i/>
          <w:iCs/>
        </w:rPr>
        <w:t xml:space="preserve">legacy effect</w:t>
      </w:r>
      <w:r>
        <w:t xml:space="preserve">.</w:t>
      </w:r>
      <w:r>
        <w:rPr>
          <w:vertAlign w:val="superscript"/>
        </w:rPr>
        <w:t xml:space="preserve">22,23</w:t>
      </w:r>
      <w:r>
        <w:t xml:space="preserve"> </w:t>
      </w:r>
      <w:r>
        <w:t xml:space="preserve">Kerusakan vaskular dan deposisi kalsium telah berjalan selama bertahun-tahun akibat hiperglikemia kronis sebelumnya yang meninggalkan “jejak” kerusakan oksidatif persisten pada dinding endotel.</w:t>
      </w:r>
      <w:r>
        <w:rPr>
          <w:vertAlign w:val="superscript"/>
        </w:rPr>
        <w:t xml:space="preserve">23</w:t>
      </w:r>
      <w:r>
        <w:t xml:space="preserve"> </w:t>
      </w:r>
      <w:r>
        <w:t xml:space="preserve">Walaupun pada saat prosedur CTCA profil lipid sirkulasi sudah ditekan hingga mencapai target (baik melalui perbaikan diet kronis, medikamentosa), kalsifikasi koroner sudah terbentuk sehingga menciptakan fenomena “paradoks lipid”. Analisis regresi multivariat lebih lanjut mengonfirmasi bahwa korelasi negatif parameter lipid ini tetap signifikan secara independen meskipun telah dikontrol terhadap faktor usia (Tabel 4).</w:t>
      </w:r>
    </w:p>
    <w:p>
      <w:pPr>
        <w:pStyle w:val="BodyText"/>
      </w:pPr>
      <w:r>
        <w:t xml:space="preserve">Adanya hubungan antara Rasio TG/HDL yang normal dengan pencapaian kontrol glikemik (HbA1c) yang baik (68% terkontrol,</w:t>
      </w:r>
      <w:r>
        <w:t xml:space="preserve"> </w:t>
      </w:r>
      <m:oMath>
        <m:r>
          <m:t>p</m:t>
        </m:r>
        <m:r>
          <m:rPr>
            <m:sty m:val="p"/>
          </m:rPr>
          <m:t>=</m:t>
        </m:r>
        <m:r>
          <m:t>0</m:t>
        </m:r>
        <m:r>
          <m:rPr>
            <m:sty m:val="p"/>
          </m:rPr>
          <m:t>,</m:t>
        </m:r>
        <m:r>
          <m:t>044</m:t>
        </m:r>
      </m:oMath>
      <w:r>
        <w:t xml:space="preserve">) mendukung status resistensi insulin dan kontrol metabolik sesaat. Namun, ketiadaan asosiasi Rasio TG/HDL terhadap luaran HRP dan CAC kembali menunjukkan bahwa marker metabolik sirkulasi tidak mampu melampaui kekuatan faktor degeneratif (usia) dan waktu paparan (time-dependent) dalam memprediksi perubahan struktural vaskular permanen pada populasi DM.</w:t>
      </w:r>
    </w:p>
    <w:p>
      <w:pPr>
        <w:pStyle w:val="BodyText"/>
      </w:pPr>
      <w:r>
        <w:t xml:space="preserve">Indeks turunan berbasis resistensi insulin (seperti TyHbA1c dan Rasio TG/HDL) belum dapat mengungguli faktor usia pada studi ini tampak kontradiktif dengan beberapa literatur sebelumnya. Penelitian oleh Won et al. (2018) dan Jin et al. (2020) melaporkan hubungan positif yang kuat dan independen antara indeks kardiometabolik turunan dengan tingkat aterosklerosis koroner</w:t>
      </w:r>
      <w:r>
        <w:rPr>
          <w:vertAlign w:val="superscript"/>
        </w:rPr>
        <w:t xml:space="preserve">2,3</w:t>
      </w:r>
      <w:r>
        <w:t xml:space="preserve">.Diskrepansi hasil ini dapat dijelaskan melalui perbedaan mendasar pada profil intervensi medis dan fase kronisitas penyakit sampel. Studi-studi terdahulu mayoritas mengevaluasi populasi asimptomatik yang relatif “naif” terhadap terapi kardiovaskular, di mana kemungkinan resistensi insulin fase akut masih berkorelasi kuat dengan inisiasi awal plak. Sebaliknya, kohort dalam penelitian ini merepresentasikan kondisi rutin di Indonesia (real-world) berupa pasien rujukan kardiologi dengan durasi penyakit lanjut dan telah mendapatkan terapi statin. Pengaruh farmakologis dari statin menekan komponen lipid pembentuk indeks tersebut di sirkulasi darah (terutama trigliserida), sehingga secara artifisial “menumpulkan” nilai prediktifnya. Selain itu, keterbatasan desain potong lintang (cross-sectional) hanya mampu mencatat profil lipid sewaktu saat CTCA yang sebagian besar telah termodifikasi oleh terapi, dan gagal menangkap puncak resistensi insulin di masa lalu yang mungkin menjadi pemicu awal kalsifikasi sebelumnya. Oleh karena itu, uji kohort skala besar lebih lanjut yang mampu merekam fluktuasi lipid (lipid variability)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DM yang menjalani CTCA, faktor degeneratif (usia) bertindak sebagai determinan utama berhubungan dengan kerentanan plak (HRP) maupun kuantitas kalsifikasi koroner. Sebaliknya, penggunaan indeks kardiometabolik turunan baru sebagai substitusi resistensi insulin (seperti Indeks TyHbA1c, TG/HDL, Non-HDL, maupun SUA/HDL) tidak memberikan nilai prediktif diagnostik tambahan yang bermakna.</w:t>
      </w:r>
    </w:p>
    <w:bookmarkEnd w:id="40"/>
    <w:bookmarkStart w:id="81" w:name="daftar-pustaka"/>
    <w:p>
      <w:pPr>
        <w:pStyle w:val="Heading2"/>
      </w:pPr>
      <w:r>
        <w:t xml:space="preserve">Daftar Pustaka</w:t>
      </w:r>
    </w:p>
    <w:bookmarkStart w:id="80" w:name="refs"/>
    <w:bookmarkStart w:id="42" w:name="ref-bornfeldt2011insulin"/>
    <w:p>
      <w:pPr>
        <w:pStyle w:val="Bibliography"/>
      </w:pPr>
      <w:r>
        <w:t xml:space="preserve">1.</w:t>
      </w:r>
      <w:r>
        <w:t xml:space="preserve"> </w:t>
      </w:r>
      <w:r>
        <w:t xml:space="preserve">	</w:t>
      </w:r>
      <w:r>
        <w:t xml:space="preserve">Bornfeldt KE, Tabas I.</w:t>
      </w:r>
      <w:r>
        <w:t xml:space="preserve"> </w:t>
      </w:r>
      <w:hyperlink r:id="rId41">
        <w:r>
          <w:rPr>
            <w:rStyle w:val="Hyperlink"/>
          </w:rPr>
          <w:t xml:space="preserve">Insulin resistance, hyperglycemia, and atherosclerosis</w:t>
        </w:r>
      </w:hyperlink>
      <w:r>
        <w:t xml:space="preserve">.</w:t>
      </w:r>
      <w:r>
        <w:t xml:space="preserve"> </w:t>
      </w:r>
      <w:r>
        <w:rPr>
          <w:i/>
          <w:iCs/>
        </w:rPr>
        <w:t xml:space="preserve">Cell Metabolism</w:t>
      </w:r>
      <w:r>
        <w:t xml:space="preserve">. 2011;14(5):575–85.</w:t>
      </w:r>
      <w:r>
        <w:t xml:space="preserve"> </w:t>
      </w:r>
    </w:p>
    <w:bookmarkEnd w:id="42"/>
    <w:bookmarkStart w:id="44" w:name="ref-jin2020triglyceride"/>
    <w:p>
      <w:pPr>
        <w:pStyle w:val="Bibliography"/>
      </w:pPr>
      <w:r>
        <w:t xml:space="preserve">2.</w:t>
      </w:r>
      <w:r>
        <w:t xml:space="preserve"> </w:t>
      </w:r>
      <w:r>
        <w:t xml:space="preserve">	</w:t>
      </w:r>
      <w:r>
        <w:t xml:space="preserve">Jin J-L, Sun D, Cao Y-X, dkk.</w:t>
      </w:r>
      <w:r>
        <w:t xml:space="preserve"> </w:t>
      </w:r>
      <w:hyperlink r:id="rId43">
        <w:r>
          <w:rPr>
            <w:rStyle w:val="Hyperlink"/>
          </w:rPr>
          <w:t xml:space="preserve">Triglyceride glucose and haemoglobin A1c indices for predicting cardiovascular outcomes in patients with coronary artery disease</w:t>
        </w:r>
      </w:hyperlink>
      <w:r>
        <w:t xml:space="preserve">.</w:t>
      </w:r>
      <w:r>
        <w:t xml:space="preserve"> </w:t>
      </w:r>
      <w:r>
        <w:rPr>
          <w:i/>
          <w:iCs/>
        </w:rPr>
        <w:t xml:space="preserve">Journal of Cellular and Molecular Medicine</w:t>
      </w:r>
      <w:r>
        <w:t xml:space="preserve">. 2020;24(17):9876–83.</w:t>
      </w:r>
      <w:r>
        <w:t xml:space="preserve"> </w:t>
      </w:r>
    </w:p>
    <w:bookmarkEnd w:id="44"/>
    <w:bookmarkStart w:id="46" w:name="ref-won2018relationship"/>
    <w:p>
      <w:pPr>
        <w:pStyle w:val="Bibliography"/>
      </w:pPr>
      <w:r>
        <w:t xml:space="preserve">3.</w:t>
      </w:r>
      <w:r>
        <w:t xml:space="preserve"> </w:t>
      </w:r>
      <w:r>
        <w:t xml:space="preserve">	</w:t>
      </w:r>
      <w:r>
        <w:t xml:space="preserve">Won K-B, Park G-M, Lee S-E, dkk.</w:t>
      </w:r>
      <w:r>
        <w:t xml:space="preserve"> </w:t>
      </w:r>
      <w:hyperlink r:id="rId45">
        <w:r>
          <w:rPr>
            <w:rStyle w:val="Hyperlink"/>
          </w:rPr>
          <w:t xml:space="preserve">Relationship of insulin resistance estimated by triglyceride glucose index to arterial stiffness</w:t>
        </w:r>
      </w:hyperlink>
      <w:r>
        <w:t xml:space="preserve">.</w:t>
      </w:r>
      <w:r>
        <w:t xml:space="preserve"> </w:t>
      </w:r>
      <w:r>
        <w:rPr>
          <w:i/>
          <w:iCs/>
        </w:rPr>
        <w:t xml:space="preserve">International Journal of Cardiology</w:t>
      </w:r>
      <w:r>
        <w:t xml:space="preserve">. 2018;260:159–63.</w:t>
      </w:r>
      <w:r>
        <w:t xml:space="preserve"> </w:t>
      </w:r>
    </w:p>
    <w:bookmarkEnd w:id="46"/>
    <w:bookmarkStart w:id="48" w:name="ref-visseren2021esc"/>
    <w:p>
      <w:pPr>
        <w:pStyle w:val="Bibliography"/>
      </w:pPr>
      <w:r>
        <w:t xml:space="preserve">4.</w:t>
      </w:r>
      <w:r>
        <w:t xml:space="preserve"> </w:t>
      </w:r>
      <w:r>
        <w:t xml:space="preserve">	</w:t>
      </w:r>
      <w:r>
        <w:t xml:space="preserve">Visseren FL, Mach F, Smulders YM, dkk.</w:t>
      </w:r>
      <w:r>
        <w:t xml:space="preserve"> </w:t>
      </w:r>
      <w:hyperlink r:id="rId47">
        <w:r>
          <w:rPr>
            <w:rStyle w:val="Hyperlink"/>
          </w:rPr>
          <w:t xml:space="preserve">2021 ESC Guidelines on cardiovascular disease prevention in clinical practice</w:t>
        </w:r>
      </w:hyperlink>
      <w:r>
        <w:t xml:space="preserve">.</w:t>
      </w:r>
      <w:r>
        <w:t xml:space="preserve"> </w:t>
      </w:r>
      <w:r>
        <w:rPr>
          <w:i/>
          <w:iCs/>
        </w:rPr>
        <w:t xml:space="preserve">European Heart Journal</w:t>
      </w:r>
      <w:r>
        <w:t xml:space="preserve">. 2021;42(34):3227–337.</w:t>
      </w:r>
      <w:r>
        <w:t xml:space="preserve"> </w:t>
      </w:r>
    </w:p>
    <w:bookmarkEnd w:id="48"/>
    <w:bookmarkStart w:id="50" w:name="ref-jankowski2021cardiovascular"/>
    <w:p>
      <w:pPr>
        <w:pStyle w:val="Bibliography"/>
      </w:pPr>
      <w:r>
        <w:t xml:space="preserve">5.</w:t>
      </w:r>
      <w:r>
        <w:t xml:space="preserve"> </w:t>
      </w:r>
      <w:r>
        <w:t xml:space="preserve">	</w:t>
      </w:r>
      <w:r>
        <w:t xml:space="preserve">Jankowski J, Floege J, Fliser D, dkk.</w:t>
      </w:r>
      <w:r>
        <w:t xml:space="preserve"> </w:t>
      </w:r>
      <w:hyperlink r:id="rId49">
        <w:r>
          <w:rPr>
            <w:rStyle w:val="Hyperlink"/>
          </w:rPr>
          <w:t xml:space="preserve">Cardiovascular disease in chronic kidney disease: pathophysiological insights and therapeutic options</w:t>
        </w:r>
      </w:hyperlink>
      <w:r>
        <w:t xml:space="preserve">.</w:t>
      </w:r>
      <w:r>
        <w:t xml:space="preserve"> </w:t>
      </w:r>
      <w:r>
        <w:rPr>
          <w:i/>
          <w:iCs/>
        </w:rPr>
        <w:t xml:space="preserve">Circulation</w:t>
      </w:r>
      <w:r>
        <w:t xml:space="preserve">. 2021;143(11):1157–72.</w:t>
      </w:r>
      <w:r>
        <w:t xml:space="preserve"> </w:t>
      </w:r>
    </w:p>
    <w:bookmarkEnd w:id="50"/>
    <w:bookmarkStart w:id="52" w:name="ref-motoyama2015plaque"/>
    <w:p>
      <w:pPr>
        <w:pStyle w:val="Bibliography"/>
      </w:pPr>
      <w:r>
        <w:t xml:space="preserve">6.</w:t>
      </w:r>
      <w:r>
        <w:t xml:space="preserve"> </w:t>
      </w:r>
      <w:r>
        <w:t xml:space="preserve">	</w:t>
      </w:r>
      <w:r>
        <w:t xml:space="preserve">Motoyama S, Ito H, Sarai M, dkk.</w:t>
      </w:r>
      <w:r>
        <w:t xml:space="preserve"> </w:t>
      </w:r>
      <w:hyperlink r:id="rId51">
        <w:r>
          <w:rPr>
            <w:rStyle w:val="Hyperlink"/>
          </w:rPr>
          <w:t xml:space="preserve">Plaque characterization by coronary computed tomography angiography and the likelihood of acute coronary events in mid-term follow-up</w:t>
        </w:r>
      </w:hyperlink>
      <w:r>
        <w:t xml:space="preserve">.</w:t>
      </w:r>
      <w:r>
        <w:t xml:space="preserve"> </w:t>
      </w:r>
      <w:r>
        <w:rPr>
          <w:i/>
          <w:iCs/>
        </w:rPr>
        <w:t xml:space="preserve">Journal of the American College of Cardiology</w:t>
      </w:r>
      <w:r>
        <w:t xml:space="preserve">. 2015;66(4):337–46.</w:t>
      </w:r>
      <w:r>
        <w:t xml:space="preserve"> </w:t>
      </w:r>
    </w:p>
    <w:bookmarkEnd w:id="52"/>
    <w:bookmarkStart w:id="54" w:name="ref-cury2022cadrads"/>
    <w:p>
      <w:pPr>
        <w:pStyle w:val="Bibliography"/>
      </w:pPr>
      <w:r>
        <w:t xml:space="preserve">7.</w:t>
      </w:r>
      <w:r>
        <w:t xml:space="preserve"> </w:t>
      </w:r>
      <w:r>
        <w:t xml:space="preserve">	</w:t>
      </w:r>
      <w:r>
        <w:t xml:space="preserve">Cury RC, Blankstein R, Leipsic J, dkk.</w:t>
      </w:r>
      <w:r>
        <w:t xml:space="preserve"> </w:t>
      </w:r>
      <w:hyperlink r:id="rId53">
        <w:r>
          <w:rPr>
            <w:rStyle w:val="Hyperlink"/>
          </w:rP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hyperlink>
      <w:r>
        <w:t xml:space="preserve">.</w:t>
      </w:r>
      <w:r>
        <w:t xml:space="preserve"> </w:t>
      </w:r>
      <w:r>
        <w:rPr>
          <w:i/>
          <w:iCs/>
        </w:rPr>
        <w:t xml:space="preserve">Journal of Cardiovascular Computed Tomography</w:t>
      </w:r>
      <w:r>
        <w:t xml:space="preserve">. 2022;16(6):536–57.</w:t>
      </w:r>
      <w:r>
        <w:t xml:space="preserve"> </w:t>
      </w:r>
    </w:p>
    <w:bookmarkEnd w:id="54"/>
    <w:bookmarkStart w:id="55" w:name="ref-kemenkes2022profil"/>
    <w:p>
      <w:pPr>
        <w:pStyle w:val="Bibliography"/>
      </w:pPr>
      <w:r>
        <w:t xml:space="preserve">8.</w:t>
      </w:r>
      <w:r>
        <w:t xml:space="preserve"> </w:t>
      </w:r>
      <w:r>
        <w:t xml:space="preserve">	</w:t>
      </w:r>
      <w:r>
        <w:t xml:space="preserve">Kementerian Kesehatan Republik Indonesia. Profil Kesehatan Indonesia Tahun 2021. Jakarta: Kementerian Kesehatan RI; 2022.</w:t>
      </w:r>
      <w:r>
        <w:t xml:space="preserve"> </w:t>
      </w:r>
    </w:p>
    <w:bookmarkEnd w:id="55"/>
    <w:bookmarkStart w:id="57" w:name="ref-who2004appropriate"/>
    <w:p>
      <w:pPr>
        <w:pStyle w:val="Bibliography"/>
      </w:pPr>
      <w:r>
        <w:t xml:space="preserve">9.</w:t>
      </w:r>
      <w:r>
        <w:t xml:space="preserve"> </w:t>
      </w:r>
      <w:r>
        <w:t xml:space="preserve">	</w:t>
      </w:r>
      <w:r>
        <w:t xml:space="preserve">WHO Expert Consultation.</w:t>
      </w:r>
      <w:r>
        <w:t xml:space="preserve"> </w:t>
      </w:r>
      <w:hyperlink r:id="rId56">
        <w:r>
          <w:rPr>
            <w:rStyle w:val="Hyperlink"/>
          </w:rPr>
          <w:t xml:space="preserve">Appropriate body-mass index for Asian populations and its implications for policy and intervention strategies</w:t>
        </w:r>
      </w:hyperlink>
      <w:r>
        <w:t xml:space="preserve">.</w:t>
      </w:r>
      <w:r>
        <w:t xml:space="preserve"> </w:t>
      </w:r>
      <w:r>
        <w:rPr>
          <w:i/>
          <w:iCs/>
        </w:rPr>
        <w:t xml:space="preserve">The Lancet</w:t>
      </w:r>
      <w:r>
        <w:t xml:space="preserve">. 2004;363(9403):157–63.</w:t>
      </w:r>
      <w:r>
        <w:t xml:space="preserve"> </w:t>
      </w:r>
    </w:p>
    <w:bookmarkEnd w:id="57"/>
    <w:bookmarkStart w:id="58" w:name="ref-whelton2018acc"/>
    <w:p>
      <w:pPr>
        <w:pStyle w:val="Bibliography"/>
      </w:pPr>
      <w:r>
        <w:t xml:space="preserve">10.</w:t>
      </w:r>
      <w:r>
        <w:t xml:space="preserve"> </w:t>
      </w:r>
      <w:r>
        <w:t xml:space="preserve">	</w:t>
      </w:r>
      <w:r>
        <w:t xml:space="preserve">Whelton PK, Carey RM, Aronow WS, dkk.</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2018;71(19):e127–248.</w:t>
      </w:r>
      <w:r>
        <w:t xml:space="preserve"> </w:t>
      </w:r>
    </w:p>
    <w:bookmarkEnd w:id="58"/>
    <w:bookmarkStart w:id="60" w:name="ref-ada2024glycemic"/>
    <w:p>
      <w:pPr>
        <w:pStyle w:val="Bibliography"/>
      </w:pPr>
      <w:r>
        <w:t xml:space="preserve">11.</w:t>
      </w:r>
      <w:r>
        <w:t xml:space="preserve"> </w:t>
      </w:r>
      <w:r>
        <w:t xml:space="preserve">	</w:t>
      </w:r>
      <w:r>
        <w:t xml:space="preserve">American Diabetes Association.</w:t>
      </w:r>
      <w:r>
        <w:t xml:space="preserve"> </w:t>
      </w:r>
      <w:hyperlink r:id="rId59">
        <w:r>
          <w:rPr>
            <w:rStyle w:val="Hyperlink"/>
          </w:rPr>
          <w:t xml:space="preserve">Glycemic Goals and Hypoglycemia: Standards of Care in Diabetes—2024</w:t>
        </w:r>
      </w:hyperlink>
      <w:r>
        <w:t xml:space="preserve">.</w:t>
      </w:r>
      <w:r>
        <w:t xml:space="preserve"> </w:t>
      </w:r>
      <w:r>
        <w:rPr>
          <w:i/>
          <w:iCs/>
        </w:rPr>
        <w:t xml:space="preserve">Diabetes Care</w:t>
      </w:r>
      <w:r>
        <w:t xml:space="preserve">. 2024;47(Supplement_1):S111–25.</w:t>
      </w:r>
      <w:r>
        <w:t xml:space="preserve"> </w:t>
      </w:r>
    </w:p>
    <w:bookmarkEnd w:id="60"/>
    <w:bookmarkStart w:id="61" w:name="ref-ncep2001atp3"/>
    <w:p>
      <w:pPr>
        <w:pStyle w:val="Bibliography"/>
      </w:pPr>
      <w:r>
        <w:t xml:space="preserve">12.</w:t>
      </w:r>
      <w:r>
        <w:t xml:space="preserve"> </w:t>
      </w:r>
      <w:r>
        <w:t xml:space="preserve">	</w:t>
      </w:r>
      <w:r>
        <w:t xml:space="preserve">Expert Panel on Detection, Evaluation, and Treatment of High Blood Cholesterol in Adults. 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2001;285(19):2486–97.</w:t>
      </w:r>
      <w:r>
        <w:t xml:space="preserve"> </w:t>
      </w:r>
    </w:p>
    <w:bookmarkEnd w:id="61"/>
    <w:bookmarkStart w:id="63" w:name="ref-bardin2014definition"/>
    <w:p>
      <w:pPr>
        <w:pStyle w:val="Bibliography"/>
      </w:pPr>
      <w:r>
        <w:t xml:space="preserve">13.</w:t>
      </w:r>
      <w:r>
        <w:t xml:space="preserve"> </w:t>
      </w:r>
      <w:r>
        <w:t xml:space="preserve">	</w:t>
      </w:r>
      <w:r>
        <w:t xml:space="preserve">Bardin T, Richette P.</w:t>
      </w:r>
      <w:r>
        <w:t xml:space="preserve"> </w:t>
      </w:r>
      <w:hyperlink r:id="rId62">
        <w:r>
          <w:rPr>
            <w:rStyle w:val="Hyperlink"/>
          </w:rPr>
          <w:t xml:space="preserve">Definition of hyperuricemia and gouty conditions</w:t>
        </w:r>
      </w:hyperlink>
      <w:r>
        <w:t xml:space="preserve">.</w:t>
      </w:r>
      <w:r>
        <w:t xml:space="preserve"> </w:t>
      </w:r>
      <w:r>
        <w:rPr>
          <w:i/>
          <w:iCs/>
        </w:rPr>
        <w:t xml:space="preserve">Current Opinion in Rheumatology</w:t>
      </w:r>
      <w:r>
        <w:t xml:space="preserve">. 2014;26(2):186–91.</w:t>
      </w:r>
      <w:r>
        <w:t xml:space="preserve"> </w:t>
      </w:r>
    </w:p>
    <w:bookmarkEnd w:id="63"/>
    <w:bookmarkStart w:id="64" w:name="ref-who2011haemoglobin"/>
    <w:p>
      <w:pPr>
        <w:pStyle w:val="Bibliography"/>
      </w:pPr>
      <w:r>
        <w:t xml:space="preserve">14.</w:t>
      </w:r>
      <w:r>
        <w:t xml:space="preserve"> </w:t>
      </w:r>
      <w:r>
        <w:t xml:space="preserve">	</w:t>
      </w:r>
      <w:r>
        <w:t xml:space="preserve">World Health Organization. Haemoglobin concentrations for the diagnosis of anaemia and assessment of severity. Geneva: World Health Organization; 2011.</w:t>
      </w:r>
      <w:r>
        <w:t xml:space="preserve"> </w:t>
      </w:r>
    </w:p>
    <w:bookmarkEnd w:id="64"/>
    <w:bookmarkStart w:id="65" w:name="ref-mclaughlin2003is"/>
    <w:p>
      <w:pPr>
        <w:pStyle w:val="Bibliography"/>
      </w:pPr>
      <w:r>
        <w:t xml:space="preserve">15.</w:t>
      </w:r>
      <w:r>
        <w:t xml:space="preserve"> </w:t>
      </w:r>
      <w:r>
        <w:t xml:space="preserve">	</w:t>
      </w:r>
      <w:r>
        <w:t xml:space="preserve">McLaughlin T, Reaven G, Abbasi F, dkk. Is there a simple way to identify insulin-resistant individuals at increased risk of cardiovascular disease?</w:t>
      </w:r>
      <w:r>
        <w:t xml:space="preserve"> </w:t>
      </w:r>
      <w:r>
        <w:rPr>
          <w:i/>
          <w:iCs/>
        </w:rPr>
        <w:t xml:space="preserve">The American Journal of Cardiology</w:t>
      </w:r>
      <w:r>
        <w:t xml:space="preserve">. 2003;92(2):121–4.</w:t>
      </w:r>
      <w:r>
        <w:t xml:space="preserve"> </w:t>
      </w:r>
    </w:p>
    <w:bookmarkEnd w:id="65"/>
    <w:bookmarkStart w:id="67" w:name="ref-kocak2019serum"/>
    <w:p>
      <w:pPr>
        <w:pStyle w:val="Bibliography"/>
      </w:pPr>
      <w:r>
        <w:t xml:space="preserve">16.</w:t>
      </w:r>
      <w:r>
        <w:t xml:space="preserve"> </w:t>
      </w:r>
      <w:r>
        <w:t xml:space="preserve">	</w:t>
      </w:r>
      <w:r>
        <w:t xml:space="preserve">Kocak MZ, Aktas G, Erkus E, dkk.</w:t>
      </w:r>
      <w:r>
        <w:t xml:space="preserve"> </w:t>
      </w:r>
      <w:hyperlink r:id="rId66">
        <w:r>
          <w:rPr>
            <w:rStyle w:val="Hyperlink"/>
          </w:rPr>
          <w:t xml:space="preserve">Serum uric acid to HDL-cholesterol ratio is a strong predictor of metabolic syndrome in type 2 diabetes mellitus</w:t>
        </w:r>
      </w:hyperlink>
      <w:r>
        <w:t xml:space="preserve">.</w:t>
      </w:r>
      <w:r>
        <w:t xml:space="preserve"> </w:t>
      </w:r>
      <w:r>
        <w:rPr>
          <w:i/>
          <w:iCs/>
        </w:rPr>
        <w:t xml:space="preserve">Revista de Investigaci</w:t>
      </w:r>
      <w:r>
        <w:rPr>
          <w:i/>
          <w:iCs/>
        </w:rPr>
        <w:t xml:space="preserve">ó</w:t>
      </w:r>
      <w:r>
        <w:rPr>
          <w:i/>
          <w:iCs/>
        </w:rPr>
        <w:t xml:space="preserve">n Cl</w:t>
      </w:r>
      <w:r>
        <w:rPr>
          <w:i/>
          <w:iCs/>
        </w:rPr>
        <w:t xml:space="preserve">ı́</w:t>
      </w:r>
      <w:r>
        <w:rPr>
          <w:i/>
          <w:iCs/>
        </w:rPr>
        <w:t xml:space="preserve">nica</w:t>
      </w:r>
      <w:r>
        <w:t xml:space="preserve">. 2019;71(1):49–55.</w:t>
      </w:r>
      <w:r>
        <w:t xml:space="preserve"> </w:t>
      </w:r>
    </w:p>
    <w:bookmarkEnd w:id="67"/>
    <w:bookmarkStart w:id="69" w:name="ref-levey2009new"/>
    <w:p>
      <w:pPr>
        <w:pStyle w:val="Bibliography"/>
      </w:pPr>
      <w:r>
        <w:t xml:space="preserve">17.</w:t>
      </w:r>
      <w:r>
        <w:t xml:space="preserve"> </w:t>
      </w:r>
      <w:r>
        <w:t xml:space="preserve">	</w:t>
      </w:r>
      <w:r>
        <w:t xml:space="preserve">Levey AS, Stevens LA, Schmid CH, dkk.</w:t>
      </w:r>
      <w:r>
        <w:t xml:space="preserve"> </w:t>
      </w:r>
      <w:hyperlink r:id="rId68">
        <w:r>
          <w:rPr>
            <w:rStyle w:val="Hyperlink"/>
          </w:rPr>
          <w:t xml:space="preserve">A new equation to estimate glomerular filtration rate</w:t>
        </w:r>
      </w:hyperlink>
      <w:r>
        <w:t xml:space="preserve">.</w:t>
      </w:r>
      <w:r>
        <w:t xml:space="preserve"> </w:t>
      </w:r>
      <w:r>
        <w:rPr>
          <w:i/>
          <w:iCs/>
        </w:rPr>
        <w:t xml:space="preserve">Annals of Internal Medicine</w:t>
      </w:r>
      <w:r>
        <w:t xml:space="preserve">. 2009;150(9):604–12.</w:t>
      </w:r>
      <w:r>
        <w:t xml:space="preserve"> </w:t>
      </w:r>
    </w:p>
    <w:bookmarkEnd w:id="69"/>
    <w:bookmarkStart w:id="71" w:name="ref-agatston1990quantification"/>
    <w:p>
      <w:pPr>
        <w:pStyle w:val="Bibliography"/>
      </w:pPr>
      <w:r>
        <w:t xml:space="preserve">18.</w:t>
      </w:r>
      <w:r>
        <w:t xml:space="preserve"> </w:t>
      </w:r>
      <w:r>
        <w:t xml:space="preserve">	</w:t>
      </w:r>
      <w:r>
        <w:t xml:space="preserve">Agatston AS, Janowitz WR, Hildner FJ, dkk.</w:t>
      </w:r>
      <w:r>
        <w:t xml:space="preserve"> </w:t>
      </w:r>
      <w:hyperlink r:id="rId70">
        <w:r>
          <w:rPr>
            <w:rStyle w:val="Hyperlink"/>
          </w:rPr>
          <w:t xml:space="preserve">Quantification of coronary artery calcium using ultrafast computed tomography</w:t>
        </w:r>
      </w:hyperlink>
      <w:r>
        <w:t xml:space="preserve">.</w:t>
      </w:r>
      <w:r>
        <w:t xml:space="preserve"> </w:t>
      </w:r>
      <w:r>
        <w:rPr>
          <w:i/>
          <w:iCs/>
        </w:rPr>
        <w:t xml:space="preserve">Journal of the American College of Cardiology</w:t>
      </w:r>
      <w:r>
        <w:t xml:space="preserve">. 1990;15(4):827–32.</w:t>
      </w:r>
      <w:r>
        <w:t xml:space="preserve"> </w:t>
      </w:r>
    </w:p>
    <w:bookmarkEnd w:id="71"/>
    <w:bookmarkStart w:id="73" w:name="ref-rcoreteam2026"/>
    <w:p>
      <w:pPr>
        <w:pStyle w:val="Bibliography"/>
      </w:pPr>
      <w:r>
        <w:t xml:space="preserve">19.</w:t>
      </w:r>
      <w:r>
        <w:t xml:space="preserve"> </w:t>
      </w:r>
      <w:r>
        <w:t xml:space="preserve">	</w:t>
      </w:r>
      <w:r>
        <w:t xml:space="preserve">R Core Team.</w:t>
      </w:r>
      <w:r>
        <w:t xml:space="preserve"> </w:t>
      </w:r>
      <w:hyperlink r:id="rId72">
        <w:r>
          <w:rPr>
            <w:rStyle w:val="Hyperlink"/>
          </w:rPr>
          <w:t xml:space="preserve">R: A Language and Environment for Statistical Computing</w:t>
        </w:r>
      </w:hyperlink>
      <w:r>
        <w:t xml:space="preserve">. Vienna, Austria: R Foundation for Statistical Computing; 2026.</w:t>
      </w:r>
      <w:r>
        <w:t xml:space="preserve"> </w:t>
      </w:r>
    </w:p>
    <w:bookmarkEnd w:id="73"/>
    <w:bookmarkStart w:id="75" w:name="ref-newby2008metalloproteinase"/>
    <w:p>
      <w:pPr>
        <w:pStyle w:val="Bibliography"/>
      </w:pPr>
      <w:r>
        <w:t xml:space="preserve">20.</w:t>
      </w:r>
      <w:r>
        <w:t xml:space="preserve"> </w:t>
      </w:r>
      <w:r>
        <w:t xml:space="preserve">	</w:t>
      </w:r>
      <w:r>
        <w:t xml:space="preserve">Newby AC.</w:t>
      </w:r>
      <w:r>
        <w:t xml:space="preserve"> </w:t>
      </w:r>
      <w:hyperlink r:id="rId74">
        <w:r>
          <w:rPr>
            <w:rStyle w:val="Hyperlink"/>
          </w:rPr>
          <w:t xml:space="preserve">Metalloproteinase expression in macrophages: its role in plaque rupture and atherothrombosis</w:t>
        </w:r>
      </w:hyperlink>
      <w:r>
        <w:t xml:space="preserve">.</w:t>
      </w:r>
      <w:r>
        <w:t xml:space="preserve"> </w:t>
      </w:r>
      <w:r>
        <w:rPr>
          <w:i/>
          <w:iCs/>
        </w:rPr>
        <w:t xml:space="preserve">Arteriosclerosis, Thrombosis, and Vascular Biology</w:t>
      </w:r>
      <w:r>
        <w:t xml:space="preserve">. 2008;28(12):2108–14.</w:t>
      </w:r>
      <w:r>
        <w:t xml:space="preserve"> </w:t>
      </w:r>
    </w:p>
    <w:bookmarkEnd w:id="75"/>
    <w:bookmarkStart w:id="77" w:name="ref-glagov1987compensatory"/>
    <w:p>
      <w:pPr>
        <w:pStyle w:val="Bibliography"/>
      </w:pPr>
      <w:r>
        <w:t xml:space="preserve">21.</w:t>
      </w:r>
      <w:r>
        <w:t xml:space="preserve"> </w:t>
      </w:r>
      <w:r>
        <w:t xml:space="preserve">	</w:t>
      </w:r>
      <w:r>
        <w:t xml:space="preserve">Glagov S, Weisenberg E, Zarins CK, dkk.</w:t>
      </w:r>
      <w:r>
        <w:t xml:space="preserve"> </w:t>
      </w:r>
      <w:hyperlink r:id="rId76">
        <w:r>
          <w:rPr>
            <w:rStyle w:val="Hyperlink"/>
          </w:rPr>
          <w:t xml:space="preserve">Compensatory enlargement of human atherosclerotic coronary arteries</w:t>
        </w:r>
      </w:hyperlink>
      <w:r>
        <w:t xml:space="preserve">.</w:t>
      </w:r>
      <w:r>
        <w:t xml:space="preserve"> </w:t>
      </w:r>
      <w:r>
        <w:rPr>
          <w:i/>
          <w:iCs/>
        </w:rPr>
        <w:t xml:space="preserve">New England Journal of Medicine</w:t>
      </w:r>
      <w:r>
        <w:t xml:space="preserve">. 1987;316(22):1371–5.</w:t>
      </w:r>
      <w:r>
        <w:t xml:space="preserve"> </w:t>
      </w:r>
    </w:p>
    <w:bookmarkEnd w:id="77"/>
    <w:bookmarkStart w:id="78" w:name="ref-holman200810"/>
    <w:p>
      <w:pPr>
        <w:pStyle w:val="Bibliography"/>
      </w:pPr>
      <w:r>
        <w:t xml:space="preserve">22.</w:t>
      </w:r>
      <w:r>
        <w:t xml:space="preserve"> </w:t>
      </w:r>
      <w:r>
        <w:t xml:space="preserve">	</w:t>
      </w:r>
      <w:r>
        <w:t xml:space="preserve">Holman RR, Paul SK, Bethel MA, dkk. 10-year follow-up of intensive glucose control in type 2 diabetes.</w:t>
      </w:r>
      <w:r>
        <w:t xml:space="preserve"> </w:t>
      </w:r>
      <w:r>
        <w:rPr>
          <w:i/>
          <w:iCs/>
        </w:rPr>
        <w:t xml:space="preserve">New England Journal of Medicine</w:t>
      </w:r>
      <w:r>
        <w:t xml:space="preserve">. 2008;359(15):1577–89.</w:t>
      </w:r>
      <w:r>
        <w:t xml:space="preserve"> </w:t>
      </w:r>
    </w:p>
    <w:bookmarkEnd w:id="78"/>
    <w:bookmarkStart w:id="79" w:name="ref-ceriello2009metabolic"/>
    <w:p>
      <w:pPr>
        <w:pStyle w:val="Bibliography"/>
      </w:pPr>
      <w:r>
        <w:t xml:space="preserve">23.</w:t>
      </w:r>
      <w:r>
        <w:t xml:space="preserve"> </w:t>
      </w:r>
      <w:r>
        <w:t xml:space="preserve">	</w:t>
      </w:r>
      <w:r>
        <w:t xml:space="preserve">Ceriello A, Ihnat MA, Thorpe SR. The</w:t>
      </w:r>
      <w:r>
        <w:t xml:space="preserve"> </w:t>
      </w:r>
      <w:r>
        <w:t xml:space="preserve">“metabolic memory”</w:t>
      </w:r>
      <w:r>
        <w:t xml:space="preserve">: is more than just tight glucose control necessary to prevent diabetic complications?</w:t>
      </w:r>
      <w:r>
        <w:t xml:space="preserve"> </w:t>
      </w:r>
      <w:r>
        <w:rPr>
          <w:i/>
          <w:iCs/>
        </w:rPr>
        <w:t xml:space="preserve">The Journal of Clinical Endocrinology &amp; Metabolism</w:t>
      </w:r>
      <w:r>
        <w:t xml:space="preserve">. 2009;94(2):410–5.</w:t>
      </w:r>
      <w:r>
        <w:t xml:space="preserve"> </w:t>
      </w:r>
    </w:p>
    <w:bookmarkEnd w:id="79"/>
    <w:bookmarkEnd w:id="80"/>
    <w:p>
      <w:r>
        <w:pict>
          <v:rect style="width:0;height:1.5pt" o:hralign="center" o:hrstd="t" o:hr="t"/>
        </w:pict>
      </w:r>
    </w:p>
    <w:bookmarkEnd w:id="81"/>
    <w:bookmarkStart w:id="92" w:name="lampiran"/>
    <w:p>
      <w:pPr>
        <w:pStyle w:val="Heading2"/>
      </w:pPr>
      <w:r>
        <w:t xml:space="preserve">Lampiran</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82"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2"/>
        </w:tc>
      </w:tr>
    </w:tbl>
    <w:p>
      <w:pPr>
        <w:pStyle w:val="BodyText"/>
      </w:pPr>
      <w:r>
        <w:t xml:space="preserve">Hasil analisis komparasi silang pada Rasio Asam Urat/HDL-C (SUA/HDL) menunjukan adanya hubungan yang bermakna secara statistik terhadap status Indeks Massa Tubuh (</w:t>
      </w:r>
      <m:oMath>
        <m:r>
          <m:t>p</m:t>
        </m:r>
        <m:r>
          <m:rPr>
            <m:sty m:val="p"/>
          </m:rPr>
          <m:t>=</m:t>
        </m:r>
        <m:r>
          <m:t>0</m:t>
        </m:r>
        <m:r>
          <m:rPr>
            <m:sty m:val="p"/>
          </m:rPr>
          <m:t>,</m:t>
        </m:r>
        <m:r>
          <m:t>039</m:t>
        </m:r>
      </m:oMath>
      <w:r>
        <w:t xml:space="preserve">) dan Usia (</w:t>
      </w:r>
      <m:oMath>
        <m:r>
          <m:t>p</m:t>
        </m:r>
        <m:r>
          <m:rPr>
            <m:sty m:val="p"/>
          </m:rPr>
          <m:t>=</m:t>
        </m:r>
        <m:r>
          <m:t>0</m:t>
        </m:r>
        <m:r>
          <m:rPr>
            <m:sty m:val="p"/>
          </m:rPr>
          <m:t>,</m:t>
        </m:r>
        <m:r>
          <m:t>044</m:t>
        </m:r>
      </m:oMath>
      <w:r>
        <w:t xml:space="preserve">). Kelompok pasien dengan Rasio SUA/HDL yang tinggi (&gt; median) secara signifikan didominasi oleh pasien dengan status</w:t>
      </w:r>
      <w:r>
        <w:t xml:space="preserve"> </w:t>
      </w:r>
      <w:r>
        <w:rPr>
          <w:i/>
          <w:iCs/>
        </w:rPr>
        <w:t xml:space="preserve">obesitas</w:t>
      </w:r>
      <w:r>
        <w:t xml:space="preserve"> </w:t>
      </w:r>
      <w:r>
        <w:t xml:space="preserve">(81%). Temuan ini mendukung utilitas Rasio SUA/HDL sebagai penanda</w:t>
      </w:r>
      <w:r>
        <w:t xml:space="preserve"> </w:t>
      </w:r>
      <w:r>
        <w:rPr>
          <w:i/>
          <w:iCs/>
        </w:rPr>
        <w:t xml:space="preserve">surrogate</w:t>
      </w:r>
      <w:r>
        <w:t xml:space="preserve"> </w:t>
      </w:r>
      <w:r>
        <w:t xml:space="preserve">akumulasi lemak viseral dan profil sindrom metabolik. Selain itu, dominasi pasien lansia (</w:t>
      </w:r>
      <m:oMath>
        <m:r>
          <m:rPr>
            <m:sty m:val="p"/>
          </m:rPr>
          <m:t>≥</m:t>
        </m:r>
      </m:oMath>
      <w:r>
        <w:t xml:space="preserve"> </w:t>
      </w:r>
      <w:r>
        <w:t xml:space="preserve">60 tahun) pada kelompok rasio SUA/HDL yang rendah (77%) secara tidak langsung turut mendukung hipotesis</w:t>
      </w:r>
      <w:r>
        <w:t xml:space="preserve"> </w:t>
      </w:r>
      <w:r>
        <w:rPr>
          <w:i/>
          <w:iCs/>
        </w:rPr>
        <w:t xml:space="preserve">metabolic burn-out</w:t>
      </w:r>
      <w:r>
        <w:t xml:space="preserve">, di mana pasien dengan kalsifikasi lanjut cenderung mengalami penurunan massa otot atau malnutrisi kronis yang menurunkan laju produksi asam urat sirkulasi.</w:t>
      </w:r>
    </w:p>
    <w:tbl>
      <w:tblPr>
        <w:tblStyle w:val="Table"/>
        <w:tblW w:type="pct" w:w="5000"/>
        <w:tblLayout w:type="fixed"/>
        <w:tblLook w:firstRow="0" w:lastRow="0" w:firstColumn="0" w:lastColumn="0" w:noHBand="0" w:noVBand="0" w:val="0000"/>
      </w:tblPr>
      <w:tblGrid>
        <w:gridCol w:w="7920"/>
      </w:tblGrid>
      <w:tr>
        <w:tc>
          <w:tcPr/>
          <w:bookmarkStart w:id="83"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3"/>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fig-supp-roc"/>
          <w:p>
            <w:pPr>
              <w:pStyle w:val="Compact"/>
              <w:jc w:val="center"/>
            </w:pPr>
            <w:r>
              <w:drawing>
                <wp:inline>
                  <wp:extent cx="5029200" cy="4190999"/>
                  <wp:effectExtent b="0" l="0" r="0" t="0"/>
                  <wp:docPr descr="" title="" id="85" name="Picture"/>
                  <a:graphic>
                    <a:graphicData uri="http://schemas.openxmlformats.org/drawingml/2006/picture">
                      <pic:pic>
                        <pic:nvPicPr>
                          <pic:cNvPr descr="index_files/figure-docx/fig-supp-roc-1.png" id="86" name="Picture"/>
                          <pic:cNvPicPr>
                            <a:picLocks noChangeArrowheads="1" noChangeAspect="1"/>
                          </pic:cNvPicPr>
                        </pic:nvPicPr>
                        <pic:blipFill>
                          <a:blip r:embed="rId84"/>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87"/>
        </w:tc>
      </w:tr>
    </w:tbl>
    <w:p>
      <w:pPr>
        <w:pStyle w:val="BodyText"/>
      </w:pPr>
      <w:r>
        <w:rPr>
          <w:b/>
          <w:bCs/>
        </w:rPr>
        <w:t xml:space="preserve">Korelasi Komprehensif Seluruh Parameter Klinis dan Laboratorium</w:t>
      </w:r>
    </w:p>
    <w:p>
      <w:pPr>
        <w:pStyle w:val="BodyText"/>
      </w:pPr>
      <w:r>
        <w:t xml:space="preserve">Analisis korelasi linear dilakukan untuk mengevaluasi hubungan antara seluruh variabel kontinu (termasuk usia, IMT, parameter laboratorium standar, dan indeks kardiometabolik) terhadap nilai logaritmik absolut kalsifikasi koroner (</w:t>
      </w:r>
      <m:oMath>
        <m:r>
          <m:rPr>
            <m:sty m:val="p"/>
          </m:rPr>
          <m:t>ln</m:t>
        </m:r>
        <m:r>
          <m:rPr>
            <m:sty m:val="p"/>
          </m:rPr>
          <m:t>[</m:t>
        </m:r>
        <m:r>
          <m:rPr>
            <m:nor/>
            <m:sty m:val="p"/>
          </m:rPr>
          <m:t>CAC</m:t>
        </m:r>
        <m:r>
          <m:rPr>
            <m:sty m:val="p"/>
          </m:rPr>
          <m:t>+</m:t>
        </m:r>
        <m:r>
          <m:t>1</m:t>
        </m:r>
        <m:r>
          <m:rPr>
            <m:sty m:val="p"/>
          </m:rPr>
          <m:t>]</m:t>
        </m:r>
      </m:oMath>
      <w:r>
        <w:t xml:space="preserve">). Hasil analisis menunjukan bahwa faktor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405</m:t>
        </m:r>
        <m:r>
          <m:rPr>
            <m:sty m:val="p"/>
          </m:rPr>
          <m:t>,</m:t>
        </m:r>
        <m:r>
          <m:t>p</m:t>
        </m:r>
        <m:r>
          <m:rPr>
            <m:sty m:val="p"/>
          </m:rPr>
          <m:t>=</m:t>
        </m:r>
        <m:r>
          <m:t>0</m:t>
        </m:r>
        <m:r>
          <m:rPr>
            <m:sty m:val="p"/>
          </m:rPr>
          <m:t>,</m:t>
        </m:r>
        <m:r>
          <m:t>003</m:t>
        </m:r>
      </m:oMath>
      <w:r>
        <w:t xml:space="preserve">). Sebaliknya, seluruh parameter lipid sirkulasi beserta indeks turunannya (termasuk Rasio TG/HDL dan Non-HDL) menunjukkan korelasi linear yang bermakna namun dengan arah</w:t>
      </w:r>
      <w:r>
        <w:t xml:space="preserve"> </w:t>
      </w:r>
      <w:r>
        <w:rPr>
          <w:b/>
          <w:bCs/>
        </w:rPr>
        <w:t xml:space="preserve">negatif</w:t>
      </w:r>
      <w:r>
        <w:t xml:space="preserve"> </w:t>
      </w:r>
      <w:r>
        <w:t xml:space="preserve">(</w:t>
      </w:r>
      <w:hyperlink w:anchor="fig-supp-scatter">
        <w:r>
          <w:rPr>
            <w:rStyle w:val="Hyperlink"/>
          </w:rPr>
          <w:t xml:space="preserve">Gambar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supp-scatter"/>
          <w:p>
            <w:pPr>
              <w:pStyle w:val="Compact"/>
              <w:jc w:val="center"/>
            </w:pPr>
            <w:r>
              <w:drawing>
                <wp:inline>
                  <wp:extent cx="5029200" cy="8283388"/>
                  <wp:effectExtent b="0" l="0" r="0" t="0"/>
                  <wp:docPr descr="" title="" id="89" name="Picture"/>
                  <a:graphic>
                    <a:graphicData uri="http://schemas.openxmlformats.org/drawingml/2006/picture">
                      <pic:pic>
                        <pic:nvPicPr>
                          <pic:cNvPr descr="index_files/figure-docx/fig-supp-scatter-1.png" id="90" name="Picture"/>
                          <pic:cNvPicPr>
                            <a:picLocks noChangeArrowheads="1" noChangeAspect="1"/>
                          </pic:cNvPicPr>
                        </pic:nvPicPr>
                        <pic:blipFill>
                          <a:blip r:embed="rId88"/>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Korelasi Parameter Klinis, Laboratorium Dasar, dan Indeks Kardiometabolik dengan Kalsifikasi Koroner</w:t>
            </w:r>
          </w:p>
          <w:bookmarkEnd w:id="91"/>
        </w:tc>
      </w:tr>
    </w:tbl>
    <w:bookmarkEnd w:id="92"/>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34" Target="media/rId34.png" /><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 Tipe 2</dc:title>
  <dc:creator>Kadek Adit Wiryadana</dc:creator>
  <dc:language>id</dc:language>
  <cp:keywords>Cardiometabolic Index, Coronary Artery Calcification, Diabetes Mellitus, High-Risk Plaque, Statin Paradox</cp:keywords>
  <dcterms:created xsi:type="dcterms:W3CDTF">2026-09-11T04:29:47Z</dcterms:created>
  <dcterms:modified xsi:type="dcterms:W3CDTF">2026-09-11T04:29:47Z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 (paradoks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wiryadana_vancouver_style.csl</vt:lpwstr>
  </property>
  <property fmtid="{D5CDD505-2E9C-101B-9397-08002B2CF9AE}" pid="11" name="date">
    <vt:lpwstr>11 September 2026, 12:29</vt:lpwstr>
  </property>
  <property fmtid="{D5CDD505-2E9C-101B-9397-08002B2CF9AE}" pid="12" name="date-format">
    <vt:lpwstr>DD MMMM YYYY, HH:mm</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ssage">
    <vt:lpwstr>False</vt:lpwstr>
  </property>
  <property fmtid="{D5CDD505-2E9C-101B-9397-08002B2CF9AE}" pid="19" name="toc-title">
    <vt:lpwstr>Daftar Isi</vt:lpwstr>
  </property>
</Properties>
</file>