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61.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 Klinis dan Kardiometabolik terhadap Kerentanan Plak (High-Risk Plaque) dan Beban Kalsifikasi Koroner pada Pasien Diabetes Mellitus</w:t>
      </w:r>
    </w:p>
    <w:p>
      <w:pPr>
        <w:pStyle w:val="Author"/>
      </w:pPr>
      <w:r>
        <w:t xml:space="preserve">Kadek Adit Wiryadana</w:t>
      </w:r>
    </w:p>
    <w:p>
      <w:pPr>
        <w:pStyle w:val="Date"/>
      </w:pPr>
      <w:r>
        <w:t xml:space="preserve">10 September 2026, 14:20</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 Diabetes Mellitus (DM).</w:t>
      </w:r>
      <w:r>
        <w:t xml:space="preserve"> </w:t>
      </w:r>
      <w:r>
        <w:rPr>
          <w:i/>
          <w:iCs/>
        </w:rPr>
        <w:t xml:space="preserve">Computed Tomography Coronary Angiography</w:t>
      </w:r>
      <w:r>
        <w:t xml:space="preserve"> </w:t>
      </w:r>
      <w:r>
        <w:t xml:space="preserve">(CTCA) digunakan secara luas untuk mendeteksi</w:t>
      </w:r>
      <w:r>
        <w:t xml:space="preserve"> </w:t>
      </w:r>
      <w:r>
        <w:rPr>
          <w:i/>
          <w:iCs/>
        </w:rPr>
        <w:t xml:space="preserve">High-Risk Plaque</w:t>
      </w:r>
      <w:r>
        <w:t xml:space="preserve"> </w:t>
      </w:r>
      <w:r>
        <w:t xml:space="preserve">(HRP) dan kalsifikasi arteri koroner (CAC). Selain faktor risiko konvensional, berbagai indeks kardiometabolik baru telah diusulkan; namun, penerapannya di ruang praktik klinis dunia nyata masih diperdebatkan dan terbatas, terutama pada populasi DM.</w:t>
      </w:r>
    </w:p>
    <w:p>
      <w:pPr>
        <w:pStyle w:val="Abstract"/>
      </w:pPr>
      <w:r>
        <w:rPr>
          <w:b/>
          <w:bCs/>
        </w:rPr>
        <w:t xml:space="preserve">Tujuan:</w:t>
      </w:r>
      <w:r>
        <w:t xml:space="preserve"> </w:t>
      </w:r>
      <w:r>
        <w:t xml:space="preserve">Mengevaluasi asosiasi faktor risiko klinis dan laboratorium konvensional (usia, jenis kelamin, fungsi ginjal, profil lipid, HbA1c) dibandingkan dengan empat indeks kardiometabolik turunan (Indeks TyHbA1c, Rasio TG/HDL, Kolesterol Non-HDL, Rasio SUA/HDL) sebagai prediktor keberadaan HRP dan keparahan kalsifikasi arteri koroner (CAC).</w:t>
      </w:r>
    </w:p>
    <w:p>
      <w:pPr>
        <w:pStyle w:val="Abstract"/>
      </w:pPr>
      <w:r>
        <w:rPr>
          <w:b/>
          <w:bCs/>
        </w:rPr>
        <w:t xml:space="preserve">Metode:</w:t>
      </w:r>
      <w:r>
        <w:t xml:space="preserve"> </w:t>
      </w:r>
      <w:r>
        <w:t xml:space="preserve">Studi potong lintang dilakukan pada pasien DM yang menjalani pemeriksaan CTCA di RSUP Ngoerah, Denpasar pada tahun 2025. Data dianalisis menggunakan uji komparasi bivariat berdasarkan status HRP dan korelasi linear terhadap skor CAC, dengan pemodelan regresi multivariat direncanakan sebagai langkah kondisional jika prasyarat kemaknaan awal terpenuhi.</w:t>
      </w:r>
    </w:p>
    <w:p>
      <w:pPr>
        <w:pStyle w:val="Abstract"/>
      </w:pPr>
      <w:r>
        <w:rPr>
          <w:b/>
          <w:bCs/>
        </w:rPr>
        <w:t xml:space="preserve">Hasil:</w:t>
      </w:r>
      <w:r>
        <w:t xml:space="preserve"> </w:t>
      </w:r>
      <w:r>
        <w:t xml:space="preserve">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w:t>
      </w:r>
    </w:p>
    <w:p>
      <w:pPr>
        <w:pStyle w:val="Abstract"/>
      </w:pPr>
      <w:r>
        <w:rPr>
          <w:b/>
          <w:bCs/>
        </w:rPr>
        <w:t xml:space="preserve">Simpulan:</w:t>
      </w:r>
      <w:r>
        <w:t xml:space="preserve"> </w:t>
      </w:r>
      <w:r>
        <w:t xml:space="preserve">Penuaan (Usia) merupakan determinan utama yang menyetir kerentanan plak dan beban kalsifikasi pada pasien DM. Indeks kardiometabolik turunan tidak memberikan nilai prediktif tambahan yang independen, kemungkinan akibat efek stabilisasi sekunder dari terapi statin yang diterima kohort ini sebelum prosedur CTCA.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w:t>
      </w:r>
    </w:p>
    <w:p>
      <w:pPr>
        <w:pStyle w:val="Abstract"/>
      </w:pPr>
      <w:r>
        <w:rPr>
          <w:b/>
          <w:bCs/>
        </w:rPr>
        <w:t xml:space="preserve">Objective:</w:t>
      </w:r>
      <w:r>
        <w:t xml:space="preserve"> </w:t>
      </w:r>
      <w:r>
        <w:t xml:space="preserve">To compare conventional clinical and laboratory risk factors (age, gender, renal function, lipid profile, HbA1c) against four derivative cardiometabolic indices (TyHbA1c Index, TG/HDL Ratio, Non-HDL Cholesterol, SUA/HDL Ratio) as predictors of HRP and the severity of coronary artery calcification (CAC).</w:t>
      </w:r>
    </w:p>
    <w:p>
      <w:pPr>
        <w:pStyle w:val="Abstract"/>
      </w:pPr>
      <w:r>
        <w:rPr>
          <w:b/>
          <w:bCs/>
        </w:rPr>
        <w:t xml:space="preserve">Methods:</w:t>
      </w:r>
      <w:r>
        <w:t xml:space="preserve"> </w:t>
      </w:r>
      <w:r>
        <w:t xml:space="preserve">A cross-sectional study was conducted on DM patients undergoing CTCA at RSUP Ngoerah, Denpasar, in 2025. All candidate factors were compared bivariately by HRP status and linearly correlated with CAC scores, with multivariate regression planned conditionally upon meeting initial statistical thresholds.</w:t>
      </w:r>
    </w:p>
    <w:p>
      <w:pPr>
        <w:pStyle w:val="Abstract"/>
      </w:pPr>
      <w:r>
        <w:rPr>
          <w:b/>
          <w:bCs/>
        </w:rPr>
        <w:t xml:space="preserve">Results:</w:t>
      </w:r>
      <w:r>
        <w:t xml:space="preserve"> </w:t>
      </w:r>
      <w:r>
        <w:t xml:space="preserve">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w:t>
      </w:r>
    </w:p>
    <w:p>
      <w:pPr>
        <w:pStyle w:val="Abstract"/>
      </w:pPr>
      <w:r>
        <w:rPr>
          <w:b/>
          <w:bCs/>
        </w:rPr>
        <w:t xml:space="preserve">Conclusion:</w:t>
      </w:r>
      <w:r>
        <w:t xml:space="preserve"> </w:t>
      </w:r>
      <w:r>
        <w:t xml:space="preserve">Age is the primary determinant driving plaque vulnerability and calcification burden in DM patients. The lack of independent predictive value from derivative indices may partly reflect indication bias from concurrent statin therapy, warranting caution before adopting these indices as standalone risk-stratification tools.</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 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 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t xml:space="preserve"> </w:t>
      </w:r>
      <w:r>
        <w:t xml:space="preserve">(</w:t>
      </w:r>
      <w:r>
        <w:t xml:space="preserve">Whelton dkk.</w:t>
      </w:r>
      <w:r>
        <w:t xml:space="preserve"> </w:t>
      </w:r>
      <w:r>
        <w:t xml:space="preserve">2018)</w:t>
      </w:r>
      <w:r>
        <w:t xml:space="preserve">.</w:t>
      </w:r>
    </w:p>
    <w:p>
      <w:pPr>
        <w:pStyle w:val="BodyText"/>
      </w:pPr>
      <w:r>
        <w:t xml:space="preserve">Pada parameter laboratorium, target glikemik (HbA1c) dikelompokkan menjadi terkontrol (&lt; 7,0%) dan tidak terkontrol (</w:t>
      </w:r>
      <m:oMath>
        <m:r>
          <m:rPr>
            <m:sty m:val="p"/>
          </m:rPr>
          <m:t>≥</m:t>
        </m:r>
      </m:oMath>
      <w:r>
        <w:t xml:space="preserve"> </w:t>
      </w:r>
      <w:r>
        <w:t xml:space="preserve">7,0%). 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 Hiperurisemia didefinisikan sebagai kadar asam urat serum &gt; 7,0 mg/dL pada laki-laki dan &gt; 6,0 mg/dL pada perempuan, sedangkan anemia jika hemoglobin &lt; 13,0 g/dL (laki-laki) dan &lt; 12,0 g/dL (perempuan).</w:t>
      </w:r>
    </w:p>
    <w:p>
      <w:pPr>
        <w:pStyle w:val="BodyText"/>
      </w:pPr>
      <w:r>
        <w:t xml:space="preserve">Selain itu, 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 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t xml:space="preserve"> </w:t>
      </w:r>
      <w:r>
        <w:t xml:space="preserve">(Expert Panel on Detection, Evaluation, and Treatment of High Blood Cholesterol in Adults 2001)</w:t>
      </w:r>
      <w:r>
        <w:t xml:space="preserve">, dan Rasio TG/HDL ditetapkan pada</w:t>
      </w:r>
      <w:r>
        <w:t xml:space="preserve"> </w:t>
      </w:r>
      <m:oMath>
        <m:r>
          <m:rPr>
            <m:sty m:val="p"/>
          </m:rPr>
          <m:t>≥</m:t>
        </m:r>
      </m:oMath>
      <w:r>
        <w:t xml:space="preserve"> </w:t>
      </w:r>
      <w:r>
        <w:t xml:space="preserve">3,0 sebagai penanda resistensi insulin</w:t>
      </w:r>
      <w:r>
        <w:t xml:space="preserve"> </w:t>
      </w:r>
      <w:r>
        <w:t xml:space="preserve">(McLaughlin dkk. 2003)</w:t>
      </w:r>
      <w:r>
        <w:t xml:space="preserve">. Mengingat ketiadaan konsensus baku untuk Indeks TyHbA1c dan Rasio SUA/HDL, kedua variabel novel ini dikotomisasi berdasarkan nilai median kohort penelitian (Rendah vs Tinggi) untuk keperluan komparasi analitik.</w:t>
      </w:r>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pada studi ini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(Skor CAC):</w:t>
      </w:r>
      <w:r>
        <w:t xml:space="preserve"> </w:t>
      </w:r>
      <w:r>
        <w:t xml:space="preserve">Dikuantifikasi menggunakan Skor Agatston absolut.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3"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sebagian besar terbagi merata antara pengguna obat oral (32,7%) dan insulin (32,7%), dengan sementara sepertiga sisanya (34,6%) yang mengandalkan modifikasi diet dan gaya hidup.</w:t>
      </w:r>
    </w:p>
    <w:p>
      <w:pPr>
        <w:pStyle w:val="BodyText"/>
      </w:pPr>
      <w:r>
        <w:t xml:space="preserve">Berdasarkan pencitraan CTCA, proporsi penemuan</w:t>
      </w:r>
      <w:r>
        <w:t xml:space="preserve"> </w:t>
      </w:r>
      <w:r>
        <w:rPr>
          <w:i/>
          <w:iCs/>
        </w:rPr>
        <w:t xml:space="preserve">High-Risk Plaque</w:t>
      </w:r>
      <w:r>
        <w:t xml:space="preserve"> </w:t>
      </w:r>
      <w:r>
        <w:t xml:space="preserve">(HRP) tergolong amat tinggi, yakni sebesar 71,2%. Untuk memberikan gambaran komprehensif, seluruh karakteristik dasar, parameter laboratorium, dan profil pengobatan dievaluasi sekaligus terhadap dua luaran utama: status HRP dan skor kalsifikasi absolut (</w:t>
      </w:r>
      <w:hyperlink w:anchor="tbl-baseline">
        <w:r>
          <w:rPr>
            <w:rStyle w:val="Hyperlink"/>
          </w:rPr>
          <w:t xml:space="preserve">Tabel 1</w:t>
        </w:r>
      </w:hyperlink>
      <w:r>
        <w:t xml:space="preserve">).</w:t>
      </w:r>
    </w:p>
    <w:p>
      <w:pPr>
        <w:pStyle w:val="BodyText"/>
      </w:pPr>
      <w:r>
        <w:t xml:space="preserve">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ekstrem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Mengingat tingginya persentase pasien yang telah menerima terapi medis spesifik, evaluasi komparatif tambahan memperlihatkan fenomena paradoks kalsifikasi, di mana pasien yang menggunakan statin justru menampilkan tren median skor CAC yang lebih tinggi dibandingkan pasien tanpa statin (302,3 vs 209,8 Agatston). Begitu pula pada durasi penyakit, pasien dengan DM yang sudah lama menampilkan beban kalsifikasi yang jauh lebih masif dibandingkan pasien yang baru terdiagnosis. Di sisi lain, proporsi kerentanan plak (HRP) tertinggi secara persentase justru ditemukan pada kelompok yang belum menerima intervensi obat anti-diabetik (hanya mengandalkan diet), merepresentasikan fase inflamasi vaskular primer yang sangat aktif.</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Untuk mengevaluasi secara spesifik apakah indeks kardiometabolik turunan (sebagai penanda resistensi insulin dan disfungsi endotel) memiliki asosiasi dengan aterosklerosis, analisis komparasi terfokus dilakukan (</w:t>
      </w:r>
      <w:r>
        <w:rPr>
          <w:b/>
          <w:bCs/>
        </w:rPr>
        <w:t xml:space="preserve">Tabel 3</w:t>
      </w:r>
      <w:r>
        <w:t xml:space="preserve">). Parameter ini dikategorikan berdasarkan batas</w:t>
      </w:r>
      <w:r>
        <w:t xml:space="preserve"> </w:t>
      </w:r>
      <w:r>
        <w:rPr>
          <w:i/>
          <w:iCs/>
        </w:rPr>
        <w:t xml:space="preserve">cut-off</w:t>
      </w:r>
      <w:r>
        <w:t xml:space="preserve"> </w:t>
      </w:r>
      <w:r>
        <w:t xml:space="preserve">klinis global maupun nilai median kohort.</w:t>
      </w:r>
    </w:p>
    <w:p>
      <w:pPr>
        <w:pStyle w:val="BodyText"/>
      </w:pPr>
      <w:r>
        <w:t xml:space="preserve">Hasil analisis memperlihatkan temuan paradoksikal yang menarik.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justru memiliki median kalsifikasi yang jauh lebih masif (398 Agatston) dibandingkan kelompok Non-HDL tinggi (70 Agatston). Sementara itu, indeks lainnya (Indeks TyHbA1c, Rasio TG/HDL, dan Rasio SUA/HDL) secara konsisten tidak memiliki asosiasi yang bermakna secara statistik terhadap keparahan kalsifikasi.</w:t>
      </w:r>
    </w:p>
    <w:p>
      <w:pPr>
        <w:pStyle w:val="BodyText"/>
      </w:pPr>
      <w:r>
        <w:t xml:space="preserve">Terhadap status kerentanan plak (HRP), tidak ada satu pun kandidat indeks kardiometabolik yang menunjukkan diskriminasi bermakna (</w:t>
      </w:r>
      <m:oMath>
        <m:r>
          <m:t>p</m:t>
        </m:r>
        <m:r>
          <m:rPr>
            <m:sty m:val="p"/>
          </m:rPr>
          <m:t>&gt;</m:t>
        </m:r>
        <m:r>
          <m:t>0</m:t>
        </m:r>
        <m:r>
          <m:rPr>
            <m:sty m:val="p"/>
          </m:rPr>
          <m:t>,</m:t>
        </m:r>
        <m:r>
          <m:t>05</m:t>
        </m:r>
      </m:oMath>
      <w:r>
        <w:t xml:space="preserve">). Temuan ini secara kolektif menegaskan bahwa penggunaan indeks-indeks novel tersebut tidak memberikan performa diagnostik yang linear dan superior pada kohort ini.</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Penelusuran Anomali Non-HDL dan Validasi Rasio TG/HDL</w:t>
      </w:r>
    </w:p>
    <w:p>
      <w:pPr>
        <w:pStyle w:val="BodyText"/>
      </w:pPr>
      <w:r>
        <w:t xml:space="preserve">Untuk menelusuri akar penyebab dari anomali korelasi terbalik pada Kolesterol Non-HDL (di mana Non-HDL optimal justru memiliki kalsifikasi masif), analisis komparasi silang (</w:t>
      </w:r>
      <w:r>
        <w:rPr>
          <w:i/>
          <w:iCs/>
        </w:rPr>
        <w:t xml:space="preserve">cross-tabulation</w:t>
      </w:r>
      <w:r>
        <w:t xml:space="preserve">) dilakukan terhadap seluruh profil klinis pasien (</w:t>
      </w:r>
      <w:hyperlink w:anchor="tbl-nonhdl">
        <w:r>
          <w:rPr>
            <w:rStyle w:val="Hyperlink"/>
          </w:rPr>
          <w:t xml:space="preserve">Tabel 4</w:t>
        </w:r>
      </w:hyperlink>
      <w:r>
        <w:t xml:space="preserve">).</w:t>
      </w:r>
    </w:p>
    <w:p>
      <w:pPr>
        <w:pStyle w:val="BodyText"/>
      </w:pPr>
      <w:r>
        <w:t xml:space="preserve">Hasil analisis membuktikan secara objektif bahwa anomali ini tidak semata-mata disetir oleh penggunaan statin (</w:t>
      </w:r>
      <m:oMath>
        <m:r>
          <m:t>p</m:t>
        </m:r>
        <m:r>
          <m:rPr>
            <m:sty m:val="p"/>
          </m:rPr>
          <m:t>=</m:t>
        </m:r>
        <m:r>
          <m:t>0</m:t>
        </m:r>
        <m:r>
          <m:rPr>
            <m:sty m:val="p"/>
          </m:rPr>
          <m:t>,</m:t>
        </m:r>
        <m:r>
          <m:t>2</m:t>
        </m:r>
      </m:oMath>
      <w:r>
        <w:t xml:space="preserve">), melainkan secara signifikan didominasi oleh faktor</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Kelompok pasien dengan Kolesterol Non-HDL yang optimal (&lt; 130 mg/dL) ternyata berisi 82% pasien dengan riwayat DM yang sudah lama. Tingginya skor kalsifikasi pada kelompok ini sejalan dengan kronisitas paparan penyakit, bukan sekadar cerminan profil lipid saat ini.</w:t>
      </w:r>
    </w:p>
    <w:p>
      <w:pPr>
        <w:pStyle w:val="BodyText"/>
      </w:pPr>
      <w:r>
        <w:t xml:space="preserve">Di sisi lain, analisis terpisah pada Rasio TG/HDL (</w:t>
      </w:r>
      <w:hyperlink w:anchor="tbl-tghdl">
        <w:r>
          <w:rPr>
            <w:rStyle w:val="Hyperlink"/>
          </w:rPr>
          <w:t xml:space="preserve">Tabel 5</w:t>
        </w:r>
      </w:hyperlink>
      <w:r>
        <w:t xml:space="preserve">) membuktikan signifikansi biologis dari indeks tersebut. Kelompok pasien dengan Rasio TG/HDL yang normal (&lt; 3,0) terbukti secara signifikan memiliki proporsi</w:t>
      </w:r>
      <w:r>
        <w:t xml:space="preserve"> </w:t>
      </w:r>
      <w:r>
        <w:rPr>
          <w:b/>
          <w:bCs/>
        </w:rPr>
        <w:t xml:space="preserve">Kontrol Glikemik (HbA1c)</w:t>
      </w:r>
      <w:r>
        <w:t xml:space="preserve"> </w:t>
      </w:r>
      <w:r>
        <w:t xml:space="preserve">yang jauh lebih baik (68% terkontrol,</w:t>
      </w:r>
      <w:r>
        <w:t xml:space="preserve"> </w:t>
      </w:r>
      <m:oMath>
        <m:r>
          <m:t>p</m:t>
        </m:r>
        <m:r>
          <m:rPr>
            <m:sty m:val="p"/>
          </m:rPr>
          <m:t>=</m:t>
        </m:r>
        <m:r>
          <m:t>0</m:t>
        </m:r>
        <m:r>
          <m:rPr>
            <m:sty m:val="p"/>
          </m:rPr>
          <m:t>,</m:t>
        </m:r>
        <m:r>
          <m:t>044</m:t>
        </m:r>
      </m:oMath>
      <w:r>
        <w:t xml:space="preserve">) dibandingkan kelompok dengan rasio tinggi. Hal ini memvalidasi Rasio TG/HDL sebagai penanda</w:t>
      </w:r>
      <w:r>
        <w:t xml:space="preserve"> </w:t>
      </w:r>
      <w:r>
        <w:rPr>
          <w:i/>
          <w:iCs/>
        </w:rPr>
        <w:t xml:space="preserve">surrogate</w:t>
      </w:r>
      <w:r>
        <w:t xml:space="preserve"> </w:t>
      </w:r>
      <w:r>
        <w:t xml:space="preserve">resistensi insulin yang representatif, meskipun indeks tersebut gagal mengungguli faktor degeneratif (usia) dalam memprediksi kerentanan plak dan kalsifikasi koroner permanen.</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b/>
            <w:bCs/>
          </w:rPr>
          <w:t xml:space="preserve">Gambar 1</w:t>
        </w:r>
      </w:hyperlink>
      <w:r>
        <w:t xml:space="preserve">).</w:t>
      </w:r>
    </w:p>
    <w:p>
      <w:pPr>
        <w:pStyle w:val="BodyText"/>
      </w:pPr>
      <w:r>
        <w:t xml:space="preserve">Lebih lanjut, analisis korelasi terhadap skor CAC logaritmik (</w:t>
      </w:r>
      <w:hyperlink w:anchor="fig-supp-scatter">
        <w:r>
          <w:rPr>
            <w:rStyle w:val="Hyperlink"/>
            <w:b/>
            <w:bCs/>
          </w:rPr>
          <w:t xml:space="preserve">Gambar 2</w:t>
        </w:r>
      </w:hyperlink>
      <w:r>
        <w:t xml:space="preserve">) justru menampilkan pola</w:t>
      </w:r>
      <w:r>
        <w:t xml:space="preserve"> </w:t>
      </w:r>
      <w:r>
        <w:rPr>
          <w:b/>
          <w:bCs/>
        </w:rPr>
        <w:t xml:space="preserve">korelasi negatif</w:t>
      </w:r>
      <w:r>
        <w:t xml:space="preserve"> </w:t>
      </w:r>
      <w:r>
        <w:t xml:space="preserve">yang signifikan secara statistik pada parameter lipid dan indeks turunannya, seperti Trigliserida (</w:t>
      </w:r>
      <m:oMath>
        <m:r>
          <m:t>R</m:t>
        </m:r>
        <m:r>
          <m:rPr>
            <m:sty m:val="p"/>
          </m:rPr>
          <m:t>=</m:t>
        </m:r>
        <m:r>
          <m:rPr>
            <m:sty m:val="p"/>
          </m:rPr>
          <m:t>−</m:t>
        </m:r>
        <m:r>
          <m:t>0</m:t>
        </m:r>
        <m:r>
          <m:rPr>
            <m:sty m:val="p"/>
          </m:rPr>
          <m:t>,</m:t>
        </m:r>
        <m:r>
          <m:t>401</m:t>
        </m:r>
        <m:r>
          <m:rPr>
            <m:sty m:val="p"/>
          </m:rPr>
          <m:t>,</m:t>
        </m:r>
        <m:r>
          <m:t>p</m:t>
        </m:r>
        <m:r>
          <m:rPr>
            <m:sty m:val="p"/>
          </m:rPr>
          <m:t>=</m:t>
        </m:r>
        <m:r>
          <m:t>0</m:t>
        </m:r>
        <m:r>
          <m:rPr>
            <m:sty m:val="p"/>
          </m:rPr>
          <m:t>,</m:t>
        </m:r>
        <m:r>
          <m:t>003</m:t>
        </m:r>
      </m:oMath>
      <w:r>
        <w:t xml:space="preserve">), Kolesterol Total (</w:t>
      </w:r>
      <m:oMath>
        <m:r>
          <m:t>R</m:t>
        </m:r>
        <m:r>
          <m:rPr>
            <m:sty m:val="p"/>
          </m:rPr>
          <m:t>=</m:t>
        </m:r>
        <m:r>
          <m:rPr>
            <m:sty m:val="p"/>
          </m:rPr>
          <m:t>−</m:t>
        </m:r>
        <m:r>
          <m:t>0</m:t>
        </m:r>
        <m:r>
          <m:rPr>
            <m:sty m:val="p"/>
          </m:rPr>
          <m:t>,</m:t>
        </m:r>
        <m:r>
          <m:t>407</m:t>
        </m:r>
        <m:r>
          <m:rPr>
            <m:sty m:val="p"/>
          </m:rPr>
          <m:t>,</m:t>
        </m:r>
        <m:r>
          <m:t>p</m:t>
        </m:r>
        <m:r>
          <m:rPr>
            <m:sty m:val="p"/>
          </m:rPr>
          <m:t>=</m:t>
        </m:r>
        <m:r>
          <m:t>0</m:t>
        </m:r>
        <m:r>
          <m:rPr>
            <m:sty m:val="p"/>
          </m:rPr>
          <m:t>,</m:t>
        </m:r>
        <m:r>
          <m:t>003</m:t>
        </m:r>
      </m:oMath>
      <w:r>
        <w:t xml:space="preserve">), Rasio TG/HDL (</w:t>
      </w:r>
      <m:oMath>
        <m:r>
          <m:t>R</m:t>
        </m:r>
        <m:r>
          <m:rPr>
            <m:sty m:val="p"/>
          </m:rPr>
          <m:t>=</m:t>
        </m:r>
        <m:r>
          <m:rPr>
            <m:sty m:val="p"/>
          </m:rPr>
          <m:t>−</m:t>
        </m:r>
        <m:r>
          <m:t>0</m:t>
        </m:r>
        <m:r>
          <m:rPr>
            <m:sty m:val="p"/>
          </m:rPr>
          <m:t>,</m:t>
        </m:r>
        <m:r>
          <m:t>352</m:t>
        </m:r>
        <m:r>
          <m:rPr>
            <m:sty m:val="p"/>
          </m:rPr>
          <m:t>,</m:t>
        </m:r>
        <m:r>
          <m:t>p</m:t>
        </m:r>
        <m:r>
          <m:rPr>
            <m:sty m:val="p"/>
          </m:rPr>
          <m:t>=</m:t>
        </m:r>
        <m:r>
          <m:t>0</m:t>
        </m:r>
        <m:r>
          <m:rPr>
            <m:sty m:val="p"/>
          </m:rPr>
          <m:t>,</m:t>
        </m:r>
        <m:r>
          <m:t>011</m:t>
        </m:r>
      </m:oMath>
      <w:r>
        <w:t xml:space="preserve">), dan Non-HDL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Hal ini secara kuantitatif memperkuat argumen</w:t>
      </w:r>
      <w:r>
        <w:t xml:space="preserve"> </w:t>
      </w:r>
      <w:r>
        <w:rPr>
          <w:i/>
          <w:iCs/>
        </w:rPr>
        <w:t xml:space="preserve">metabolic memory</w:t>
      </w:r>
      <w:r>
        <w:t xml:space="preserve"> </w:t>
      </w:r>
      <w:r>
        <w:t xml:space="preserve">yang diobservasi sebelumnya: bahwa kalsifikasi yang semakin parah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bookmarkEnd w:id="33"/>
    <w:bookmarkStart w:id="34"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komplikasi ginjal (PGK stadium</w:t>
      </w:r>
      <w:r>
        <w:t xml:space="preserve"> </w:t>
      </w:r>
      <m:oMath>
        <m:r>
          <m:rPr>
            <m:sty m:val="p"/>
          </m:rPr>
          <m:t>≥</m:t>
        </m:r>
      </m:oMath>
      <w:r>
        <w:t xml:space="preserve"> </w:t>
      </w:r>
      <w:r>
        <w:t xml:space="preserve">3) secara persentase menampilkan tren klinis peningkatan risiko yang jelas pada kelompok HRP positif dibandingkan HRP negatif (32% vs 13%), namun belum mencapai kemaknaan statistik, kemungkinan besar akibat pembatasan kekuatan sampel tunggal (</w:t>
      </w:r>
      <m:oMath>
        <m:r>
          <m:t>N</m:t>
        </m:r>
        <m:r>
          <m:rPr>
            <m:sty m:val="p"/>
          </m:rPr>
          <m:t>=</m:t>
        </m:r>
        <m:r>
          <m:t>52</m:t>
        </m:r>
      </m:oMath>
      <w:r>
        <w:t xml:space="preserve">). Ketiadaan parameter dengan nilai</w:t>
      </w:r>
      <w:r>
        <w:t xml:space="preserve"> </w:t>
      </w:r>
      <m:oMath>
        <m:r>
          <m:t>p</m:t>
        </m:r>
        <m:r>
          <m:rPr>
            <m:sty m:val="p"/>
          </m:rPr>
          <m:t>&lt;</m:t>
        </m:r>
        <m:r>
          <m:t>0</m:t>
        </m:r>
        <m:r>
          <m:rPr>
            <m:sty m:val="p"/>
          </m:rPr>
          <m:t>,</m:t>
        </m:r>
        <m:r>
          <m:t>25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Memori Metabolik, Paradoks Lipid, dan Resistensi Insulin</w:t>
      </w:r>
    </w:p>
    <w:p>
      <w:pPr>
        <w:pStyle w:val="BodyText"/>
      </w:pPr>
      <w:r>
        <w:t xml:space="preserve">Di antara keempat kandidat indeks kardiometabolik,</w:t>
      </w:r>
      <w:r>
        <w:t xml:space="preserve"> </w:t>
      </w:r>
      <w:r>
        <w:rPr>
          <w:b/>
          <w:bCs/>
        </w:rPr>
        <w:t xml:space="preserve">Kolesterol Non-HDL secara konsisten menampilkan sinyal diskriminatif yang paling menonjol</w:t>
      </w:r>
      <w:r>
        <w:t xml:space="preserve"> </w:t>
      </w:r>
      <w:r>
        <w:t xml:space="preserve">di sepanjang tahap analisis. Hal ini dibuktikan melalui margin signifikansi bivariat pada status HRP (</w:t>
      </w:r>
      <m:oMath>
        <m:r>
          <m:t>p</m:t>
        </m:r>
        <m:r>
          <m:rPr>
            <m:sty m:val="p"/>
          </m:rPr>
          <m:t>=</m:t>
        </m:r>
        <m:r>
          <m:t>0</m:t>
        </m:r>
        <m:r>
          <m:rPr>
            <m:sty m:val="p"/>
          </m:rPr>
          <m:t>,</m:t>
        </m:r>
        <m:r>
          <m:t>065</m:t>
        </m:r>
      </m:oMath>
      <w:r>
        <w:t xml:space="preserve">), capaian</w:t>
      </w:r>
      <w:r>
        <w:t xml:space="preserve"> </w:t>
      </w:r>
      <w:r>
        <w:rPr>
          <w:i/>
          <w:iCs/>
        </w:rPr>
        <w:t xml:space="preserve">Area Under the Curve</w:t>
      </w:r>
      <w:r>
        <w:t xml:space="preserve"> </w:t>
      </w:r>
      <w:r>
        <w:t xml:space="preserve">tertinggi pada evaluasi kurva ROC (AUC = 0,66), serta korelasi linear negatif yang sangat bermakna terhadap logaritma kalsifikasi absolut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Di sisi lain, indeks turunan yang murni merepresentasikan resistensi insulin seperti TyHbA1c dan Rasio SUA/HDL benar-benar tenggelam dan gagal menunjukkan sinyal asosiasi apapun.</w:t>
      </w:r>
    </w:p>
    <w:p>
      <w:pPr>
        <w:pStyle w:val="BodyText"/>
      </w:pPr>
      <w:r>
        <w:t xml:space="preserve">Tingginya sorotan analitik pada Kolesterol Non-HDL ini—yang secara paradoksikal menunjukkan bahwa nilai Non-HDL yang</w:t>
      </w:r>
      <w:r>
        <w:t xml:space="preserve"> </w:t>
      </w:r>
      <w:r>
        <w:t xml:space="preserve">“optimal”</w:t>
      </w:r>
      <w:r>
        <w:t xml:space="preserve"> </w:t>
      </w:r>
      <w:r>
        <w:t xml:space="preserve">justru memiliki skor CAC yang jauh lebih masif (</w:t>
      </w:r>
      <m:oMath>
        <m:r>
          <m:t>p</m:t>
        </m:r>
        <m:r>
          <m:rPr>
            <m:sty m:val="p"/>
          </m:rPr>
          <m:t>=</m:t>
        </m:r>
        <m:r>
          <m:t>0</m:t>
        </m:r>
        <m:r>
          <m:rPr>
            <m:sty m:val="p"/>
          </m:rPr>
          <m:t>,</m:t>
        </m:r>
        <m:r>
          <m:t>037</m:t>
        </m:r>
      </m:oMath>
      <w:r>
        <w:t xml:space="preserve">)—berhasil diurai secara objektif melalui analisis tabulasi silang. Berbeda dengan asumsi awal mengenai dominansi efek statin, anomali kalsifikasi ini secara statistik disetir oleh</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w:t>
      </w:r>
      <w:r>
        <w:t xml:space="preserve"> </w:t>
      </w:r>
      <w:r>
        <w:rPr>
          <w:i/>
          <w:iCs/>
        </w:rPr>
        <w:t xml:space="preserve">metabolic memory</w:t>
      </w:r>
      <w:r>
        <w:t xml:space="preserve"> </w:t>
      </w:r>
      <w:r>
        <w:t xml:space="preserve">(memori metabolik). Kerusakan vaskular dan deposisi kalsium sejatinya telah berproses tanpa henti selama bertahun-tahun. Walaupun pada saat prosedur CTCA profil lipid sirkulasi mereka sudah ditekan hingga mencapai target (baik melalui perbaikan diet kronis, medikamentosa, maupun fase</w:t>
      </w:r>
      <w:r>
        <w:t xml:space="preserve"> </w:t>
      </w:r>
      <w:r>
        <w:rPr>
          <w:i/>
          <w:iCs/>
        </w:rPr>
        <w:t xml:space="preserve">burnt-out</w:t>
      </w:r>
      <w:r>
        <w:t xml:space="preserve"> </w:t>
      </w:r>
      <w:r>
        <w:t xml:space="preserve">metabolik), kalsifikasi koroner permanen mereka sudah terlanjur melambung tinggi, sehingga menciptakan ilusi</w:t>
      </w:r>
      <w:r>
        <w:t xml:space="preserve"> </w:t>
      </w:r>
      <w:r>
        <w:t xml:space="preserve">“paradoks lipid”</w:t>
      </w:r>
      <w:r>
        <w:t xml:space="preserve">.</w:t>
      </w:r>
    </w:p>
    <w:p>
      <w:pPr>
        <w:pStyle w:val="BodyText"/>
      </w:pPr>
      <w:r>
        <w:t xml:space="preserve">Sementara itu, signifikansi korelasi antara Rasio TG/HDL yang normal dengan pencapaian kontrol glikemik (HbA1c) yang baik (68% terkontrol,</w:t>
      </w:r>
      <w:r>
        <w:t xml:space="preserve"> </w:t>
      </w:r>
      <m:oMath>
        <m:r>
          <m:t>p</m:t>
        </m:r>
        <m:r>
          <m:rPr>
            <m:sty m:val="p"/>
          </m:rPr>
          <m:t>=</m:t>
        </m:r>
        <m:r>
          <m:t>0</m:t>
        </m:r>
        <m:r>
          <m:rPr>
            <m:sty m:val="p"/>
          </m:rPr>
          <m:t>,</m:t>
        </m:r>
        <m:r>
          <m:t>044</m:t>
        </m:r>
      </m:oMath>
      <w:r>
        <w:t xml:space="preserve">) sangat menarik. Temuan ini memvalidasi kapasitas rasio tersebut sebagai cerminan status resistensi insulin dan kontrol metabolik sesaat. Namun, ketiadaan asosiasi Rasio TG/HDL terhadap luaran HRP dan CAC kembali menegaskan bahwa marker metabolik sirkulasi tidak mampu melampaui kekuatan faktor degeneratif (usia) dan waktu paparan (</w:t>
      </w:r>
      <w:r>
        <w:rPr>
          <w:i/>
          <w:iCs/>
        </w:rPr>
        <w:t xml:space="preserve">time-dependent</w:t>
      </w:r>
      <w:r>
        <w:t xml:space="preserve">) dalam memprediksi perubahan struktural vaskular permanen pada populasi DM.</w:t>
      </w:r>
    </w:p>
    <w:p>
      <w:pPr>
        <w:pStyle w:val="BodyText"/>
      </w:pPr>
      <w:r>
        <w:rPr>
          <w:b/>
          <w:bCs/>
        </w:rPr>
        <w:t xml:space="preserve">Keterbatasan</w:t>
      </w:r>
    </w:p>
    <w:p>
      <w:pPr>
        <w:pStyle w:val="BodyText"/>
      </w:pPr>
      <w:r>
        <w:t xml:space="preserve">Penelitian potong lintang ini memiliki keterbatasan inheren akibat ketiadaan</w:t>
      </w:r>
      <w:r>
        <w:t xml:space="preserve"> </w:t>
      </w:r>
      <w:r>
        <w:rPr>
          <w:i/>
          <w:iCs/>
        </w:rPr>
        <w:t xml:space="preserve">follow-up</w:t>
      </w:r>
      <w:r>
        <w:t xml:space="preserve"> </w:t>
      </w:r>
      <w:r>
        <w:t xml:space="preserve">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Uji kohort skala besar yang mempertimbangkan pencatatan dosis akumulatif statin sangat disarankan di masa depan.</w:t>
      </w:r>
    </w:p>
    <w:bookmarkEnd w:id="34"/>
    <w:bookmarkStart w:id="35" w:name="simpulan"/>
    <w:p>
      <w:pPr>
        <w:pStyle w:val="Heading2"/>
      </w:pPr>
      <w:r>
        <w:t xml:space="preserve">Simpulan</w:t>
      </w:r>
    </w:p>
    <w:p>
      <w:pPr>
        <w:pStyle w:val="FirstParagraph"/>
      </w:pPr>
      <w:r>
        <w:t xml:space="preserve">Pada pasien prediabetes dan DM yang menjalani CTCA, faktor degeneratif (Usia) bertindak sebagai determinan utama yang secara konsisten menyetir baik kerentanan plak (HRP) maupun kuantitas kalsifikasi koroner. Sebaliknya, penggunaan indeks kardiometabolik turunan baru sebagai substitusi resistensi insulin (seperti Indeks TyHbA1c, TG/HDL, Non-HDL, maupun SUA/HDL) tidak memberikan nilai prediktif diagnostik tambahan yang bermakna. Di ruang praktik klinis, stratifikasi risiko kardiovaskular pada pasien DM harus senantiasa memprioritaskan</w:t>
      </w:r>
      <w:r>
        <w:t xml:space="preserve"> </w:t>
      </w:r>
      <w:r>
        <w:t xml:space="preserve">“durasi paparan”</w:t>
      </w:r>
      <w:r>
        <w:t xml:space="preserve"> </w:t>
      </w:r>
      <w:r>
        <w:t xml:space="preserve">(usia dan riwayat sakit), dengan menyadari bahwa marker lipid dan metabolik sesaat dapat kehilangan kekuatan prediktifnya pada pasien yang telah mendapatkan terapi statin.</w:t>
      </w:r>
    </w:p>
    <w:bookmarkEnd w:id="35"/>
    <w:bookmarkStart w:id="54" w:name="daftar-pustaka"/>
    <w:p>
      <w:pPr>
        <w:pStyle w:val="Heading2"/>
      </w:pPr>
      <w:r>
        <w:t xml:space="preserve">Daftar Pustaka</w:t>
      </w:r>
    </w:p>
    <w:bookmarkStart w:id="53" w:name="refs"/>
    <w:bookmarkStart w:id="37"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36">
        <w:r>
          <w:rPr>
            <w:rStyle w:val="Hyperlink"/>
          </w:rPr>
          <w:t xml:space="preserve">https://doi.org/10.1016/j.cmet.2011.07.015</w:t>
        </w:r>
      </w:hyperlink>
      <w:r>
        <w:t xml:space="preserve">.</w:t>
      </w:r>
    </w:p>
    <w:bookmarkEnd w:id="37"/>
    <w:bookmarkStart w:id="39"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38">
        <w:r>
          <w:rPr>
            <w:rStyle w:val="Hyperlink"/>
          </w:rPr>
          <w:t xml:space="preserve">https://doi.org/10.1016/j.jcct.2022.07.002</w:t>
        </w:r>
      </w:hyperlink>
      <w:r>
        <w:t xml:space="preserve">.</w:t>
      </w:r>
    </w:p>
    <w:bookmarkEnd w:id="39"/>
    <w:bookmarkStart w:id="40" w:name="ref-ncep2001atp3"/>
    <w:p>
      <w:pPr>
        <w:pStyle w:val="Bibliography"/>
      </w:pPr>
      <w:r>
        <w:t xml:space="preserve">Expert Panel on Detection, Evaluation, and Treatment of High Blood Cholesterol in Adults. 2001.</w:t>
      </w:r>
      <w:r>
        <w:t xml:space="preserve"> </w:t>
      </w:r>
      <w:r>
        <w:t xml:space="preserve">“Executive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w:t>
      </w:r>
      <w:r>
        <w:t xml:space="preserve">285 (19): 2486–97.</w:t>
      </w:r>
    </w:p>
    <w:bookmarkEnd w:id="40"/>
    <w:bookmarkStart w:id="42"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1">
        <w:r>
          <w:rPr>
            <w:rStyle w:val="Hyperlink"/>
          </w:rPr>
          <w:t xml:space="preserve">https://doi.org/10.1056/NEJM198705283162204</w:t>
        </w:r>
      </w:hyperlink>
      <w:r>
        <w:t xml:space="preserve">.</w:t>
      </w:r>
    </w:p>
    <w:bookmarkEnd w:id="42"/>
    <w:bookmarkStart w:id="44"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43">
        <w:r>
          <w:rPr>
            <w:rStyle w:val="Hyperlink"/>
          </w:rPr>
          <w:t xml:space="preserve">https://doi.org/10.1111/jcmm.15579</w:t>
        </w:r>
      </w:hyperlink>
      <w:r>
        <w:t xml:space="preserve">.</w:t>
      </w:r>
    </w:p>
    <w:bookmarkEnd w:id="44"/>
    <w:bookmarkStart w:id="45" w:name="ref-mclaughlin2003is"/>
    <w:p>
      <w:pPr>
        <w:pStyle w:val="Bibliography"/>
      </w:pPr>
      <w:r>
        <w:t xml:space="preserve">McLaughlin, Tracey, Gerald Reaven, Fahim Abbasi, dkk. 2003.</w:t>
      </w:r>
      <w:r>
        <w:t xml:space="preserve"> </w:t>
      </w:r>
      <w:r>
        <w:t xml:space="preserve">“Is there a simple way to identify insulin-resistant individuals at increased risk of cardiovascular disease?”</w:t>
      </w:r>
      <w:r>
        <w:t xml:space="preserve"> </w:t>
      </w:r>
      <w:r>
        <w:rPr>
          <w:i/>
          <w:iCs/>
        </w:rPr>
        <w:t xml:space="preserve">The American Journal of Cardiology</w:t>
      </w:r>
      <w:r>
        <w:t xml:space="preserve"> </w:t>
      </w:r>
      <w:r>
        <w:t xml:space="preserve">92 (2): 121–24.</w:t>
      </w:r>
    </w:p>
    <w:bookmarkEnd w:id="45"/>
    <w:bookmarkStart w:id="47"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46">
        <w:r>
          <w:rPr>
            <w:rStyle w:val="Hyperlink"/>
          </w:rPr>
          <w:t xml:space="preserve">https://doi.org/10.1016/j.jacc.2015.05.069</w:t>
        </w:r>
      </w:hyperlink>
      <w:r>
        <w:t xml:space="preserve">.</w:t>
      </w:r>
    </w:p>
    <w:bookmarkEnd w:id="47"/>
    <w:bookmarkStart w:id="49"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48">
        <w:r>
          <w:rPr>
            <w:rStyle w:val="Hyperlink"/>
          </w:rPr>
          <w:t xml:space="preserve">https://doi.org/10.1161/ATVBAHA.108.173898</w:t>
        </w:r>
      </w:hyperlink>
      <w:r>
        <w:t xml:space="preserve">.</w:t>
      </w:r>
    </w:p>
    <w:bookmarkEnd w:id="49"/>
    <w:bookmarkStart w:id="50" w:name="ref-whelton2018acc"/>
    <w:p>
      <w:pPr>
        <w:pStyle w:val="Bibliography"/>
      </w:pPr>
      <w:r>
        <w:t xml:space="preserve">Whelton, Paul K, Robert M Carey, Wilbert S Aronow, dkk.</w:t>
      </w:r>
      <w:r>
        <w:t xml:space="preserve"> 2018.</w:t>
      </w:r>
      <w:r>
        <w:t xml:space="preserve"> </w:t>
      </w:r>
      <w:r>
        <w:t xml:space="preserve">“2017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w:t>
      </w:r>
      <w:r>
        <w:t xml:space="preserve">71 (19): e127–248.</w:t>
      </w:r>
    </w:p>
    <w:bookmarkEnd w:id="50"/>
    <w:bookmarkStart w:id="52"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51">
        <w:r>
          <w:rPr>
            <w:rStyle w:val="Hyperlink"/>
          </w:rPr>
          <w:t xml:space="preserve">https://doi.org/10.1016/j.ijcard.2018.02.100</w:t>
        </w:r>
      </w:hyperlink>
      <w:r>
        <w:t xml:space="preserve">.</w:t>
      </w:r>
    </w:p>
    <w:bookmarkEnd w:id="52"/>
    <w:bookmarkEnd w:id="53"/>
    <w:p>
      <w:r>
        <w:pict>
          <v:rect style="width:0;height:1.5pt" o:hralign="center" o:hrstd="t" o:hr="t"/>
        </w:pict>
      </w:r>
    </w:p>
    <w:bookmarkEnd w:id="54"/>
    <w:bookmarkStart w:id="65" w:name="supplementary-material"/>
    <w:p>
      <w:pPr>
        <w:pStyle w:val="Heading2"/>
      </w:pPr>
      <w:r>
        <w:t xml:space="preserve">Supplementary Material</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novel,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w:t>
      </w:r>
      <w:r>
        <w:t xml:space="preserve"> </w:t>
      </w:r>
      <w:r>
        <w:rPr>
          <w:i/>
          <w:iCs/>
        </w:rPr>
        <w:t xml:space="preserve">mathematical coupling</w:t>
      </w:r>
      <w:r>
        <w:t xml:space="preserve"> </w:t>
      </w:r>
      <w:r>
        <w:t xml:space="preserve">(kopling matematis),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55" w:name="tbl-supp-tyhba1c"/>
          <w:p>
            <w:pPr>
              <w:jc w:val="center"/>
            </w:pPr>
            <w:pPr>
              <w:jc w:val="left"/>
              <w:spacing w:before="200"/>
              <w:pStyle w:val="ImageCaption"/>
            </w:pPr>
            <w:r>
              <w:t xml:space="preserve">Tabel 6.</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55"/>
        </w:tc>
      </w:tr>
    </w:tbl>
    <w:tbl>
      <w:tblPr>
        <w:tblStyle w:val="Table"/>
        <w:tblW w:type="pct" w:w="5000"/>
        <w:tblLayout w:type="fixed"/>
        <w:tblLook w:firstRow="0" w:lastRow="0" w:firstColumn="0" w:lastColumn="0" w:noHBand="0" w:noVBand="0" w:val="0000"/>
      </w:tblPr>
      <w:tblGrid>
        <w:gridCol w:w="7920"/>
      </w:tblGrid>
      <w:tr>
        <w:tc>
          <w:tcPr/>
          <w:bookmarkStart w:id="56" w:name="tbl-supp-sua"/>
          <w:p>
            <w:pPr>
              <w:jc w:val="center"/>
            </w:pPr>
            <w:pPr>
              <w:jc w:val="left"/>
              <w:spacing w:before="200"/>
              <w:pStyle w:val="ImageCaption"/>
            </w:pPr>
            <w:r>
              <w:t xml:space="preserve">Tabel 7.</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56"/>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supp-roc"/>
          <w:p>
            <w:pPr>
              <w:pStyle w:val="Compact"/>
              <w:jc w:val="center"/>
            </w:pPr>
            <w:r>
              <w:drawing>
                <wp:inline>
                  <wp:extent cx="5029200" cy="4190999"/>
                  <wp:effectExtent b="0" l="0" r="0" t="0"/>
                  <wp:docPr descr="" title="" id="58" name="Picture"/>
                  <a:graphic>
                    <a:graphicData uri="http://schemas.openxmlformats.org/drawingml/2006/picture">
                      <pic:pic>
                        <pic:nvPicPr>
                          <pic:cNvPr descr="index_files/figure-docx/fig-supp-roc-1.png" id="59" name="Picture"/>
                          <pic:cNvPicPr>
                            <a:picLocks noChangeArrowheads="1" noChangeAspect="1"/>
                          </pic:cNvPicPr>
                        </pic:nvPicPr>
                        <pic:blipFill>
                          <a:blip r:embed="rId57"/>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60"/>
        </w:tc>
      </w:tr>
    </w:tbl>
    <w:p>
      <w:pPr>
        <w:pStyle w:val="BodyText"/>
      </w:pPr>
      <w:r>
        <w:rPr>
          <w:b/>
          <w:bCs/>
        </w:rPr>
        <w:t xml:space="preserve">Korelasi Komprehensif Seluruh Parameter Klinis dan Laboratorium</w:t>
      </w:r>
    </w:p>
    <w:p>
      <w:pPr>
        <w:pStyle w:val="BodyText"/>
      </w:pPr>
      <w:r>
        <w:t xml:space="preserve">Analisis korelasi linear yang komprehensif dilakukan untuk mengevaluasi hubungan antara seluruh variabel kontinu (termasuk usia, IMT, parameter laboratorium standar, dan indeks kardiometabolik) terhadap nilai logaritmik kalsifikasi koroner absolut (</w:t>
      </w:r>
      <m:oMath>
        <m:r>
          <m:rPr>
            <m:sty m:val="p"/>
          </m:rPr>
          <m:t>ln</m:t>
        </m:r>
        <m:r>
          <m:rPr>
            <m:sty m:val="p"/>
          </m:rPr>
          <m:t>[</m:t>
        </m:r>
        <m:r>
          <m:rPr>
            <m:nor/>
            <m:sty m:val="p"/>
          </m:rPr>
          <m:t>CAC</m:t>
        </m:r>
        <m:r>
          <m:rPr>
            <m:sty m:val="p"/>
          </m:rPr>
          <m:t>+</m:t>
        </m:r>
        <m:r>
          <m:t>1</m:t>
        </m:r>
        <m:r>
          <m:rPr>
            <m:sty m:val="p"/>
          </m:rPr>
          <m:t>]</m:t>
        </m:r>
      </m:oMath>
      <w:r>
        <w:t xml:space="preserve">). Hasil pemetaan ini menegaskan bahwa faktor degeneratif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405</m:t>
        </m:r>
        <m:r>
          <m:rPr>
            <m:sty m:val="p"/>
          </m:rPr>
          <m:t>,</m:t>
        </m:r>
        <m:r>
          <m:t>p</m:t>
        </m:r>
        <m:r>
          <m:rPr>
            <m:sty m:val="p"/>
          </m:rPr>
          <m:t>=</m:t>
        </m:r>
        <m:r>
          <m:t>0</m:t>
        </m:r>
        <m:r>
          <m:rPr>
            <m:sty m:val="p"/>
          </m:rPr>
          <m:t>,</m:t>
        </m:r>
        <m:r>
          <m:t>003</m:t>
        </m:r>
      </m:oMath>
      <w:r>
        <w:t xml:space="preserve">). Sebaliknya, seluruh parameter lipid sirkulasi beserta indeks turunannya (termasuk Rasio TG/HDL dan Non-HDL) secara konsisten menunjukkan korelasi linear yang bermakna namun dengan arah</w:t>
      </w:r>
      <w:r>
        <w:t xml:space="preserve"> </w:t>
      </w:r>
      <w:r>
        <w:rPr>
          <w:b/>
          <w:bCs/>
        </w:rPr>
        <w:t xml:space="preserve">negatif</w:t>
      </w:r>
      <w:r>
        <w:t xml:space="preserve">. Pola ini mendukung hipotesis bias indikasi terapi profilaksis agresif (statin) yang diberikan secara proporsional terhadap tingkat keparahan aterosklerosis klinis pasien (</w:t>
      </w:r>
      <w:r>
        <w:rPr>
          <w:b/>
          <w:bCs/>
        </w:rPr>
        <w:t xml:space="preserve">@fig-supp-scatter</w:t>
      </w:r>
      <w:r>
        <w:t xml:space="preserve">).</w:t>
      </w:r>
    </w:p>
    <w:tbl>
      <w:tblPr>
        <w:tblStyle w:val="Table"/>
        <w:tblW w:type="pct" w:w="5000"/>
        <w:tblLayout w:type="fixed"/>
        <w:tblLook w:firstRow="0" w:lastRow="0" w:firstColumn="0" w:lastColumn="0" w:noHBand="0" w:noVBand="0" w:val="0000"/>
      </w:tblPr>
      <w:tblGrid>
        <w:gridCol w:w="7920"/>
      </w:tblGrid>
      <w:tr>
        <w:tc>
          <w:tcPr/>
          <w:bookmarkStart w:id="64" w:name="fig-supp-scatter"/>
          <w:p>
            <w:pPr>
              <w:pStyle w:val="Compact"/>
              <w:jc w:val="center"/>
            </w:pPr>
            <w:r>
              <w:drawing>
                <wp:inline>
                  <wp:extent cx="5029200" cy="8283388"/>
                  <wp:effectExtent b="0" l="0" r="0" t="0"/>
                  <wp:docPr descr="" title="" id="62" name="Picture"/>
                  <a:graphic>
                    <a:graphicData uri="http://schemas.openxmlformats.org/drawingml/2006/picture">
                      <pic:pic>
                        <pic:nvPicPr>
                          <pic:cNvPr descr="index_files/figure-docx/fig-supp-scatter-1.png" id="63" name="Picture"/>
                          <pic:cNvPicPr>
                            <a:picLocks noChangeArrowheads="1" noChangeAspect="1"/>
                          </pic:cNvPicPr>
                        </pic:nvPicPr>
                        <pic:blipFill>
                          <a:blip r:embed="rId61"/>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Korelasi Parameter Klinis, Laboratorium Dasar, dan Indeks Kardiometabolik dengan Kalsifikasi Koroner</w:t>
            </w:r>
          </w:p>
          <w:bookmarkEnd w:id="64"/>
        </w:tc>
      </w:tr>
    </w:tbl>
    <w:bookmarkEnd w:id="65"/>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hyperlink" Id="rId36" Target="https://doi.org/10.1016/j.cmet.2011.07.015" TargetMode="External" /><Relationship Type="http://schemas.openxmlformats.org/officeDocument/2006/relationships/hyperlink" Id="rId51" Target="https://doi.org/10.1016/j.ijcard.2018.02.100" TargetMode="External" /><Relationship Type="http://schemas.openxmlformats.org/officeDocument/2006/relationships/hyperlink" Id="rId46" Target="https://doi.org/10.1016/j.jacc.2015.05.069" TargetMode="External" /><Relationship Type="http://schemas.openxmlformats.org/officeDocument/2006/relationships/hyperlink" Id="rId38" Target="https://doi.org/10.1016/j.jcct.2022.07.002" TargetMode="External" /><Relationship Type="http://schemas.openxmlformats.org/officeDocument/2006/relationships/hyperlink" Id="rId41" Target="https://doi.org/10.1056/NEJM198705283162204" TargetMode="External" /><Relationship Type="http://schemas.openxmlformats.org/officeDocument/2006/relationships/hyperlink" Id="rId43" Target="https://doi.org/10.1111/jcmm.15579" TargetMode="External" /><Relationship Type="http://schemas.openxmlformats.org/officeDocument/2006/relationships/hyperlink" Id="rId48"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16/j.cmet.2011.07.015" TargetMode="External" /><Relationship Type="http://schemas.openxmlformats.org/officeDocument/2006/relationships/hyperlink" Id="rId51" Target="https://doi.org/10.1016/j.ijcard.2018.02.100" TargetMode="External" /><Relationship Type="http://schemas.openxmlformats.org/officeDocument/2006/relationships/hyperlink" Id="rId46" Target="https://doi.org/10.1016/j.jacc.2015.05.069" TargetMode="External" /><Relationship Type="http://schemas.openxmlformats.org/officeDocument/2006/relationships/hyperlink" Id="rId38" Target="https://doi.org/10.1016/j.jcct.2022.07.002" TargetMode="External" /><Relationship Type="http://schemas.openxmlformats.org/officeDocument/2006/relationships/hyperlink" Id="rId41" Target="https://doi.org/10.1056/NEJM198705283162204" TargetMode="External" /><Relationship Type="http://schemas.openxmlformats.org/officeDocument/2006/relationships/hyperlink" Id="rId43" Target="https://doi.org/10.1111/jcmm.15579" TargetMode="External" /><Relationship Type="http://schemas.openxmlformats.org/officeDocument/2006/relationships/hyperlink" Id="rId48"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 Klinis dan Kardiometabolik terhadap Kerentanan Plak (High-Risk Plaque) dan Beban Kalsifikasi Koroner pada Pasien Diabetes Mellitus</dc:title>
  <dc:creator>Kadek Adit Wiryadana</dc:creator>
  <dc:language>id</dc:language>
  <cp:keywords>High-Risk Plaque, Coronary Artery Calcification, Cardiometabolic Index, Diabetes Mellitus, CTCA</cp:keywords>
  <dcterms:created xsi:type="dcterms:W3CDTF">2026-09-10T06:20:56Z</dcterms:created>
  <dcterms:modified xsi:type="dcterms:W3CDTF">2026-09-10T06:20:56Z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Computed Tomography Coronary Angiography (CTCA) digunakan secara luas untuk mendeteksi High-Risk Plaque (HRP) dan kalsifikasi arteri koroner (CAC). Selain faktor risiko konvensional, berbagai indeks kardiometabolik baru telah diusulkan; namun, penerapannya di ruang praktik klinis dunia nyata masih diperdebatkan dan terbatas, terutama pada populasi DM.Tujuan: Mengevaluasi asosiasi faktor risiko klinis dan laboratorium konvensional (usia, jenis kelamin, fungsi ginjal, profil lipid, HbA1c) dibandingkan dengan empat indeks kardiometabolik turunan (Indeks TyHbA1c, Rasio TG/HDL, Kolesterol Non-HDL, Rasio SUA/HDL) sebagai prediktor keberadaan HRP dan keparahan kalsifikasi arteri koroner (CAC).Metode: Studi potong lintang dilakukan pada pasien DM yang menjalani pemeriksaan CTCA di RSUP Ngoerah, Denpasar pada tahun 2025. Data dianalisis menggunakan uji komparasi bivariat berdasarkan status HRP dan korelasi linear terhadap skor CAC, dengan pemodelan regresi multivariat direncanakan sebagai langkah kondisional jika prasyarat kemaknaan awal terpenuhi.Hasil: 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statistik.Simpulan: Penuaan (Usia) merupakan determinan utama yang menyetir kerentanan plak dan beban kalsifikasi pada pasien DM. Indeks kardiometabolik turunan tidak memberikan nilai prediktif tambahan yang independen, kemungkinan akibat efek stabilisasi sekunder dari terapi statin yang diterima kohort ini sebelum prosedur CTCA.AbstractBackground: 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debated.Objective: To compare conventional clinical and laboratory risk factors (age, gender, renal function, lipid profile, HbA1c) against four derivative cardiometabolic indices (TyHbA1c Index, TG/HDL Ratio, Non-HDL Cholesterol, SUA/HDL Ratio) as predictors of HRP and the severity of coronary artery calcification (CAC).Methods: A cross-sectional study was conducted on DM patients undergoing CTCA at RSUP Ngoerah, Denpasar, in 2025. All candidate factors were compared bivariately by HRP status and linearly correlated with CAC scores, with multivariate regression planned conditionally upon meeting initial statistical thresholds.Results: 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significance.Conclusion: Age is the primary determinant driving plaque vulnerability and calcification burden in DM patients. The lack of independent predictive value from derivative indices may partly reflect indication bias from concurrent statin therapy, warranting caution before adopting these indices as standalone risk-stratification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10 September 2026, 14:20</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