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7A452" w14:textId="77777777" w:rsidR="00C61EB9" w:rsidRPr="006066B7" w:rsidRDefault="00000000" w:rsidP="006066B7">
      <w:pPr>
        <w:pStyle w:val="Titre1"/>
        <w:spacing w:before="300" w:after="200" w:line="360" w:lineRule="auto"/>
        <w:jc w:val="both"/>
        <w:rPr>
          <w:sz w:val="24"/>
          <w:szCs w:val="24"/>
        </w:rPr>
      </w:pPr>
      <w:r w:rsidRPr="006066B7">
        <w:rPr>
          <w:sz w:val="24"/>
          <w:szCs w:val="24"/>
        </w:rPr>
        <w:t>1. Contexte et justification</w:t>
      </w:r>
    </w:p>
    <w:p w14:paraId="29F7DCDE" w14:textId="77777777" w:rsidR="00C61EB9" w:rsidRPr="006066B7" w:rsidRDefault="00000000" w:rsidP="006066B7">
      <w:pPr>
        <w:spacing w:after="200" w:line="360" w:lineRule="auto"/>
        <w:jc w:val="both"/>
        <w:rPr>
          <w:sz w:val="24"/>
          <w:szCs w:val="24"/>
        </w:rPr>
      </w:pPr>
      <w:r w:rsidRPr="006066B7">
        <w:rPr>
          <w:sz w:val="24"/>
          <w:szCs w:val="24"/>
        </w:rPr>
        <w:t>Les sociétés des pays en développement, notamment africaines, sont caractérisées par l'existence de réalités socio-économiques qui attribuent, en général, des types d'activité aux populations en fonction de leur sexe. Le Bénin n'en fait pas exception. Dans de nombreux ménages béninois, les filles scolarisées assument une part importante des travaux domestiques après l'école. Ce constat ne pose pas seulement un problème de volume de travail : il pose surtout un problème de timing, d'interruptions et de fatigue. Une fille peut rester inscrite à l'école tout en perdant chaque jour les heures où elle devrait se reposer, faire ses devoirs ou réviser.</w:t>
      </w:r>
    </w:p>
    <w:p w14:paraId="24E10CE3" w14:textId="20D02714" w:rsidR="00C61EB9" w:rsidRPr="006066B7" w:rsidRDefault="00000000" w:rsidP="006066B7">
      <w:pPr>
        <w:spacing w:after="200" w:line="360" w:lineRule="auto"/>
        <w:jc w:val="both"/>
        <w:rPr>
          <w:sz w:val="24"/>
          <w:szCs w:val="24"/>
        </w:rPr>
      </w:pPr>
      <w:r w:rsidRPr="006066B7">
        <w:rPr>
          <w:sz w:val="24"/>
          <w:szCs w:val="24"/>
        </w:rPr>
        <w:t xml:space="preserve">Ce constat rejoint une littérature bien établie. Les travaux fondateurs sur le capital humain (Mincer, 1958, 1974 ; Schultz, 1960, 1963 ; Becker, 1975) ont montré le rôle central de l'éducation dans le développement économique, et plusieurs auteurs ont </w:t>
      </w:r>
      <w:r w:rsidR="006066B7">
        <w:rPr>
          <w:sz w:val="24"/>
          <w:szCs w:val="24"/>
        </w:rPr>
        <w:t>dès lors</w:t>
      </w:r>
      <w:r w:rsidRPr="006066B7">
        <w:rPr>
          <w:sz w:val="24"/>
          <w:szCs w:val="24"/>
        </w:rPr>
        <w:t xml:space="preserve"> établi que les inégalités de genre dans l'éducation freinent la croissance (Chaudhry, 2007 ; Klasen, 2002). Une part importante de ces inégalités s'explique par des normes de genre</w:t>
      </w:r>
      <w:r w:rsidR="006066B7" w:rsidRPr="006066B7">
        <w:rPr>
          <w:sz w:val="24"/>
          <w:szCs w:val="24"/>
        </w:rPr>
        <w:t xml:space="preserve">, </w:t>
      </w:r>
      <w:r w:rsidRPr="006066B7">
        <w:rPr>
          <w:sz w:val="24"/>
          <w:szCs w:val="24"/>
        </w:rPr>
        <w:t>règles sociales et attentes collectives qui définissent les comportements jugés appropriés pour chaque sexe (Bicchieri, 2017)</w:t>
      </w:r>
      <w:r w:rsidR="006066B7">
        <w:rPr>
          <w:sz w:val="24"/>
          <w:szCs w:val="24"/>
        </w:rPr>
        <w:t>,</w:t>
      </w:r>
      <w:r w:rsidRPr="006066B7">
        <w:rPr>
          <w:sz w:val="24"/>
          <w:szCs w:val="24"/>
        </w:rPr>
        <w:t xml:space="preserve"> qui assignent aux filles des responsabilités domestiques précoces et valorisent leurs compétences ménagères plus que leur instruction (Lambrecht &amp; al., 2018). Ces normes exposent les filles à des risques accrus d'interruption de scolarité</w:t>
      </w:r>
      <w:r w:rsidR="004C5A86">
        <w:rPr>
          <w:sz w:val="24"/>
          <w:szCs w:val="24"/>
        </w:rPr>
        <w:t>,</w:t>
      </w:r>
      <w:r w:rsidRPr="006066B7">
        <w:rPr>
          <w:sz w:val="24"/>
          <w:szCs w:val="24"/>
        </w:rPr>
        <w:t xml:space="preserve"> et d'échec des apprentissages (Mal &amp; al., 2022), et la littérature internationale confirme qu'elles consacrent davantage de temps que les garçons aux tâches domestiques non rémunérées, avec des effets documentés sur le temps d'étude, la fatigue, l'absentéisme et les résultats scolaires (UNICEF, 2023 ; UNESCO, 2024). Au Bénin, le Programme national pour l'accélération de l'éducation et du bien-être des filles identifie précisément l'inégale répartition des tâches domestiques comme un obstacle majeur à la réussite scolaire des filles.</w:t>
      </w:r>
    </w:p>
    <w:p w14:paraId="68B82AF1" w14:textId="406EB6F3" w:rsidR="00C61EB9" w:rsidRPr="006066B7" w:rsidRDefault="00000000" w:rsidP="006066B7">
      <w:pPr>
        <w:spacing w:after="200" w:line="360" w:lineRule="auto"/>
        <w:jc w:val="both"/>
        <w:rPr>
          <w:sz w:val="24"/>
          <w:szCs w:val="24"/>
        </w:rPr>
      </w:pPr>
      <w:r w:rsidRPr="006066B7">
        <w:rPr>
          <w:sz w:val="24"/>
          <w:szCs w:val="24"/>
        </w:rPr>
        <w:t>Les échanges de terrain (focus groups) conduits en amont de l'étude suggèrent une réalité plus nuancée qu'un simple désintérêt parental : beaucoup de parents valorisent l'éducation des filles, mais ne perçoivent pas toujours comment les routines domestiques quotidiennes entrent en conflit avec cette éducation. Les familles peuvent donc soutenir l'école en principe, tout en organisant la journée d'une manière qui rend l'apprentissage difficile en pratique</w:t>
      </w:r>
      <w:r w:rsidR="00DE4FF7">
        <w:rPr>
          <w:sz w:val="24"/>
          <w:szCs w:val="24"/>
        </w:rPr>
        <w:t>.</w:t>
      </w:r>
    </w:p>
    <w:p w14:paraId="326BBC9A" w14:textId="22B87F9B" w:rsidR="00DE4FF7" w:rsidRPr="00DE4FF7" w:rsidRDefault="00DE4FF7" w:rsidP="00DE4FF7">
      <w:pPr>
        <w:spacing w:after="200" w:line="360" w:lineRule="auto"/>
        <w:jc w:val="both"/>
        <w:rPr>
          <w:sz w:val="24"/>
          <w:szCs w:val="24"/>
        </w:rPr>
      </w:pPr>
      <w:r>
        <w:rPr>
          <w:sz w:val="24"/>
          <w:szCs w:val="24"/>
        </w:rPr>
        <w:t xml:space="preserve">C’est dans cet ordre d’idée que cette </w:t>
      </w:r>
      <w:r w:rsidR="00000000" w:rsidRPr="006066B7">
        <w:rPr>
          <w:sz w:val="24"/>
          <w:szCs w:val="24"/>
        </w:rPr>
        <w:t>étude</w:t>
      </w:r>
      <w:r>
        <w:rPr>
          <w:sz w:val="24"/>
          <w:szCs w:val="24"/>
        </w:rPr>
        <w:t xml:space="preserve"> intitule : « </w:t>
      </w:r>
      <w:r w:rsidRPr="00DE4FF7">
        <w:rPr>
          <w:sz w:val="24"/>
          <w:szCs w:val="24"/>
        </w:rPr>
        <w:t>N</w:t>
      </w:r>
      <w:r>
        <w:rPr>
          <w:sz w:val="24"/>
          <w:szCs w:val="24"/>
        </w:rPr>
        <w:t>ormes de genres</w:t>
      </w:r>
      <w:r w:rsidRPr="00DE4FF7">
        <w:rPr>
          <w:sz w:val="24"/>
          <w:szCs w:val="24"/>
        </w:rPr>
        <w:t>,</w:t>
      </w:r>
      <w:r>
        <w:rPr>
          <w:sz w:val="24"/>
          <w:szCs w:val="24"/>
        </w:rPr>
        <w:t xml:space="preserve"> travaux domestiques, education scolaire et aspirations des filles au Benin »</w:t>
      </w:r>
      <w:r w:rsidRPr="00DE4FF7">
        <w:rPr>
          <w:sz w:val="24"/>
          <w:szCs w:val="24"/>
        </w:rPr>
        <w:t xml:space="preserve"> </w:t>
      </w:r>
    </w:p>
    <w:p w14:paraId="7C544E84" w14:textId="753B251F" w:rsidR="00C61EB9" w:rsidRPr="006066B7" w:rsidRDefault="00000000" w:rsidP="006066B7">
      <w:pPr>
        <w:spacing w:after="200" w:line="360" w:lineRule="auto"/>
        <w:jc w:val="both"/>
        <w:rPr>
          <w:sz w:val="24"/>
          <w:szCs w:val="24"/>
        </w:rPr>
      </w:pPr>
      <w:r w:rsidRPr="006066B7">
        <w:rPr>
          <w:sz w:val="24"/>
          <w:szCs w:val="24"/>
        </w:rPr>
        <w:lastRenderedPageBreak/>
        <w:t xml:space="preserve"> teste si les familles peuvent mieux protéger le temps d'étude, le repos et la performance scolaire des filles lorsque les coûts scolaires des </w:t>
      </w:r>
      <w:r w:rsidR="00D35CDD">
        <w:rPr>
          <w:sz w:val="24"/>
          <w:szCs w:val="24"/>
        </w:rPr>
        <w:t>travaux domestiques</w:t>
      </w:r>
      <w:r w:rsidRPr="006066B7">
        <w:rPr>
          <w:sz w:val="24"/>
          <w:szCs w:val="24"/>
        </w:rPr>
        <w:t xml:space="preserve"> deviennent visibles (bras Salience), puis lorsque les parents reçoivent en plus des outils concrets pour réorganiser les routines domestiques sans augmenter la charge totale des enfants (bras Salience + Mise en œuvre), le tout comparé à un groupe contrôle. Dans les bras traités, une randomisation complémentaire du parent principalement ciblé (mère ou père), réalisée au niveau de l'école, permet d'examiner si le levier de changement passe davantage par la connaissance fine des routines ou par l'autorité décisionnelle au sein du ménage. Ce design distingue trois mécanismes : la saillance du coût scolaire des </w:t>
      </w:r>
      <w:r w:rsidR="00BE6218">
        <w:rPr>
          <w:sz w:val="24"/>
          <w:szCs w:val="24"/>
        </w:rPr>
        <w:t>travaux domestiques</w:t>
      </w:r>
      <w:r w:rsidRPr="006066B7">
        <w:rPr>
          <w:sz w:val="24"/>
          <w:szCs w:val="24"/>
        </w:rPr>
        <w:t xml:space="preserve">, le coût de reconsidération des routines existantes, et les frictions de mise en </w:t>
      </w:r>
      <w:r w:rsidR="00517E52" w:rsidRPr="006066B7">
        <w:rPr>
          <w:sz w:val="24"/>
          <w:szCs w:val="24"/>
        </w:rPr>
        <w:t>œuvre</w:t>
      </w:r>
      <w:r w:rsidR="00517E52">
        <w:rPr>
          <w:sz w:val="24"/>
          <w:szCs w:val="24"/>
        </w:rPr>
        <w:t xml:space="preserve"> ;</w:t>
      </w:r>
      <w:r w:rsidRPr="006066B7">
        <w:rPr>
          <w:sz w:val="24"/>
          <w:szCs w:val="24"/>
        </w:rPr>
        <w:t xml:space="preserve"> une distinction que justifie la littérature expérimentale récente, notamment Brar &amp; al. (2023) en Somalie, dont le design oppose précisément un traitement de saillance des normes de genre à un traitement combinant saillance et mécanisme de mise en œuvre.</w:t>
      </w:r>
    </w:p>
    <w:p w14:paraId="49551E88" w14:textId="77777777" w:rsidR="00C61EB9" w:rsidRPr="006066B7" w:rsidRDefault="00000000" w:rsidP="006066B7">
      <w:pPr>
        <w:pStyle w:val="Titre2"/>
        <w:spacing w:before="240" w:after="160" w:line="360" w:lineRule="auto"/>
        <w:jc w:val="both"/>
        <w:rPr>
          <w:sz w:val="24"/>
          <w:szCs w:val="24"/>
        </w:rPr>
      </w:pPr>
      <w:r w:rsidRPr="006066B7">
        <w:rPr>
          <w:sz w:val="24"/>
          <w:szCs w:val="24"/>
        </w:rPr>
        <w:t>1.1 Importance pour les politiques publiques</w:t>
      </w:r>
    </w:p>
    <w:p w14:paraId="6181158E" w14:textId="77777777" w:rsidR="00C61EB9" w:rsidRPr="006066B7" w:rsidRDefault="00000000" w:rsidP="006066B7">
      <w:pPr>
        <w:spacing w:after="200" w:line="360" w:lineRule="auto"/>
        <w:jc w:val="both"/>
        <w:rPr>
          <w:sz w:val="24"/>
          <w:szCs w:val="24"/>
        </w:rPr>
      </w:pPr>
      <w:r w:rsidRPr="006066B7">
        <w:rPr>
          <w:sz w:val="24"/>
          <w:szCs w:val="24"/>
        </w:rPr>
        <w:t>Les politiques d'éducation des filles se concentrent souvent sur l'accès à l'école, les frais scolaires, les infrastructures, les enseignants, la sécurité ou les normes de mariage. Ces dimensions sont essentielles, mais elles ne suffisent pas toujours. Une fille peut être inscrite, avoir une école proche, avoir des parents qui disent soutenir son éducation, et malgré tout manquer de temps calme pour apprendre.</w:t>
      </w:r>
    </w:p>
    <w:p w14:paraId="3024D3BC" w14:textId="11ADA86F" w:rsidR="00C61EB9" w:rsidRPr="006066B7" w:rsidRDefault="00000000" w:rsidP="006066B7">
      <w:pPr>
        <w:spacing w:after="200" w:line="360" w:lineRule="auto"/>
        <w:jc w:val="both"/>
        <w:rPr>
          <w:sz w:val="24"/>
          <w:szCs w:val="24"/>
        </w:rPr>
      </w:pPr>
      <w:r w:rsidRPr="006066B7">
        <w:rPr>
          <w:sz w:val="24"/>
          <w:szCs w:val="24"/>
        </w:rPr>
        <w:t>L'étude met l'accent sur un espace souvent invisible dans les politiques éducatives : l'après-école. C'est dans cette période que les devoirs, les révisions, le repos et les tâches domestiques entrent en concurrence directe. Si cette concurrence est mal organisée, l'école perd une partie de son effet potentiel</w:t>
      </w:r>
      <w:r w:rsidR="009F352D">
        <w:rPr>
          <w:sz w:val="24"/>
          <w:szCs w:val="24"/>
        </w:rPr>
        <w:t> ;</w:t>
      </w:r>
      <w:r w:rsidRPr="006066B7">
        <w:rPr>
          <w:sz w:val="24"/>
          <w:szCs w:val="24"/>
        </w:rPr>
        <w:t xml:space="preserve"> un constat que rejoint le Programme national béninois pour l'accélération de l'éducation et du bien-être des filles.</w:t>
      </w:r>
    </w:p>
    <w:p w14:paraId="0FDBA366" w14:textId="77777777" w:rsidR="00C61EB9" w:rsidRPr="006066B7" w:rsidRDefault="00000000" w:rsidP="006066B7">
      <w:pPr>
        <w:spacing w:after="200" w:line="360" w:lineRule="auto"/>
        <w:jc w:val="both"/>
        <w:rPr>
          <w:sz w:val="24"/>
          <w:szCs w:val="24"/>
        </w:rPr>
      </w:pPr>
      <w:r w:rsidRPr="006066B7">
        <w:rPr>
          <w:sz w:val="24"/>
          <w:szCs w:val="24"/>
        </w:rPr>
        <w:t>L'étude peut aider les décideurs à comprendre qu'une intervention légère auprès des parents peut compléter les politiques scolaires. Elle peut montrer comment les familles peuvent soutenir l'éducation des filles sans transfert monétaire, sans changer d'école, et sans bouleverser l'organisation familiale. L'enjeu est d'aider les ménages à mieux gérer les contraintes qu'ils ont déjà.</w:t>
      </w:r>
    </w:p>
    <w:p w14:paraId="78183A32" w14:textId="3E8D2ABD" w:rsidR="00C61EB9" w:rsidRPr="006066B7" w:rsidRDefault="00000000" w:rsidP="006066B7">
      <w:pPr>
        <w:spacing w:after="200" w:line="360" w:lineRule="auto"/>
        <w:jc w:val="both"/>
        <w:rPr>
          <w:sz w:val="24"/>
          <w:szCs w:val="24"/>
        </w:rPr>
      </w:pPr>
      <w:r w:rsidRPr="006066B7">
        <w:rPr>
          <w:sz w:val="24"/>
          <w:szCs w:val="24"/>
        </w:rPr>
        <w:t xml:space="preserve">Cette étude est aussi utile pour le passage à l'échelle. Si l'intervention fonctionne, elle peut être intégrée dans des programmes existants : réunions de parents, interventions communautaires, clubs scolaires, campagnes de sensibilisation, ou accompagnement par téléphone. Elle peut aussi informer les ministères et les ONG sur le type de message à privilégier : les effets limités observés par Wolf et </w:t>
      </w:r>
      <w:proofErr w:type="spellStart"/>
      <w:r w:rsidRPr="006066B7">
        <w:rPr>
          <w:sz w:val="24"/>
          <w:szCs w:val="24"/>
        </w:rPr>
        <w:t>Lichand</w:t>
      </w:r>
      <w:proofErr w:type="spellEnd"/>
      <w:r w:rsidRPr="006066B7">
        <w:rPr>
          <w:sz w:val="24"/>
          <w:szCs w:val="24"/>
        </w:rPr>
        <w:t xml:space="preserve"> (2023) en Côte d'Ivoire, où de simples messages informationnels n'ont guère amélioré les apprentissages, suggèrent qu'un message général du type « les filles doivent étudier » est moins utile qu'un message concret sur la fatigue, les interruptions et le créneau d'étude protégé combiné, si besoin, à des outils pratiques de réorganisation.</w:t>
      </w:r>
    </w:p>
    <w:p w14:paraId="547D8E91" w14:textId="77777777" w:rsidR="00C61EB9" w:rsidRPr="006066B7" w:rsidRDefault="00000000" w:rsidP="006066B7">
      <w:pPr>
        <w:pStyle w:val="Titre2"/>
        <w:spacing w:before="240" w:after="160" w:line="360" w:lineRule="auto"/>
        <w:jc w:val="both"/>
        <w:rPr>
          <w:sz w:val="24"/>
          <w:szCs w:val="24"/>
        </w:rPr>
      </w:pPr>
      <w:r w:rsidRPr="006066B7">
        <w:rPr>
          <w:sz w:val="24"/>
          <w:szCs w:val="24"/>
        </w:rPr>
        <w:t>1.2 Importance pour la recherche</w:t>
      </w:r>
    </w:p>
    <w:p w14:paraId="6FD33AFF" w14:textId="5AE69395" w:rsidR="00C61EB9" w:rsidRPr="006066B7" w:rsidRDefault="00000000" w:rsidP="006066B7">
      <w:pPr>
        <w:spacing w:after="200" w:line="360" w:lineRule="auto"/>
        <w:jc w:val="both"/>
        <w:rPr>
          <w:sz w:val="24"/>
          <w:szCs w:val="24"/>
        </w:rPr>
      </w:pPr>
      <w:r w:rsidRPr="006066B7">
        <w:rPr>
          <w:sz w:val="24"/>
          <w:szCs w:val="24"/>
        </w:rPr>
        <w:t xml:space="preserve">Sur le plan scientifique, l'étude répond à une question qui reste difficile : pourquoi certaines </w:t>
      </w:r>
      <w:r w:rsidR="004D5D8D">
        <w:rPr>
          <w:sz w:val="24"/>
          <w:szCs w:val="24"/>
        </w:rPr>
        <w:t>normes</w:t>
      </w:r>
      <w:r w:rsidRPr="006066B7">
        <w:rPr>
          <w:sz w:val="24"/>
          <w:szCs w:val="24"/>
        </w:rPr>
        <w:t xml:space="preserve"> domestiques persistent-elles même lorsque les parents déclarent vouloir la réussite scolaire des filles ? Une explication simple serait que les parents ne valorisent pas l'éducation des filles. Mais les focus groups suggèrent une réalité plus nuancée. Les parents peuvent valoriser l'école et continuer à demander beaucoup de tâches aux filles parce que les coûts scolaires de ces tâches ne sont pas pleinement visibles, ou parce que la réorganisation du ménage est difficile.</w:t>
      </w:r>
    </w:p>
    <w:p w14:paraId="158B3F2D" w14:textId="77777777" w:rsidR="00C61EB9" w:rsidRPr="006066B7" w:rsidRDefault="00000000" w:rsidP="006066B7">
      <w:pPr>
        <w:spacing w:after="200" w:line="360" w:lineRule="auto"/>
        <w:jc w:val="both"/>
        <w:rPr>
          <w:sz w:val="24"/>
          <w:szCs w:val="24"/>
        </w:rPr>
      </w:pPr>
      <w:r w:rsidRPr="006066B7">
        <w:rPr>
          <w:sz w:val="24"/>
          <w:szCs w:val="24"/>
        </w:rPr>
        <w:t>L'étude distingue donc trois mécanismes : la saillance du coût scolaire, le coût de reconsidération des routines existantes, et les frictions de mise en œuvre. Cette distinction, déjà mobilisée par Brar &amp; al. (2023) et appelée de leurs vœux par Beckwith et al. (2023), permet d'éviter une conclusion trop grossière selon laquelle les ménages « ne se soucient pas » des filles, et de tester si le problème vient plutôt d'un manque de visibilité, d'un défaut d'outils, ou d'une structure d'autorité intra-ménage.</w:t>
      </w:r>
    </w:p>
    <w:p w14:paraId="1A03629D" w14:textId="240A51B5" w:rsidR="00C61EB9" w:rsidRPr="006066B7" w:rsidRDefault="00000000" w:rsidP="006066B7">
      <w:pPr>
        <w:spacing w:after="200" w:line="360" w:lineRule="auto"/>
        <w:jc w:val="both"/>
        <w:rPr>
          <w:sz w:val="24"/>
          <w:szCs w:val="24"/>
        </w:rPr>
      </w:pPr>
      <w:r w:rsidRPr="006066B7">
        <w:rPr>
          <w:sz w:val="24"/>
          <w:szCs w:val="24"/>
        </w:rPr>
        <w:t>Le design est également utile parce qu'il compare deux traitements imbriqués et une randomisation croisée du parent ciblé</w:t>
      </w:r>
      <w:r w:rsidR="008613AA">
        <w:rPr>
          <w:sz w:val="24"/>
          <w:szCs w:val="24"/>
        </w:rPr>
        <w:t>,</w:t>
      </w:r>
      <w:r w:rsidRPr="006066B7">
        <w:rPr>
          <w:sz w:val="24"/>
          <w:szCs w:val="24"/>
        </w:rPr>
        <w:t xml:space="preserve"> un point rarement documenté par la littérature existante sur les interventions de normes de genre. Le bras Salience indique ce qui change lorsque le problème devient visible ; le bras Salience + Mise en œuvre indique ce qui s'ajoute lorsque les familles disposent d'un plan concret ; la comparaison mère/père indique si le levier de changement passe par l'information ou par l'autorité de décision. Ces analyses s'appuient sur une mesure fine de l'utilisation du temps, un enjeu méthodologique important puisque le choix du répondant peut générer des biais notables dans la mesure du travail domestique et du travail des enfants (Gado &amp; al., 2019).</w:t>
      </w:r>
    </w:p>
    <w:sectPr w:rsidR="00C61EB9" w:rsidRPr="006066B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64627"/>
    <w:multiLevelType w:val="hybridMultilevel"/>
    <w:tmpl w:val="33FCAC70"/>
    <w:lvl w:ilvl="0" w:tplc="BED2F7CA">
      <w:start w:val="1"/>
      <w:numFmt w:val="bullet"/>
      <w:lvlText w:val="●"/>
      <w:lvlJc w:val="left"/>
      <w:pPr>
        <w:ind w:left="720" w:hanging="360"/>
      </w:pPr>
    </w:lvl>
    <w:lvl w:ilvl="1" w:tplc="BD12EBAC">
      <w:start w:val="1"/>
      <w:numFmt w:val="bullet"/>
      <w:lvlText w:val="○"/>
      <w:lvlJc w:val="left"/>
      <w:pPr>
        <w:ind w:left="1440" w:hanging="360"/>
      </w:pPr>
    </w:lvl>
    <w:lvl w:ilvl="2" w:tplc="BACCD506">
      <w:start w:val="1"/>
      <w:numFmt w:val="bullet"/>
      <w:lvlText w:val="■"/>
      <w:lvlJc w:val="left"/>
      <w:pPr>
        <w:ind w:left="2160" w:hanging="360"/>
      </w:pPr>
    </w:lvl>
    <w:lvl w:ilvl="3" w:tplc="DEC276A4">
      <w:start w:val="1"/>
      <w:numFmt w:val="bullet"/>
      <w:lvlText w:val="●"/>
      <w:lvlJc w:val="left"/>
      <w:pPr>
        <w:ind w:left="2880" w:hanging="360"/>
      </w:pPr>
    </w:lvl>
    <w:lvl w:ilvl="4" w:tplc="EF485EB8">
      <w:start w:val="1"/>
      <w:numFmt w:val="bullet"/>
      <w:lvlText w:val="○"/>
      <w:lvlJc w:val="left"/>
      <w:pPr>
        <w:ind w:left="3600" w:hanging="360"/>
      </w:pPr>
    </w:lvl>
    <w:lvl w:ilvl="5" w:tplc="3A02E5E6">
      <w:start w:val="1"/>
      <w:numFmt w:val="bullet"/>
      <w:lvlText w:val="■"/>
      <w:lvlJc w:val="left"/>
      <w:pPr>
        <w:ind w:left="4320" w:hanging="360"/>
      </w:pPr>
    </w:lvl>
    <w:lvl w:ilvl="6" w:tplc="4C0E4160">
      <w:start w:val="1"/>
      <w:numFmt w:val="bullet"/>
      <w:lvlText w:val="●"/>
      <w:lvlJc w:val="left"/>
      <w:pPr>
        <w:ind w:left="5040" w:hanging="360"/>
      </w:pPr>
    </w:lvl>
    <w:lvl w:ilvl="7" w:tplc="4DE6FE70">
      <w:start w:val="1"/>
      <w:numFmt w:val="bullet"/>
      <w:lvlText w:val="●"/>
      <w:lvlJc w:val="left"/>
      <w:pPr>
        <w:ind w:left="5760" w:hanging="360"/>
      </w:pPr>
    </w:lvl>
    <w:lvl w:ilvl="8" w:tplc="B90A6E40">
      <w:start w:val="1"/>
      <w:numFmt w:val="bullet"/>
      <w:lvlText w:val="●"/>
      <w:lvlJc w:val="left"/>
      <w:pPr>
        <w:ind w:left="6480" w:hanging="360"/>
      </w:pPr>
    </w:lvl>
  </w:abstractNum>
  <w:num w:numId="1" w16cid:durableId="4832070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EB9"/>
    <w:rsid w:val="004A21AF"/>
    <w:rsid w:val="004C5A86"/>
    <w:rsid w:val="004D5D8D"/>
    <w:rsid w:val="00517E52"/>
    <w:rsid w:val="006066B7"/>
    <w:rsid w:val="008613AA"/>
    <w:rsid w:val="009F352D"/>
    <w:rsid w:val="00BE6218"/>
    <w:rsid w:val="00C61EB9"/>
    <w:rsid w:val="00D35CDD"/>
    <w:rsid w:val="00DE4FF7"/>
    <w:rsid w:val="00E4711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ADD46"/>
  <w15:docId w15:val="{242F4AEC-3624-428F-B394-8D03A7772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460A56-8881-4AB2-8265-4F541F65D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3</Pages>
  <Words>1186</Words>
  <Characters>6525</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Ronaldo.A AGBOHOU Ronaldo</cp:lastModifiedBy>
  <cp:revision>19</cp:revision>
  <dcterms:created xsi:type="dcterms:W3CDTF">2026-09-07T12:01:00Z</dcterms:created>
  <dcterms:modified xsi:type="dcterms:W3CDTF">2026-09-07T13:31:00Z</dcterms:modified>
</cp:coreProperties>
</file>