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1C03" w14:textId="77777777" w:rsidR="0059642F" w:rsidRDefault="00E4384C">
      <w:pPr>
        <w:spacing w:after="80"/>
        <w:jc w:val="center"/>
      </w:pPr>
      <w:r>
        <w:rPr>
          <w:b/>
          <w:bCs/>
          <w:color w:val="1F3864"/>
          <w:sz w:val="32"/>
          <w:szCs w:val="32"/>
        </w:rPr>
        <w:t>NOTE EXPLICATIVE</w:t>
      </w:r>
    </w:p>
    <w:p w14:paraId="01CD9F99" w14:textId="77777777" w:rsidR="0059642F" w:rsidRDefault="00E4384C">
      <w:pPr>
        <w:pBdr>
          <w:bottom w:val="single" w:sz="8" w:space="8" w:color="1F3864"/>
        </w:pBdr>
        <w:spacing w:after="300"/>
        <w:jc w:val="center"/>
      </w:pPr>
      <w:r>
        <w:rPr>
          <w:color w:val="2E5496"/>
          <w:sz w:val="26"/>
          <w:szCs w:val="26"/>
        </w:rPr>
        <w:t>Calcul de la puissance statistique et détermination de la taille d’échantillon</w:t>
      </w:r>
    </w:p>
    <w:p w14:paraId="48705167" w14:textId="77777777" w:rsidR="0059642F" w:rsidRDefault="00E4384C">
      <w:pPr>
        <w:spacing w:after="400"/>
        <w:jc w:val="center"/>
      </w:pPr>
      <w:r>
        <w:rPr>
          <w:i/>
          <w:iCs/>
          <w:color w:val="555555"/>
          <w:sz w:val="21"/>
          <w:szCs w:val="21"/>
        </w:rPr>
        <w:t>Document soumis au Comité National de Statistique</w:t>
      </w:r>
    </w:p>
    <w:p w14:paraId="17EFA554" w14:textId="77777777" w:rsidR="0059642F" w:rsidRDefault="00E4384C">
      <w:pPr>
        <w:pStyle w:val="Titre1"/>
      </w:pPr>
      <w:r>
        <w:t>1. Cadre méthodologique et dérivation de la formule</w:t>
      </w:r>
    </w:p>
    <w:p w14:paraId="5FA647E1" w14:textId="77777777" w:rsidR="0059642F" w:rsidRDefault="00E4384C">
      <w:pPr>
        <w:spacing w:after="180" w:line="300" w:lineRule="auto"/>
        <w:jc w:val="both"/>
      </w:pPr>
      <w:r>
        <w:t>L’équipe de recherche utilise la formule de puissance standard pour les essais contrôlés randomisés en grappes (cluster-</w:t>
      </w:r>
      <w:proofErr w:type="spellStart"/>
      <w:r>
        <w:t>randomized</w:t>
      </w:r>
      <w:proofErr w:type="spellEnd"/>
      <w:r>
        <w:t xml:space="preserve"> trials), puisque la randomisation s’opère au niveau de l’école alors que les résultats sont mesurés au niveau de la fille. Le point de départ est la formule de la taille minimale de l’effet détectable (MDE) proposée par Bloom (1995), qui, pour une randomisation individuelle, exprime le MDE comme le produit du seuil critique </w:t>
      </w:r>
      <w:proofErr w:type="gramStart"/>
      <w:r>
        <w:t>M(</w:t>
      </w:r>
      <w:proofErr w:type="gramEnd"/>
      <w:r>
        <w:t>κ, α) et de l’erreur-type de l’estimateur de l’effet de traitement :</w:t>
      </w:r>
    </w:p>
    <w:p w14:paraId="09205DB4" w14:textId="77777777" w:rsidR="0059642F" w:rsidRDefault="00E4384C">
      <w:pPr>
        <w:spacing w:before="160" w:after="160"/>
        <w:jc w:val="center"/>
      </w:pPr>
      <m:oMathPara>
        <m:oMathParaPr>
          <m:jc m:val="center"/>
        </m:oMathParaPr>
        <m:oMath>
          <m:r>
            <w:rPr>
              <w:rFonts w:ascii="Cambria Math" w:hAnsi="Cambria Math"/>
            </w:rPr>
            <m:t>MDE</m:t>
          </m:r>
          <m: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κ</m:t>
              </m:r>
              <m:r>
                <w:rPr>
                  <w:rFonts w:ascii="Cambria Math" w:hAnsi="Cambria Math"/>
                </w:rPr>
                <m:t xml:space="preserve">, </m:t>
              </m:r>
              <m:r>
                <w:rPr>
                  <w:rFonts w:ascii="Cambria Math" w:hAnsi="Cambria Math"/>
                </w:rPr>
                <m:t>α</m:t>
              </m:r>
            </m:e>
          </m:d>
          <m:r>
            <w:rPr>
              <w:rFonts w:ascii="Cambria Math" w:hAnsi="Cambria Math"/>
            </w:rPr>
            <m:t xml:space="preserve"> × </m:t>
          </m:r>
          <m:r>
            <w:rPr>
              <w:rFonts w:ascii="Cambria Math" w:hAnsi="Cambria Math"/>
            </w:rPr>
            <m:t>σ</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P</m:t>
                  </m:r>
                  <m:d>
                    <m:dPr>
                      <m:ctrlPr>
                        <w:rPr>
                          <w:rFonts w:ascii="Cambria Math" w:hAnsi="Cambria Math"/>
                        </w:rPr>
                      </m:ctrlPr>
                    </m:dPr>
                    <m:e>
                      <m:r>
                        <w:rPr>
                          <w:rFonts w:ascii="Cambria Math" w:hAnsi="Cambria Math"/>
                        </w:rPr>
                        <m:t xml:space="preserve">1 - </m:t>
                      </m:r>
                      <m:r>
                        <w:rPr>
                          <w:rFonts w:ascii="Cambria Math" w:hAnsi="Cambria Math"/>
                        </w:rPr>
                        <m:t>P</m:t>
                      </m:r>
                    </m:e>
                  </m:d>
                  <m:r>
                    <w:rPr>
                      <w:rFonts w:ascii="Cambria Math" w:hAnsi="Cambria Math"/>
                    </w:rPr>
                    <m:t>N</m:t>
                  </m:r>
                </m:den>
              </m:f>
            </m:e>
          </m:rad>
        </m:oMath>
      </m:oMathPara>
    </w:p>
    <w:p w14:paraId="39B78980" w14:textId="77777777" w:rsidR="0059642F" w:rsidRDefault="00E4384C">
      <w:pPr>
        <w:spacing w:after="180" w:line="300" w:lineRule="auto"/>
        <w:jc w:val="both"/>
      </w:pPr>
      <w:r>
        <w:t xml:space="preserve">Cette formulation suppose toutefois l’indépendance des observations, hypothèse qui ne tient pas dans le présent dispositif : les filles d’une même école partagent le même environnement scolaire, le même facilitateur et, dans les bras traités, la même intervention. Raudenbush (1997) montre qu’il convient alors de décomposer la variance en une composante inter-écoles et une composante intra-école, ce qui conduit à remplacer le terme 1/N par une expression faisant intervenir le coefficient de corrélation </w:t>
      </w:r>
      <w:proofErr w:type="spellStart"/>
      <w:r>
        <w:t>intra-classe</w:t>
      </w:r>
      <w:proofErr w:type="spellEnd"/>
      <w:r>
        <w:t xml:space="preserve"> ρ (ICC) :</w:t>
      </w:r>
    </w:p>
    <w:p w14:paraId="5122B570" w14:textId="77777777" w:rsidR="0059642F" w:rsidRDefault="00E4384C">
      <w:pPr>
        <w:spacing w:before="160" w:after="160"/>
        <w:jc w:val="center"/>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r>
            <w:rPr>
              <w:rFonts w:ascii="Cambria Math" w:hAnsi="Cambria Math"/>
            </w:rPr>
            <m:t>⟶</m:t>
          </m:r>
          <m:r>
            <w:rPr>
              <w:rFonts w:ascii="Cambria Math" w:hAnsi="Cambria Math"/>
            </w:rPr>
            <m:t xml:space="preserve">    </m:t>
          </m:r>
          <m:f>
            <m:fPr>
              <m:ctrlPr>
                <w:rPr>
                  <w:rFonts w:ascii="Cambria Math" w:hAnsi="Cambria Math"/>
                </w:rPr>
              </m:ctrlPr>
            </m:fPr>
            <m:num>
              <m:r>
                <w:rPr>
                  <w:rFonts w:ascii="Cambria Math" w:hAnsi="Cambria Math"/>
                </w:rPr>
                <m:t>ρ</m:t>
              </m:r>
              <m:r>
                <w:rPr>
                  <w:rFonts w:ascii="Cambria Math" w:hAnsi="Cambria Math"/>
                </w:rPr>
                <m:t xml:space="preserve"> + </m:t>
              </m:r>
              <m:f>
                <m:fPr>
                  <m:ctrlPr>
                    <w:rPr>
                      <w:rFonts w:ascii="Cambria Math" w:hAnsi="Cambria Math"/>
                    </w:rPr>
                  </m:ctrlPr>
                </m:fPr>
                <m:num>
                  <m:r>
                    <w:rPr>
                      <w:rFonts w:ascii="Cambria Math" w:hAnsi="Cambria Math"/>
                    </w:rPr>
                    <m:t xml:space="preserve">1 - </m:t>
                  </m:r>
                  <m:r>
                    <w:rPr>
                      <w:rFonts w:ascii="Cambria Math" w:hAnsi="Cambria Math"/>
                    </w:rPr>
                    <m:t>ρ</m:t>
                  </m:r>
                </m:num>
                <m:den>
                  <m:r>
                    <w:rPr>
                      <w:rFonts w:ascii="Cambria Math" w:hAnsi="Cambria Math"/>
                    </w:rPr>
                    <m:t>n</m:t>
                  </m:r>
                </m:den>
              </m:f>
            </m:num>
            <m:den>
              <m:r>
                <w:rPr>
                  <w:rFonts w:ascii="Cambria Math" w:hAnsi="Cambria Math"/>
                </w:rPr>
                <m:t>J</m:t>
              </m:r>
            </m:den>
          </m:f>
        </m:oMath>
      </m:oMathPara>
    </w:p>
    <w:p w14:paraId="3B975D88" w14:textId="77777777" w:rsidR="0059642F" w:rsidRDefault="00E4384C">
      <w:pPr>
        <w:spacing w:after="180" w:line="300" w:lineRule="auto"/>
        <w:jc w:val="both"/>
      </w:pPr>
      <w:proofErr w:type="gramStart"/>
      <w:r>
        <w:t>où</w:t>
      </w:r>
      <w:proofErr w:type="gramEnd"/>
      <w:r>
        <w:t xml:space="preserve"> n désigne le nombre de filles enquêtées par école et J le nombre d’écoles. Ignorer ρ reviendrait à sous-estimer les erreurs-types et, par conséquent, à surestimer la puissance réelle du design. Enfin, l’ajout de covariables mesurées à la ligne de base réduit la variance résiduelle du résultat d’un facteur (1 − R²), d’où un terme correctif supplémentaire (Duflo, </w:t>
      </w:r>
      <w:proofErr w:type="spellStart"/>
      <w:r>
        <w:t>Glennerster</w:t>
      </w:r>
      <w:proofErr w:type="spellEnd"/>
      <w:r>
        <w:t xml:space="preserve"> &amp; Kremer, 2007). La formule retenue s’écrit donc :</w:t>
      </w:r>
    </w:p>
    <w:p w14:paraId="38EC0E10" w14:textId="77777777" w:rsidR="0059642F" w:rsidRDefault="00E4384C">
      <w:pPr>
        <w:pBdr>
          <w:top w:val="single" w:sz="6" w:space="12" w:color="2E5496"/>
          <w:left w:val="single" w:sz="6" w:space="12" w:color="2E5496"/>
          <w:bottom w:val="single" w:sz="6" w:space="12" w:color="2E5496"/>
          <w:right w:val="single" w:sz="6" w:space="12" w:color="2E5496"/>
        </w:pBdr>
        <w:spacing w:before="240" w:after="240"/>
        <w:jc w:val="center"/>
      </w:pPr>
      <m:oMathPara>
        <m:oMathParaPr>
          <m:jc m:val="center"/>
        </m:oMathParaPr>
        <m:oMath>
          <m:r>
            <w:rPr>
              <w:rFonts w:ascii="Cambria Math" w:hAnsi="Cambria Math"/>
            </w:rPr>
            <m:t>MDE</m:t>
          </m:r>
          <m: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κ</m:t>
              </m:r>
              <m:r>
                <w:rPr>
                  <w:rFonts w:ascii="Cambria Math" w:hAnsi="Cambria Math"/>
                </w:rPr>
                <m:t xml:space="preserve">, </m:t>
              </m:r>
              <m:r>
                <w:rPr>
                  <w:rFonts w:ascii="Cambria Math" w:hAnsi="Cambria Math"/>
                </w:rPr>
                <m:t>α</m:t>
              </m:r>
            </m:e>
          </m:d>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P</m:t>
                  </m:r>
                  <m:d>
                    <m:dPr>
                      <m:ctrlPr>
                        <w:rPr>
                          <w:rFonts w:ascii="Cambria Math" w:hAnsi="Cambria Math"/>
                        </w:rPr>
                      </m:ctrlPr>
                    </m:dPr>
                    <m:e>
                      <m:r>
                        <w:rPr>
                          <w:rFonts w:ascii="Cambria Math" w:hAnsi="Cambria Math"/>
                        </w:rPr>
                        <m:t xml:space="preserve">1 - </m:t>
                      </m:r>
                      <m:r>
                        <w:rPr>
                          <w:rFonts w:ascii="Cambria Math" w:hAnsi="Cambria Math"/>
                        </w:rPr>
                        <m:t>P</m:t>
                      </m:r>
                    </m:e>
                  </m:d>
                  <m:r>
                    <w:rPr>
                      <w:rFonts w:ascii="Cambria Math" w:hAnsi="Cambria Math"/>
                    </w:rPr>
                    <m:t>J</m:t>
                  </m:r>
                </m:den>
              </m:f>
            </m:e>
          </m:rad>
          <m:r>
            <w:rPr>
              <w:rFonts w:ascii="Cambria Math" w:hAnsi="Cambria Math"/>
            </w:rPr>
            <m:t xml:space="preserve"> × </m:t>
          </m:r>
          <m:rad>
            <m:radPr>
              <m:degHide m:val="1"/>
              <m:ctrlPr>
                <w:rPr>
                  <w:rFonts w:ascii="Cambria Math" w:hAnsi="Cambria Math"/>
                </w:rPr>
              </m:ctrlPr>
            </m:radPr>
            <m:deg/>
            <m:e>
              <m:r>
                <w:rPr>
                  <w:rFonts w:ascii="Cambria Math" w:hAnsi="Cambria Math"/>
                </w:rPr>
                <m:t>ρ</m:t>
              </m:r>
              <m:r>
                <w:rPr>
                  <w:rFonts w:ascii="Cambria Math" w:hAnsi="Cambria Math"/>
                </w:rPr>
                <m:t xml:space="preserve"> + </m:t>
              </m:r>
              <m:f>
                <m:fPr>
                  <m:ctrlPr>
                    <w:rPr>
                      <w:rFonts w:ascii="Cambria Math" w:hAnsi="Cambria Math"/>
                    </w:rPr>
                  </m:ctrlPr>
                </m:fPr>
                <m:num>
                  <m:r>
                    <w:rPr>
                      <w:rFonts w:ascii="Cambria Math" w:hAnsi="Cambria Math"/>
                    </w:rPr>
                    <m:t xml:space="preserve">1 - </m:t>
                  </m:r>
                  <m:r>
                    <w:rPr>
                      <w:rFonts w:ascii="Cambria Math" w:hAnsi="Cambria Math"/>
                    </w:rPr>
                    <m:t>ρ</m:t>
                  </m:r>
                </m:num>
                <m:den>
                  <m:r>
                    <w:rPr>
                      <w:rFonts w:ascii="Cambria Math" w:hAnsi="Cambria Math"/>
                    </w:rPr>
                    <m:t>n</m:t>
                  </m:r>
                </m:den>
              </m:f>
            </m:e>
          </m:rad>
          <m:r>
            <w:rPr>
              <w:rFonts w:ascii="Cambria Math" w:hAnsi="Cambria Math"/>
            </w:rPr>
            <m:t xml:space="preserve"> × </m:t>
          </m:r>
          <m:r>
            <w:rPr>
              <w:rFonts w:ascii="Cambria Math" w:hAnsi="Cambria Math"/>
            </w:rPr>
            <m:t>σ</m:t>
          </m:r>
          <m:r>
            <w:rPr>
              <w:rFonts w:ascii="Cambria Math" w:hAnsi="Cambria Math"/>
            </w:rPr>
            <m:t xml:space="preserve">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R</m:t>
                  </m:r>
                </m:e>
                <m:sup>
                  <m:r>
                    <w:rPr>
                      <w:rFonts w:ascii="Cambria Math" w:hAnsi="Cambria Math"/>
                    </w:rPr>
                    <m:t>2</m:t>
                  </m:r>
                </m:sup>
              </m:sSup>
            </m:e>
          </m:rad>
        </m:oMath>
      </m:oMathPara>
    </w:p>
    <w:p w14:paraId="52E4459E" w14:textId="77777777" w:rsidR="0059642F" w:rsidRDefault="00E4384C">
      <w:pPr>
        <w:pStyle w:val="Titre1"/>
      </w:pPr>
      <w:r>
        <w:t>2. Définition des paramètres</w:t>
      </w:r>
    </w:p>
    <w:p w14:paraId="1A4F9505" w14:textId="77777777" w:rsidR="0059642F" w:rsidRDefault="00E4384C">
      <w:pPr>
        <w:spacing w:after="180" w:line="300" w:lineRule="auto"/>
        <w:jc w:val="both"/>
      </w:pPr>
      <w:proofErr w:type="gramStart"/>
      <w:r>
        <w:rPr>
          <w:b/>
          <w:bCs/>
        </w:rPr>
        <w:t>M(</w:t>
      </w:r>
      <w:proofErr w:type="gramEnd"/>
      <w:r>
        <w:rPr>
          <w:b/>
          <w:bCs/>
        </w:rPr>
        <w:t>κ, α) = t1−κ + tα</w:t>
      </w:r>
      <w:r>
        <w:t xml:space="preserve"> — somme des statistiques t pour la puissance κ et le seuil de signification α, soit environ 2,8 pour une puissance de 80 % et un seuil bilatéral de 5 %.</w:t>
      </w:r>
    </w:p>
    <w:p w14:paraId="7A149364" w14:textId="77777777" w:rsidR="0059642F" w:rsidRDefault="00E4384C">
      <w:pPr>
        <w:spacing w:after="180" w:line="300" w:lineRule="auto"/>
        <w:jc w:val="both"/>
      </w:pPr>
      <w:r>
        <w:rPr>
          <w:b/>
          <w:bCs/>
        </w:rPr>
        <w:t>P</w:t>
      </w:r>
      <w:r>
        <w:t xml:space="preserve"> — proportion de l’échantillon affectée au bras traité (ratio d’allocation).</w:t>
      </w:r>
    </w:p>
    <w:p w14:paraId="02675479" w14:textId="77777777" w:rsidR="0059642F" w:rsidRDefault="00E4384C">
      <w:pPr>
        <w:spacing w:after="180" w:line="300" w:lineRule="auto"/>
        <w:jc w:val="both"/>
      </w:pPr>
      <w:r>
        <w:rPr>
          <w:b/>
          <w:bCs/>
        </w:rPr>
        <w:lastRenderedPageBreak/>
        <w:t>J</w:t>
      </w:r>
      <w:r>
        <w:t xml:space="preserve"> — nombre total d’écoles (grappes) mobilisées dans la comparaison considérée.</w:t>
      </w:r>
    </w:p>
    <w:p w14:paraId="51206439" w14:textId="77777777" w:rsidR="0059642F" w:rsidRDefault="00E4384C">
      <w:pPr>
        <w:spacing w:after="180" w:line="300" w:lineRule="auto"/>
        <w:jc w:val="both"/>
      </w:pPr>
      <w:proofErr w:type="gramStart"/>
      <w:r>
        <w:rPr>
          <w:b/>
          <w:bCs/>
        </w:rPr>
        <w:t>n</w:t>
      </w:r>
      <w:proofErr w:type="gramEnd"/>
      <w:r>
        <w:t xml:space="preserve"> — nombre de filles enquêtées par école.</w:t>
      </w:r>
    </w:p>
    <w:p w14:paraId="62B1B660" w14:textId="77777777" w:rsidR="0059642F" w:rsidRDefault="00E4384C">
      <w:pPr>
        <w:spacing w:after="180" w:line="300" w:lineRule="auto"/>
        <w:jc w:val="both"/>
      </w:pPr>
      <w:proofErr w:type="gramStart"/>
      <w:r>
        <w:rPr>
          <w:b/>
          <w:bCs/>
        </w:rPr>
        <w:t>ρ</w:t>
      </w:r>
      <w:proofErr w:type="gramEnd"/>
      <w:r>
        <w:t xml:space="preserve"> — coefficient de corrélation intra-école (ICC).</w:t>
      </w:r>
    </w:p>
    <w:p w14:paraId="56AE5F49" w14:textId="77777777" w:rsidR="0059642F" w:rsidRDefault="00E4384C">
      <w:pPr>
        <w:spacing w:after="180" w:line="300" w:lineRule="auto"/>
        <w:jc w:val="both"/>
      </w:pPr>
      <w:proofErr w:type="gramStart"/>
      <w:r>
        <w:rPr>
          <w:b/>
          <w:bCs/>
        </w:rPr>
        <w:t>σ</w:t>
      </w:r>
      <w:proofErr w:type="gramEnd"/>
      <w:r>
        <w:t xml:space="preserve"> — écart-type de la variable de résultat.</w:t>
      </w:r>
    </w:p>
    <w:p w14:paraId="7A8A4843" w14:textId="77777777" w:rsidR="0059642F" w:rsidRDefault="00E4384C">
      <w:pPr>
        <w:spacing w:after="180" w:line="300" w:lineRule="auto"/>
        <w:jc w:val="both"/>
      </w:pPr>
      <w:r>
        <w:rPr>
          <w:b/>
          <w:bCs/>
        </w:rPr>
        <w:t>R²</w:t>
      </w:r>
      <w:r>
        <w:t xml:space="preserve"> — part de la variance du résultat expliquée par les covariables de </w:t>
      </w:r>
      <w:proofErr w:type="spellStart"/>
      <w:r>
        <w:t>baseline</w:t>
      </w:r>
      <w:proofErr w:type="spellEnd"/>
      <w:r>
        <w:t>.</w:t>
      </w:r>
    </w:p>
    <w:p w14:paraId="26031CE4" w14:textId="77777777" w:rsidR="0059642F" w:rsidRDefault="00E4384C">
      <w:pPr>
        <w:pStyle w:val="Titre1"/>
      </w:pPr>
      <w:r>
        <w:t>3. Dimensionnement de l’échantillon</w:t>
      </w:r>
    </w:p>
    <w:p w14:paraId="607815B1" w14:textId="77777777" w:rsidR="0059642F" w:rsidRDefault="00E4384C">
      <w:pPr>
        <w:spacing w:after="180" w:line="300" w:lineRule="auto"/>
        <w:jc w:val="both"/>
      </w:pPr>
      <w:r>
        <w:t xml:space="preserve">Le dimensionnement procède de l’objectif fixé, à savoir la détection d’un effet de 0,20 écart-type, sous les hypothèses P = 0,5 (allocation équilibrée), ρ = 0,10, σ = 1 et R² = 0, cette dernière constituant une hypothèse conservatrice puisqu’aucune </w:t>
      </w:r>
      <w:proofErr w:type="spellStart"/>
      <w:r>
        <w:t>covariable</w:t>
      </w:r>
      <w:proofErr w:type="spellEnd"/>
      <w:r>
        <w:t xml:space="preserve"> n’est créditée à ce stade. Les deux paramètres à déterminer, n et J, n’exercent pas le même pouvoir sur la précision, et c’est cette asymétrie qui guide l’ensemble du design.</w:t>
      </w:r>
    </w:p>
    <w:p w14:paraId="79E51059" w14:textId="77777777" w:rsidR="0059642F" w:rsidRDefault="00E4384C">
      <w:pPr>
        <w:pStyle w:val="Titre2"/>
      </w:pPr>
      <w:r>
        <w:t>3.1 Nombre de filles par école (n)</w:t>
      </w:r>
    </w:p>
    <w:p w14:paraId="63B1197F" w14:textId="77777777" w:rsidR="0059642F" w:rsidRDefault="00E4384C">
      <w:pPr>
        <w:spacing w:after="180" w:line="300" w:lineRule="auto"/>
        <w:jc w:val="both"/>
      </w:pPr>
      <w:r>
        <w:t xml:space="preserve">Le nombre de filles par école n’intervient qu’à travers le terme de grappe, dans lequel la composante (1 − </w:t>
      </w:r>
      <w:proofErr w:type="gramStart"/>
      <w:r>
        <w:t>ρ)/</w:t>
      </w:r>
      <w:proofErr w:type="gramEnd"/>
      <w:r>
        <w:t>n s’amenuise à mesure que n croît, sans jamais faire disparaître le plancher ρ = 0,10 :</w:t>
      </w:r>
    </w:p>
    <w:p w14:paraId="1C2BFE06" w14:textId="77777777" w:rsidR="0059642F" w:rsidRDefault="00E4384C">
      <w:pPr>
        <w:spacing w:before="160" w:after="160"/>
        <w:jc w:val="center"/>
      </w:pPr>
      <m:oMathPara>
        <m:oMathParaPr>
          <m:jc m:val="center"/>
        </m:oMathParaPr>
        <m:oMath>
          <m:rad>
            <m:radPr>
              <m:degHide m:val="1"/>
              <m:ctrlPr>
                <w:rPr>
                  <w:rFonts w:ascii="Cambria Math" w:hAnsi="Cambria Math"/>
                </w:rPr>
              </m:ctrlPr>
            </m:radPr>
            <m:deg/>
            <m:e>
              <m:r>
                <w:rPr>
                  <w:rFonts w:ascii="Cambria Math" w:hAnsi="Cambria Math"/>
                </w:rPr>
                <m:t>ρ</m:t>
              </m:r>
              <m:r>
                <w:rPr>
                  <w:rFonts w:ascii="Cambria Math" w:hAnsi="Cambria Math"/>
                </w:rPr>
                <m:t xml:space="preserve"> + </m:t>
              </m:r>
              <m:f>
                <m:fPr>
                  <m:ctrlPr>
                    <w:rPr>
                      <w:rFonts w:ascii="Cambria Math" w:hAnsi="Cambria Math"/>
                    </w:rPr>
                  </m:ctrlPr>
                </m:fPr>
                <m:num>
                  <m:r>
                    <w:rPr>
                      <w:rFonts w:ascii="Cambria Math" w:hAnsi="Cambria Math"/>
                    </w:rPr>
                    <m:t xml:space="preserve">1 - </m:t>
                  </m:r>
                  <m:r>
                    <w:rPr>
                      <w:rFonts w:ascii="Cambria Math" w:hAnsi="Cambria Math"/>
                    </w:rPr>
                    <m:t>ρ</m:t>
                  </m:r>
                </m:num>
                <m:den>
                  <m:r>
                    <w:rPr>
                      <w:rFonts w:ascii="Cambria Math" w:hAnsi="Cambria Math"/>
                    </w:rPr>
                    <m:t>n</m:t>
                  </m:r>
                </m:den>
              </m:f>
            </m:e>
          </m:rad>
          <m:r>
            <w:rPr>
              <w:rFonts w:ascii="Cambria Math" w:hAnsi="Cambria Math"/>
            </w:rPr>
            <m:t xml:space="preserve">    </m:t>
          </m:r>
          <m:r>
            <w:rPr>
              <w:rFonts w:ascii="Cambria Math" w:hAnsi="Cambria Math"/>
            </w:rPr>
            <m:t>avec</m:t>
          </m:r>
          <m:r>
            <w:rPr>
              <w:rFonts w:ascii="Cambria Math" w:hAnsi="Cambria Math"/>
            </w:rPr>
            <m:t xml:space="preserve"> </m:t>
          </m:r>
          <m:r>
            <w:rPr>
              <w:rFonts w:ascii="Cambria Math" w:hAnsi="Cambria Math"/>
            </w:rPr>
            <m:t>n</m:t>
          </m:r>
          <m:r>
            <w:rPr>
              <w:rFonts w:ascii="Cambria Math" w:hAnsi="Cambria Math"/>
            </w:rPr>
            <m:t xml:space="preserve"> = 30 :    </m:t>
          </m:r>
          <m:rad>
            <m:radPr>
              <m:degHide m:val="1"/>
              <m:ctrlPr>
                <w:rPr>
                  <w:rFonts w:ascii="Cambria Math" w:hAnsi="Cambria Math"/>
                </w:rPr>
              </m:ctrlPr>
            </m:radPr>
            <m:deg/>
            <m:e>
              <m:r>
                <w:rPr>
                  <w:rFonts w:ascii="Cambria Math" w:hAnsi="Cambria Math"/>
                </w:rPr>
                <m:t xml:space="preserve">0,10 + </m:t>
              </m:r>
              <m:f>
                <m:fPr>
                  <m:ctrlPr>
                    <w:rPr>
                      <w:rFonts w:ascii="Cambria Math" w:hAnsi="Cambria Math"/>
                    </w:rPr>
                  </m:ctrlPr>
                </m:fPr>
                <m:num>
                  <m:r>
                    <w:rPr>
                      <w:rFonts w:ascii="Cambria Math" w:hAnsi="Cambria Math"/>
                    </w:rPr>
                    <m:t>0,90</m:t>
                  </m:r>
                </m:num>
                <m:den>
                  <m:r>
                    <w:rPr>
                      <w:rFonts w:ascii="Cambria Math" w:hAnsi="Cambria Math"/>
                    </w:rPr>
                    <m:t>30</m:t>
                  </m:r>
                </m:den>
              </m:f>
            </m:e>
          </m:rad>
          <m:r>
            <w:rPr>
              <w:rFonts w:ascii="Cambria Math" w:hAnsi="Cambria Math"/>
            </w:rPr>
            <m:t xml:space="preserve"> = 0,361</m:t>
          </m:r>
        </m:oMath>
      </m:oMathPara>
    </w:p>
    <w:p w14:paraId="5EBCDA55" w14:textId="77777777" w:rsidR="0059642F" w:rsidRDefault="00E4384C">
      <w:pPr>
        <w:spacing w:after="180" w:line="300" w:lineRule="auto"/>
        <w:jc w:val="both"/>
      </w:pPr>
      <w:r>
        <w:t>Au-delà d’une trentaine d’élèves, l’apport marginal d’une fille supplémentaire devient négligeable : le passage de n = 30 à n = 60 ne réduit le MDE que de 0,20 à 0,19 écart-type, pour un doublement du coût de collecte. Le design retient en conséquence n = 30 filles enquêtées par école, point d’équilibre entre précision statistique et faisabilité opérationnelle.</w:t>
      </w:r>
    </w:p>
    <w:p w14:paraId="0E10EAE3" w14:textId="77777777" w:rsidR="0059642F" w:rsidRDefault="00E4384C">
      <w:pPr>
        <w:pStyle w:val="Titre2"/>
      </w:pPr>
      <w:r>
        <w:t>3.2 Nombre d’écoles (J)</w:t>
      </w:r>
    </w:p>
    <w:p w14:paraId="3A0FD18B" w14:textId="77777777" w:rsidR="0059642F" w:rsidRDefault="00E4384C">
      <w:pPr>
        <w:spacing w:after="180" w:line="300" w:lineRule="auto"/>
        <w:jc w:val="both"/>
      </w:pPr>
      <w:r>
        <w:t>Le nombre d’écoles agit en revanche en racine de J, sans plancher, et constitue donc le véritable levier de la puissance. En fixant n = 30, la formule se réduit à :</w:t>
      </w:r>
    </w:p>
    <w:p w14:paraId="0BE69B7D" w14:textId="77777777" w:rsidR="0059642F" w:rsidRDefault="00E4384C">
      <w:pPr>
        <w:spacing w:before="160" w:after="160"/>
        <w:jc w:val="center"/>
      </w:pPr>
      <m:oMathPara>
        <m:oMathParaPr>
          <m:jc m:val="center"/>
        </m:oMathParaPr>
        <m:oMath>
          <m:r>
            <w:rPr>
              <w:rFonts w:ascii="Cambria Math" w:hAnsi="Cambria Math"/>
            </w:rPr>
            <m:t>MDE</m:t>
          </m:r>
          <m:r>
            <w:rPr>
              <w:rFonts w:ascii="Cambria Math" w:hAnsi="Cambria Math"/>
            </w:rPr>
            <m:t xml:space="preserve"> = </m:t>
          </m:r>
          <m:f>
            <m:fPr>
              <m:ctrlPr>
                <w:rPr>
                  <w:rFonts w:ascii="Cambria Math" w:hAnsi="Cambria Math"/>
                </w:rPr>
              </m:ctrlPr>
            </m:fPr>
            <m:num>
              <m:r>
                <w:rPr>
                  <w:rFonts w:ascii="Cambria Math" w:hAnsi="Cambria Math"/>
                </w:rPr>
                <m:t>2,019</m:t>
              </m:r>
            </m:num>
            <m:den>
              <m:rad>
                <m:radPr>
                  <m:degHide m:val="1"/>
                  <m:ctrlPr>
                    <w:rPr>
                      <w:rFonts w:ascii="Cambria Math" w:hAnsi="Cambria Math"/>
                    </w:rPr>
                  </m:ctrlPr>
                </m:radPr>
                <m:deg/>
                <m:e>
                  <m:r>
                    <w:rPr>
                      <w:rFonts w:ascii="Cambria Math" w:hAnsi="Cambria Math"/>
                    </w:rPr>
                    <m:t>J</m:t>
                  </m:r>
                </m:e>
              </m:rad>
            </m:den>
          </m:f>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J</m:t>
          </m:r>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2,019</m:t>
                      </m:r>
                    </m:num>
                    <m:den>
                      <m:r>
                        <w:rPr>
                          <w:rFonts w:ascii="Cambria Math" w:hAnsi="Cambria Math"/>
                        </w:rPr>
                        <m:t>MDE</m:t>
                      </m:r>
                    </m:den>
                  </m:f>
                </m:e>
              </m:d>
            </m:e>
            <m:sup>
              <m:r>
                <w:rPr>
                  <w:rFonts w:ascii="Cambria Math" w:hAnsi="Cambria Math"/>
                </w:rPr>
                <m:t>2</m:t>
              </m:r>
            </m:sup>
          </m:sSup>
        </m:oMath>
      </m:oMathPara>
    </w:p>
    <w:p w14:paraId="28E7C3A8" w14:textId="77777777" w:rsidR="0059642F" w:rsidRDefault="00E4384C">
      <w:pPr>
        <w:spacing w:after="180" w:line="300" w:lineRule="auto"/>
        <w:jc w:val="both"/>
      </w:pPr>
      <w:r>
        <w:t>L’égalisation à 0,20 écart-type donne racine de J ≈ 10,1, soit J ≈ 102 écoles par comparaison, arrondi à 100 écoles, c’est-à-dire 50 écoles par bras. Cette valeur restitue un MDE de 0,202 écart-type. Le protocole comportant trois bras (T1, T2 et Contrôle), le dispositif mobilise au total 150 écoles et 4 500 filles suivies à l’enquête finale.</w:t>
      </w:r>
    </w:p>
    <w:p w14:paraId="5E49D52D" w14:textId="77777777" w:rsidR="0059642F" w:rsidRDefault="00E4384C">
      <w:pPr>
        <w:spacing w:before="160" w:after="16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total</m:t>
              </m:r>
            </m:sub>
          </m:sSub>
          <m:r>
            <w:rPr>
              <w:rFonts w:ascii="Cambria Math" w:hAnsi="Cambria Math"/>
            </w:rPr>
            <m:t xml:space="preserve"> = 3 × 50 = 150 é</m:t>
          </m:r>
          <m:r>
            <w:rPr>
              <w:rFonts w:ascii="Cambria Math" w:hAnsi="Cambria Math"/>
            </w:rPr>
            <m:t>coles</m:t>
          </m:r>
          <m:r>
            <w:rPr>
              <w:rFonts w:ascii="Cambria Math" w:hAnsi="Cambria Math"/>
            </w:rPr>
            <m:t xml:space="preserve">        </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total</m:t>
              </m:r>
            </m:sub>
          </m:sSub>
          <m:r>
            <w:rPr>
              <w:rFonts w:ascii="Cambria Math" w:hAnsi="Cambria Math"/>
            </w:rPr>
            <m:t xml:space="preserve"> × </m:t>
          </m:r>
          <m:r>
            <w:rPr>
              <w:rFonts w:ascii="Cambria Math" w:hAnsi="Cambria Math"/>
            </w:rPr>
            <m:t>n</m:t>
          </m:r>
          <m:r>
            <w:rPr>
              <w:rFonts w:ascii="Cambria Math" w:hAnsi="Cambria Math"/>
            </w:rPr>
            <m:t xml:space="preserve"> = 150 × 30 = 4 500 </m:t>
          </m:r>
          <m:r>
            <w:rPr>
              <w:rFonts w:ascii="Cambria Math" w:hAnsi="Cambria Math"/>
            </w:rPr>
            <m:t>filles</m:t>
          </m:r>
        </m:oMath>
      </m:oMathPara>
    </w:p>
    <w:p w14:paraId="518414AF" w14:textId="77777777" w:rsidR="0059642F" w:rsidRDefault="00E4384C">
      <w:pPr>
        <w:pStyle w:val="Titre1"/>
      </w:pPr>
      <w:r>
        <w:t>4. Prise en compte de l’attrition et échantillon final</w:t>
      </w:r>
    </w:p>
    <w:p w14:paraId="531A68A5" w14:textId="77777777" w:rsidR="0059642F" w:rsidRDefault="00E4384C">
      <w:pPr>
        <w:spacing w:after="180" w:line="300" w:lineRule="auto"/>
        <w:jc w:val="both"/>
      </w:pPr>
      <w:r>
        <w:t>Les effectifs ci-dessus correspondent aux observations effectivement exploitables en fin d’étude et doivent par conséquent être majorés en amont pour absorber l’attrition. Un taux de 20 % est anticipé au niveau des filles entre la ligne de base et l’enquête finale, sous l’effet des déménagements, des abandons scolaires et des absences répétées. Le recrutement initial par école est donc porté à :</w:t>
      </w:r>
    </w:p>
    <w:p w14:paraId="372D7170" w14:textId="77777777" w:rsidR="0059642F" w:rsidRDefault="00E4384C">
      <w:pPr>
        <w:spacing w:before="160" w:after="16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 xml:space="preserve">1 - </m:t>
              </m:r>
              <m:r>
                <w:rPr>
                  <w:rFonts w:ascii="Cambria Math" w:hAnsi="Cambria Math"/>
                </w:rPr>
                <m:t>taux</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attrition</m:t>
              </m:r>
            </m:den>
          </m:f>
          <m:r>
            <w:rPr>
              <w:rFonts w:ascii="Cambria Math" w:hAnsi="Cambria Math"/>
            </w:rPr>
            <m:t xml:space="preserve"> = </m:t>
          </m:r>
          <m:f>
            <m:fPr>
              <m:ctrlPr>
                <w:rPr>
                  <w:rFonts w:ascii="Cambria Math" w:hAnsi="Cambria Math"/>
                </w:rPr>
              </m:ctrlPr>
            </m:fPr>
            <m:num>
              <m:r>
                <w:rPr>
                  <w:rFonts w:ascii="Cambria Math" w:hAnsi="Cambria Math"/>
                </w:rPr>
                <m:t>30</m:t>
              </m:r>
            </m:num>
            <m:den>
              <m:r>
                <w:rPr>
                  <w:rFonts w:ascii="Cambria Math" w:hAnsi="Cambria Math"/>
                </w:rPr>
                <m:t>1 - 0,20</m:t>
              </m:r>
            </m:den>
          </m:f>
          <m:r>
            <w:rPr>
              <w:rFonts w:ascii="Cambria Math" w:hAnsi="Cambria Math"/>
            </w:rPr>
            <m:t xml:space="preserve"> = 37,5 </m:t>
          </m:r>
          <m:r>
            <w:rPr>
              <w:rFonts w:ascii="Cambria Math" w:hAnsi="Cambria Math"/>
            </w:rPr>
            <m:t>⟶</m:t>
          </m:r>
          <m:r>
            <w:rPr>
              <w:rFonts w:ascii="Cambria Math" w:hAnsi="Cambria Math"/>
            </w:rPr>
            <m:t xml:space="preserve"> 38 </m:t>
          </m:r>
          <m:r>
            <w:rPr>
              <w:rFonts w:ascii="Cambria Math" w:hAnsi="Cambria Math"/>
            </w:rPr>
            <m:t>filles</m:t>
          </m:r>
          <m:r>
            <w:rPr>
              <w:rFonts w:ascii="Cambria Math" w:hAnsi="Cambria Math"/>
            </w:rPr>
            <m:t xml:space="preserve"> </m:t>
          </m:r>
          <m:r>
            <w:rPr>
              <w:rFonts w:ascii="Cambria Math" w:hAnsi="Cambria Math"/>
            </w:rPr>
            <m:t>par</m:t>
          </m:r>
          <m:r>
            <w:rPr>
              <w:rFonts w:ascii="Cambria Math" w:hAnsi="Cambria Math"/>
            </w:rPr>
            <m:t xml:space="preserve"> é</m:t>
          </m:r>
          <m:r>
            <w:rPr>
              <w:rFonts w:ascii="Cambria Math" w:hAnsi="Cambria Math"/>
            </w:rPr>
            <m:t>cole</m:t>
          </m:r>
        </m:oMath>
      </m:oMathPara>
    </w:p>
    <w:p w14:paraId="656593F3" w14:textId="77777777" w:rsidR="0059642F" w:rsidRDefault="00E4384C">
      <w:pPr>
        <w:spacing w:after="180" w:line="300" w:lineRule="auto"/>
        <w:jc w:val="both"/>
      </w:pPr>
      <w:r>
        <w:t>L’échantillon final à recruter à la ligne de base s’établit ainsi à :</w:t>
      </w:r>
    </w:p>
    <w:p w14:paraId="04E9CF50" w14:textId="77777777" w:rsidR="0059642F" w:rsidRDefault="00E4384C">
      <w:pPr>
        <w:spacing w:before="160" w:after="16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 xml:space="preserve"> = 150 × 38 = 5 700 </m:t>
          </m:r>
          <m:r>
            <w:rPr>
              <w:rFonts w:ascii="Cambria Math" w:hAnsi="Cambria Math"/>
            </w:rPr>
            <m:t>filles</m:t>
          </m:r>
        </m:oMath>
      </m:oMathPara>
    </w:p>
    <w:p w14:paraId="18C2D11C" w14:textId="77777777" w:rsidR="0059642F" w:rsidRDefault="00E4384C">
      <w:pPr>
        <w:spacing w:after="180" w:line="300" w:lineRule="auto"/>
        <w:jc w:val="both"/>
      </w:pPr>
      <w:r>
        <w:t>Il importe de souligner que l’attrition individuelle affecte peu la puissance : une érosion ramenant n à 24 ne dégraderait le MDE que de 0,20 à 0,21 écart-type, le plancher ρ dominant l’expression. La perte d’écoles entières, qui agit directement sur J, serait en revanche bien plus dommageable. La stratégie de rétention privilégiera donc l’ancrage institutionnel des écoles participantes — conventions signées, points focaux désignés, suivi trimestriel — plutôt que le seul sur-échantillonnage des élèves.</w:t>
      </w:r>
    </w:p>
    <w:p w14:paraId="04DCD69F" w14:textId="77777777" w:rsidR="0059642F" w:rsidRDefault="00E4384C">
      <w:pPr>
        <w:pStyle w:val="Titre1"/>
      </w:pPr>
      <w:r>
        <w:t>5. Interprétation</w:t>
      </w:r>
    </w:p>
    <w:p w14:paraId="27225520" w14:textId="77777777" w:rsidR="0059642F" w:rsidRDefault="00E4384C">
      <w:pPr>
        <w:spacing w:after="180" w:line="300" w:lineRule="auto"/>
        <w:jc w:val="both"/>
      </w:pPr>
      <w:r>
        <w:t>Au total, le design permet de détecter de manière fiable un effet supérieur à 0,20 écart-type sur les indicateurs de temps d’étude, de repos ou d’interruptions, pour chacune des deux comparaisons principales (T1 vs Contrôle et T2 vs Contrôle). Un effet d’ampleur inférieure risquerait de ne pas atteindre la signification statistique même s’il existe réellement sur le terrain.</w:t>
      </w:r>
    </w:p>
    <w:p w14:paraId="6B286B6A" w14:textId="77777777" w:rsidR="0059642F" w:rsidRPr="00BD601C" w:rsidRDefault="00E4384C">
      <w:pPr>
        <w:pStyle w:val="Titre1"/>
        <w:rPr>
          <w:lang w:val="en-US"/>
        </w:rPr>
      </w:pPr>
      <w:proofErr w:type="spellStart"/>
      <w:r w:rsidRPr="00BD601C">
        <w:rPr>
          <w:lang w:val="en-US"/>
        </w:rPr>
        <w:t>Références</w:t>
      </w:r>
      <w:proofErr w:type="spellEnd"/>
    </w:p>
    <w:p w14:paraId="08ADA398" w14:textId="77777777" w:rsidR="0059642F" w:rsidRPr="00BD601C" w:rsidRDefault="00E4384C">
      <w:pPr>
        <w:spacing w:after="120" w:line="300" w:lineRule="auto"/>
        <w:jc w:val="both"/>
        <w:rPr>
          <w:lang w:val="en-US"/>
        </w:rPr>
      </w:pPr>
      <w:r w:rsidRPr="00BD601C">
        <w:rPr>
          <w:lang w:val="en-US"/>
        </w:rPr>
        <w:t xml:space="preserve">Bloom, H. S. (1995). « Minimum Detectable Effects: A Simple Way to Report the Statistical Power of Experimental Designs », </w:t>
      </w:r>
      <w:r w:rsidRPr="00BD601C">
        <w:rPr>
          <w:i/>
          <w:iCs/>
          <w:lang w:val="en-US"/>
        </w:rPr>
        <w:t>Evaluation Review</w:t>
      </w:r>
      <w:r w:rsidRPr="00BD601C">
        <w:rPr>
          <w:lang w:val="en-US"/>
        </w:rPr>
        <w:t>, 19(5), 547–556.</w:t>
      </w:r>
    </w:p>
    <w:p w14:paraId="0869A8DB" w14:textId="77777777" w:rsidR="0059642F" w:rsidRPr="00BD601C" w:rsidRDefault="00E4384C">
      <w:pPr>
        <w:spacing w:after="120" w:line="300" w:lineRule="auto"/>
        <w:jc w:val="both"/>
        <w:rPr>
          <w:lang w:val="en-US"/>
        </w:rPr>
      </w:pPr>
      <w:r w:rsidRPr="00BD601C">
        <w:rPr>
          <w:lang w:val="en-US"/>
        </w:rPr>
        <w:t xml:space="preserve">Raudenbush, S. W. (1997). « Statistical Analysis and Optimal Design for Cluster Randomized Trials », </w:t>
      </w:r>
      <w:r w:rsidRPr="00BD601C">
        <w:rPr>
          <w:i/>
          <w:iCs/>
          <w:lang w:val="en-US"/>
        </w:rPr>
        <w:t>Psychological Methods</w:t>
      </w:r>
      <w:r w:rsidRPr="00BD601C">
        <w:rPr>
          <w:lang w:val="en-US"/>
        </w:rPr>
        <w:t>, 2(2), 173–185.</w:t>
      </w:r>
    </w:p>
    <w:p w14:paraId="587F9A98" w14:textId="77777777" w:rsidR="0059642F" w:rsidRDefault="00E4384C">
      <w:pPr>
        <w:spacing w:after="120" w:line="300" w:lineRule="auto"/>
        <w:jc w:val="both"/>
        <w:rPr>
          <w:lang w:val="en-US"/>
        </w:rPr>
      </w:pPr>
      <w:r w:rsidRPr="00BD601C">
        <w:rPr>
          <w:lang w:val="en-US"/>
        </w:rPr>
        <w:t xml:space="preserve">Duflo, E., </w:t>
      </w:r>
      <w:proofErr w:type="spellStart"/>
      <w:r w:rsidRPr="00BD601C">
        <w:rPr>
          <w:lang w:val="en-US"/>
        </w:rPr>
        <w:t>Glennerster</w:t>
      </w:r>
      <w:proofErr w:type="spellEnd"/>
      <w:r w:rsidRPr="00BD601C">
        <w:rPr>
          <w:lang w:val="en-US"/>
        </w:rPr>
        <w:t xml:space="preserve">, R. &amp; Kremer, M. (2007). « Using Randomization in Development Economics Research: A Toolkit », </w:t>
      </w:r>
      <w:r w:rsidRPr="00BD601C">
        <w:rPr>
          <w:i/>
          <w:iCs/>
          <w:lang w:val="en-US"/>
        </w:rPr>
        <w:t>Handbook of Development Economics</w:t>
      </w:r>
      <w:r w:rsidRPr="00BD601C">
        <w:rPr>
          <w:lang w:val="en-US"/>
        </w:rPr>
        <w:t>, vol. 4, 3895–3962.</w:t>
      </w:r>
    </w:p>
    <w:p w14:paraId="02B0E1FB" w14:textId="23EB1ED9" w:rsidR="00BD601C" w:rsidRDefault="00BD601C">
      <w:pPr>
        <w:spacing w:after="120" w:line="300" w:lineRule="auto"/>
        <w:jc w:val="both"/>
        <w:rPr>
          <w:lang w:val="en-US"/>
        </w:rPr>
      </w:pPr>
    </w:p>
    <w:p w14:paraId="5AAC6BD8" w14:textId="77777777" w:rsidR="004834B5" w:rsidRDefault="004834B5">
      <w:pPr>
        <w:spacing w:after="120" w:line="300" w:lineRule="auto"/>
        <w:jc w:val="both"/>
        <w:rPr>
          <w:lang w:val="en-US"/>
        </w:rPr>
      </w:pPr>
    </w:p>
    <w:p w14:paraId="035A362F" w14:textId="634282B9" w:rsidR="004834B5" w:rsidRDefault="004834B5">
      <w:pPr>
        <w:spacing w:after="120" w:line="300" w:lineRule="auto"/>
        <w:jc w:val="both"/>
        <w:rPr>
          <w:lang w:val="en-US"/>
        </w:rPr>
      </w:pPr>
      <w:r>
        <w:rPr>
          <w:lang w:val="en-US"/>
        </w:rPr>
        <w:t>SHORT PARAGRAPH</w:t>
      </w:r>
    </w:p>
    <w:p w14:paraId="0A3F83F3" w14:textId="77777777" w:rsidR="004834B5" w:rsidRDefault="004834B5">
      <w:pPr>
        <w:spacing w:after="120" w:line="300" w:lineRule="auto"/>
        <w:jc w:val="both"/>
        <w:rPr>
          <w:lang w:val="en-US"/>
        </w:rPr>
      </w:pPr>
    </w:p>
    <w:p w14:paraId="28D3B33E" w14:textId="77777777" w:rsidR="004834B5" w:rsidRPr="004834B5" w:rsidRDefault="004834B5" w:rsidP="004834B5">
      <w:pPr>
        <w:spacing w:after="120" w:line="300" w:lineRule="auto"/>
        <w:jc w:val="both"/>
      </w:pPr>
      <w:r w:rsidRPr="004834B5">
        <w:t>L'équipe de recherche utilise la formule de puissance standard pour les essais contrôlés randomisés en grappes (</w:t>
      </w:r>
      <w:r w:rsidRPr="004834B5">
        <w:rPr>
          <w:i/>
          <w:iCs/>
        </w:rPr>
        <w:t>cluster-</w:t>
      </w:r>
      <w:proofErr w:type="spellStart"/>
      <w:r w:rsidRPr="004834B5">
        <w:rPr>
          <w:i/>
          <w:iCs/>
        </w:rPr>
        <w:t>randomized</w:t>
      </w:r>
      <w:proofErr w:type="spellEnd"/>
      <w:r w:rsidRPr="004834B5">
        <w:rPr>
          <w:i/>
          <w:iCs/>
        </w:rPr>
        <w:t xml:space="preserve"> trials</w:t>
      </w:r>
      <w:r w:rsidRPr="004834B5">
        <w:t xml:space="preserve">), puisque la randomisation s'opère au niveau de l'école alors que les résultats sont mesurés au niveau de la fille. Le point de départ est la formule de la taille minimale de l'effet détectable proposée par Bloom (1995), qui, pour une randomisation individuelle, exprime le MDE comme le produit du seuil critique </w:t>
      </w:r>
      <w:proofErr w:type="gramStart"/>
      <w:r w:rsidRPr="004834B5">
        <w:t>M(</w:t>
      </w:r>
      <w:proofErr w:type="gramEnd"/>
      <w:r w:rsidRPr="004834B5">
        <w:t>κ, α) et de l'erreur-type de l'estimateur de l'effet de traitement, soit </w:t>
      </w:r>
    </w:p>
    <w:p w14:paraId="5C901E53" w14:textId="1B3DAD5C" w:rsidR="004834B5" w:rsidRPr="004834B5" w:rsidRDefault="004834B5" w:rsidP="004834B5">
      <w:pPr>
        <w:spacing w:after="120" w:line="300" w:lineRule="auto"/>
        <w:jc w:val="both"/>
      </w:pPr>
      <w:r w:rsidRPr="004834B5">
        <w:drawing>
          <wp:inline distT="0" distB="0" distL="0" distR="0" wp14:anchorId="2211775C" wp14:editId="0811502E">
            <wp:extent cx="2355850" cy="495300"/>
            <wp:effectExtent l="0" t="0" r="6350" b="0"/>
            <wp:docPr id="45532035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5850" cy="495300"/>
                    </a:xfrm>
                    <a:prstGeom prst="rect">
                      <a:avLst/>
                    </a:prstGeom>
                    <a:noFill/>
                    <a:ln>
                      <a:noFill/>
                    </a:ln>
                  </pic:spPr>
                </pic:pic>
              </a:graphicData>
            </a:graphic>
          </wp:inline>
        </w:drawing>
      </w:r>
      <w:r w:rsidRPr="004834B5">
        <w:t> </w:t>
      </w:r>
    </w:p>
    <w:p w14:paraId="1FE836F6" w14:textId="77777777" w:rsidR="004834B5" w:rsidRPr="004834B5" w:rsidRDefault="004834B5" w:rsidP="004834B5">
      <w:pPr>
        <w:spacing w:after="120" w:line="300" w:lineRule="auto"/>
        <w:jc w:val="both"/>
      </w:pPr>
      <w:r w:rsidRPr="004834B5">
        <w:t> Cette formulation suppose toutefois l'indépendance des observations, hypothèse qui ne tient pas ici : les filles d'une même école partagent le même environnement scolaire, le même facilitateur et, dans les bras traités, la même intervention. Raudenbush (1997) montre qu'il convient alors de décomposer la variance en une composante inter-écoles et une composante intra-école, ce qui conduit à remplacer le terme 1/N. Soit</w:t>
      </w:r>
    </w:p>
    <w:p w14:paraId="2A9148EB" w14:textId="4E9387A1" w:rsidR="004834B5" w:rsidRPr="004834B5" w:rsidRDefault="004834B5" w:rsidP="004834B5">
      <w:pPr>
        <w:spacing w:after="120" w:line="300" w:lineRule="auto"/>
        <w:jc w:val="both"/>
      </w:pPr>
      <w:r w:rsidRPr="004834B5">
        <w:drawing>
          <wp:inline distT="0" distB="0" distL="0" distR="0" wp14:anchorId="131CCDB4" wp14:editId="045867D2">
            <wp:extent cx="1282700" cy="450850"/>
            <wp:effectExtent l="0" t="0" r="0" b="6350"/>
            <wp:docPr id="125992167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450850"/>
                    </a:xfrm>
                    <a:prstGeom prst="rect">
                      <a:avLst/>
                    </a:prstGeom>
                    <a:noFill/>
                    <a:ln>
                      <a:noFill/>
                    </a:ln>
                  </pic:spPr>
                </pic:pic>
              </a:graphicData>
            </a:graphic>
          </wp:inline>
        </w:drawing>
      </w:r>
      <w:r w:rsidRPr="004834B5">
        <w:t xml:space="preserve"> ,</w:t>
      </w:r>
    </w:p>
    <w:p w14:paraId="22A73923" w14:textId="77777777" w:rsidR="004834B5" w:rsidRPr="004834B5" w:rsidRDefault="004834B5" w:rsidP="004834B5">
      <w:pPr>
        <w:spacing w:after="120" w:line="300" w:lineRule="auto"/>
        <w:jc w:val="both"/>
      </w:pPr>
      <w:proofErr w:type="gramStart"/>
      <w:r w:rsidRPr="004834B5">
        <w:t>où</w:t>
      </w:r>
      <w:proofErr w:type="gramEnd"/>
      <w:r w:rsidRPr="004834B5">
        <w:t xml:space="preserve"> ρ désigne le coefficient de corrélation </w:t>
      </w:r>
      <w:proofErr w:type="spellStart"/>
      <w:r w:rsidRPr="004834B5">
        <w:t>intra-classe</w:t>
      </w:r>
      <w:proofErr w:type="spellEnd"/>
      <w:r w:rsidRPr="004834B5">
        <w:t xml:space="preserve"> (ICC), n le nombre de filles par école et J le nombre d'écoles. Enfin, l'ajout de covariables mesurées à la ligne de base réduit la variance résiduelle d'un facteur (1−R²), d'où un terme correctif 1−R² (Duflo, </w:t>
      </w:r>
      <w:proofErr w:type="spellStart"/>
      <w:r w:rsidRPr="004834B5">
        <w:t>Glennerster</w:t>
      </w:r>
      <w:proofErr w:type="spellEnd"/>
      <w:r w:rsidRPr="004834B5">
        <w:t xml:space="preserve"> &amp; Kremer, 2007). On a donc :</w:t>
      </w:r>
    </w:p>
    <w:p w14:paraId="0447BE6C" w14:textId="390C2EE3" w:rsidR="004834B5" w:rsidRPr="004834B5" w:rsidRDefault="004834B5" w:rsidP="004834B5">
      <w:pPr>
        <w:spacing w:after="120" w:line="300" w:lineRule="auto"/>
        <w:jc w:val="both"/>
      </w:pPr>
      <w:r w:rsidRPr="004834B5">
        <w:rPr>
          <w:b/>
          <w:bCs/>
        </w:rPr>
        <w:drawing>
          <wp:inline distT="0" distB="0" distL="0" distR="0" wp14:anchorId="530C3E98" wp14:editId="4697650B">
            <wp:extent cx="4121150" cy="508000"/>
            <wp:effectExtent l="0" t="0" r="0" b="6350"/>
            <wp:docPr id="3066279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1150" cy="508000"/>
                    </a:xfrm>
                    <a:prstGeom prst="rect">
                      <a:avLst/>
                    </a:prstGeom>
                    <a:noFill/>
                    <a:ln>
                      <a:noFill/>
                    </a:ln>
                  </pic:spPr>
                </pic:pic>
              </a:graphicData>
            </a:graphic>
          </wp:inline>
        </w:drawing>
      </w:r>
      <w:r w:rsidRPr="004834B5">
        <w:rPr>
          <w:b/>
          <w:bCs/>
        </w:rPr>
        <w:t> </w:t>
      </w:r>
    </w:p>
    <w:p w14:paraId="4F60EC62" w14:textId="77777777" w:rsidR="004834B5" w:rsidRPr="004834B5" w:rsidRDefault="004834B5" w:rsidP="004834B5">
      <w:pPr>
        <w:spacing w:after="120" w:line="300" w:lineRule="auto"/>
        <w:jc w:val="both"/>
      </w:pPr>
      <w:proofErr w:type="gramStart"/>
      <w:r w:rsidRPr="004834B5">
        <w:t>où</w:t>
      </w:r>
      <w:proofErr w:type="gramEnd"/>
      <w:r w:rsidRPr="004834B5">
        <w:t xml:space="preserve"> </w:t>
      </w:r>
      <w:proofErr w:type="gramStart"/>
      <w:r w:rsidRPr="004834B5">
        <w:t>M(</w:t>
      </w:r>
      <w:proofErr w:type="gramEnd"/>
      <w:r w:rsidRPr="004834B5">
        <w:t>κ, α) = t₁₋κ + tα vaut environ 2,8 pour une puissance de 80 % et un seuil bilatéral de 5 %, P est la proportion de l'échantillon dans le bras traité, σ l'écart-type de la variable de résultat et J le nombre total d'écoles mobilisées dans la comparaison considérée.</w:t>
      </w:r>
    </w:p>
    <w:p w14:paraId="54593973" w14:textId="0BC1A68F" w:rsidR="004834B5" w:rsidRPr="004834B5" w:rsidRDefault="004834B5" w:rsidP="004834B5">
      <w:pPr>
        <w:spacing w:after="120" w:line="300" w:lineRule="auto"/>
        <w:jc w:val="both"/>
      </w:pPr>
      <w:r w:rsidRPr="004834B5">
        <w:t xml:space="preserve">Le dimensionnement de l'échantillon procède de l'objectif fixé, à savoir la détection d'un effet de 0,20 écart-type, sous les hypothèses P = 0,5 (allocation équilibrée), ρ = 0,10, σ = 1 et R² = 0 (hypothèse conservatrice, aucune </w:t>
      </w:r>
      <w:proofErr w:type="spellStart"/>
      <w:r w:rsidRPr="004834B5">
        <w:t>covariable</w:t>
      </w:r>
      <w:proofErr w:type="spellEnd"/>
      <w:r w:rsidRPr="004834B5">
        <w:t xml:space="preserve"> n'étant créditée à ce stade). Les deux paramètres à déterminer, n et J, n'ont pas le même pouvoir sur la précision, et c'est cette asymétrie qui guide le design. Le nombre de filles par école n'intervient qu'à travers le terme </w:t>
      </w:r>
      <w:r w:rsidRPr="004834B5">
        <w:drawing>
          <wp:inline distT="0" distB="0" distL="0" distR="0" wp14:anchorId="17CA1CA5" wp14:editId="1CB94CBD">
            <wp:extent cx="825500" cy="495300"/>
            <wp:effectExtent l="0" t="0" r="0" b="0"/>
            <wp:docPr id="34505097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00" cy="495300"/>
                    </a:xfrm>
                    <a:prstGeom prst="rect">
                      <a:avLst/>
                    </a:prstGeom>
                    <a:noFill/>
                    <a:ln>
                      <a:noFill/>
                    </a:ln>
                  </pic:spPr>
                </pic:pic>
              </a:graphicData>
            </a:graphic>
          </wp:inline>
        </w:drawing>
      </w:r>
      <w:r w:rsidRPr="004834B5">
        <w:t xml:space="preserve"> , dans lequel la composante </w:t>
      </w:r>
      <w:r w:rsidRPr="004834B5">
        <w:drawing>
          <wp:inline distT="0" distB="0" distL="0" distR="0" wp14:anchorId="3FB9AE19" wp14:editId="10B2AAB8">
            <wp:extent cx="387350" cy="317500"/>
            <wp:effectExtent l="0" t="0" r="0" b="6350"/>
            <wp:docPr id="6994604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350" cy="317500"/>
                    </a:xfrm>
                    <a:prstGeom prst="rect">
                      <a:avLst/>
                    </a:prstGeom>
                    <a:noFill/>
                    <a:ln>
                      <a:noFill/>
                    </a:ln>
                  </pic:spPr>
                </pic:pic>
              </a:graphicData>
            </a:graphic>
          </wp:inline>
        </w:drawing>
      </w:r>
      <w:r w:rsidRPr="004834B5">
        <w:t xml:space="preserve"> s'amenuise à mesure que n croît, mais sans jamais faire disparaître le plancher ρ = 0,10 : au-delà d'une trentaine d'élèves, l'apport marginal d'une fille supplémentaire devient négligeable, le passage de n = 30 à n = 60 ne réduisant le MDE que de 0,20 à 0,19 écart-type pour un doublement du coût de collecte. Le design retient en conséquence </w:t>
      </w:r>
      <w:r w:rsidRPr="004834B5">
        <w:rPr>
          <w:b/>
          <w:bCs/>
        </w:rPr>
        <w:t>n = 30 filles enquêtées par école</w:t>
      </w:r>
      <w:r w:rsidRPr="004834B5">
        <w:t xml:space="preserve">, point d'équilibre entre précision statistique et faisabilité opérationnelle. Le nombre d'écoles agit en revanche en J, sans plancher, et constitue donc le véritable levier de la puissance. En fixant n = 30, le terme de grappe vaut </w:t>
      </w:r>
      <w:r w:rsidRPr="004834B5">
        <w:drawing>
          <wp:inline distT="0" distB="0" distL="0" distR="0" wp14:anchorId="5158CBD9" wp14:editId="1C2CA9F3">
            <wp:extent cx="1435100" cy="495300"/>
            <wp:effectExtent l="0" t="0" r="0" b="0"/>
            <wp:docPr id="29108215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5100" cy="495300"/>
                    </a:xfrm>
                    <a:prstGeom prst="rect">
                      <a:avLst/>
                    </a:prstGeom>
                    <a:noFill/>
                    <a:ln>
                      <a:noFill/>
                    </a:ln>
                  </pic:spPr>
                </pic:pic>
              </a:graphicData>
            </a:graphic>
          </wp:inline>
        </w:drawing>
      </w:r>
      <w:r w:rsidRPr="004834B5">
        <w:t xml:space="preserve"> , et la formule se réduit </w:t>
      </w:r>
      <w:proofErr w:type="gramStart"/>
      <w:r w:rsidRPr="004834B5">
        <w:t>à:</w:t>
      </w:r>
      <w:proofErr w:type="gramEnd"/>
    </w:p>
    <w:p w14:paraId="7DFDE669" w14:textId="6BBAE636" w:rsidR="004834B5" w:rsidRPr="004834B5" w:rsidRDefault="004834B5" w:rsidP="004834B5">
      <w:pPr>
        <w:spacing w:after="120" w:line="300" w:lineRule="auto"/>
        <w:jc w:val="both"/>
      </w:pPr>
      <w:r w:rsidRPr="004834B5">
        <w:t> </w:t>
      </w:r>
      <w:r w:rsidRPr="004834B5">
        <w:drawing>
          <wp:inline distT="0" distB="0" distL="0" distR="0" wp14:anchorId="56912AB5" wp14:editId="2B9AC66C">
            <wp:extent cx="2222500" cy="419100"/>
            <wp:effectExtent l="0" t="0" r="6350" b="0"/>
            <wp:docPr id="53524825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2500" cy="419100"/>
                    </a:xfrm>
                    <a:prstGeom prst="rect">
                      <a:avLst/>
                    </a:prstGeom>
                    <a:noFill/>
                    <a:ln>
                      <a:noFill/>
                    </a:ln>
                  </pic:spPr>
                </pic:pic>
              </a:graphicData>
            </a:graphic>
          </wp:inline>
        </w:drawing>
      </w:r>
      <w:r w:rsidRPr="004834B5">
        <w:t> </w:t>
      </w:r>
    </w:p>
    <w:p w14:paraId="107D5118" w14:textId="77777777" w:rsidR="004834B5" w:rsidRPr="004834B5" w:rsidRDefault="004834B5" w:rsidP="004834B5">
      <w:pPr>
        <w:spacing w:after="120" w:line="300" w:lineRule="auto"/>
        <w:jc w:val="both"/>
      </w:pPr>
      <w:r w:rsidRPr="004834B5">
        <w:t>L’égalisation à 0,20 écart-type donne racine de J ≈ 10,1, soit J ≈ 102 écoles par comparaison, arrondi à 100 écoles, c’est-à-dire 50 écoles par bras. Cette valeur restitue un MDE de 0,202 écart-type. Le protocole comportant trois bras (T1, T2 et Contrôle), le dispositif mobilise au total 150 écoles et 4 500 filles suivies à l’enquête finale.</w:t>
      </w:r>
    </w:p>
    <w:p w14:paraId="329CBE71" w14:textId="7D4B4021" w:rsidR="004834B5" w:rsidRPr="004834B5" w:rsidRDefault="004834B5" w:rsidP="004834B5">
      <w:pPr>
        <w:spacing w:after="120" w:line="300" w:lineRule="auto"/>
        <w:jc w:val="both"/>
      </w:pPr>
      <w:r w:rsidRPr="004834B5">
        <w:drawing>
          <wp:inline distT="0" distB="0" distL="0" distR="0" wp14:anchorId="1A204AA8" wp14:editId="3629D132">
            <wp:extent cx="5715000" cy="209550"/>
            <wp:effectExtent l="0" t="0" r="0" b="0"/>
            <wp:docPr id="18971616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09550"/>
                    </a:xfrm>
                    <a:prstGeom prst="rect">
                      <a:avLst/>
                    </a:prstGeom>
                    <a:noFill/>
                    <a:ln>
                      <a:noFill/>
                    </a:ln>
                  </pic:spPr>
                </pic:pic>
              </a:graphicData>
            </a:graphic>
          </wp:inline>
        </w:drawing>
      </w:r>
      <w:r w:rsidRPr="004834B5">
        <w:t> </w:t>
      </w:r>
    </w:p>
    <w:p w14:paraId="4242BBC9" w14:textId="77777777" w:rsidR="004834B5" w:rsidRPr="004834B5" w:rsidRDefault="004834B5" w:rsidP="004834B5">
      <w:pPr>
        <w:spacing w:after="120" w:line="300" w:lineRule="auto"/>
        <w:jc w:val="both"/>
      </w:pPr>
      <w:r w:rsidRPr="004834B5">
        <w:t xml:space="preserve">Un taux d’attrition de 20 % est anticipé au niveau des filles entre la </w:t>
      </w:r>
      <w:proofErr w:type="spellStart"/>
      <w:r w:rsidRPr="004834B5">
        <w:t>baseline</w:t>
      </w:r>
      <w:proofErr w:type="spellEnd"/>
      <w:r w:rsidRPr="004834B5">
        <w:t xml:space="preserve"> et la Endline, sous l'effet des déménagements, des abandons scolaires et des absences répétées. Le nombre initial de fille par école est donc porté </w:t>
      </w:r>
      <w:proofErr w:type="gramStart"/>
      <w:r w:rsidRPr="004834B5">
        <w:t>à:</w:t>
      </w:r>
      <w:proofErr w:type="gramEnd"/>
    </w:p>
    <w:p w14:paraId="152AD37B" w14:textId="1EE1F057" w:rsidR="004834B5" w:rsidRPr="004834B5" w:rsidRDefault="004834B5" w:rsidP="004834B5">
      <w:pPr>
        <w:spacing w:after="120" w:line="300" w:lineRule="auto"/>
        <w:jc w:val="both"/>
      </w:pPr>
      <w:r w:rsidRPr="004834B5">
        <w:drawing>
          <wp:inline distT="0" distB="0" distL="0" distR="0" wp14:anchorId="63DCCDE5" wp14:editId="229A920E">
            <wp:extent cx="4445000" cy="330200"/>
            <wp:effectExtent l="0" t="0" r="0" b="0"/>
            <wp:docPr id="79267300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5000" cy="330200"/>
                    </a:xfrm>
                    <a:prstGeom prst="rect">
                      <a:avLst/>
                    </a:prstGeom>
                    <a:noFill/>
                    <a:ln>
                      <a:noFill/>
                    </a:ln>
                  </pic:spPr>
                </pic:pic>
              </a:graphicData>
            </a:graphic>
          </wp:inline>
        </w:drawing>
      </w:r>
      <w:r w:rsidRPr="004834B5">
        <w:t xml:space="preserve"> , soit un </w:t>
      </w:r>
      <w:r w:rsidRPr="004834B5">
        <w:rPr>
          <w:b/>
          <w:bCs/>
        </w:rPr>
        <w:t>échantillon final de 5 700 filles réparties dans 150 écoles</w:t>
      </w:r>
      <w:r w:rsidRPr="004834B5">
        <w:t xml:space="preserve"> à la ligne de base. Il importe de souligner que l'attrition individuelle affecte peu la puissance. Une érosion ramenant n à 24 ne dégraderait le MDE que de 0,20 à 0,21 écart-type, le plancher ρ dominant </w:t>
      </w:r>
      <w:proofErr w:type="gramStart"/>
      <w:r w:rsidRPr="004834B5">
        <w:t>l'expression;  alors</w:t>
      </w:r>
      <w:proofErr w:type="gramEnd"/>
      <w:r w:rsidRPr="004834B5">
        <w:t xml:space="preserve"> que la perte d'écoles entières, qui agit directement sur J, serait bien plus dommageable. La stratégie de rétention privilégiera donc l'ancrage institutionnel des écoles participantes (conventions signées, points focaux désignés, suivi trimestriel) plutôt que le seul sur-échantillonnage des élèves. Au total, le design permet de détecter de manière fiable un effet supérieur à 0,20 écart-type sur les indicateurs de temps d'étude, de repos ou d'interruptions, pour chacune des deux comparaisons principales (T1 vs Contrôle et T2 vs Contrôle) ; un effet d'ampleur inférieure risquerait de ne pas atteindre la signification statistique même s'il existe réellement sur le terrain.</w:t>
      </w:r>
    </w:p>
    <w:p w14:paraId="76175CED" w14:textId="77777777" w:rsidR="004834B5" w:rsidRPr="004834B5" w:rsidRDefault="004834B5">
      <w:pPr>
        <w:spacing w:after="120" w:line="300" w:lineRule="auto"/>
        <w:jc w:val="both"/>
      </w:pPr>
    </w:p>
    <w:sectPr w:rsidR="004834B5" w:rsidRPr="004834B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2590C" w14:textId="77777777" w:rsidR="00E4384C" w:rsidRDefault="00E4384C">
      <w:r>
        <w:separator/>
      </w:r>
    </w:p>
  </w:endnote>
  <w:endnote w:type="continuationSeparator" w:id="0">
    <w:p w14:paraId="1E919057" w14:textId="77777777" w:rsidR="00E4384C" w:rsidRDefault="00E43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A825" w14:textId="77777777" w:rsidR="0059642F" w:rsidRDefault="00E4384C">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D601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EA24D" w14:textId="77777777" w:rsidR="00E4384C" w:rsidRDefault="00E4384C">
      <w:r>
        <w:separator/>
      </w:r>
    </w:p>
  </w:footnote>
  <w:footnote w:type="continuationSeparator" w:id="0">
    <w:p w14:paraId="3F2CAA0B" w14:textId="77777777" w:rsidR="00E4384C" w:rsidRDefault="00E43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64F3"/>
    <w:multiLevelType w:val="hybridMultilevel"/>
    <w:tmpl w:val="F170EDF2"/>
    <w:lvl w:ilvl="0" w:tplc="EDA43C62">
      <w:start w:val="1"/>
      <w:numFmt w:val="bullet"/>
      <w:lvlText w:val="●"/>
      <w:lvlJc w:val="left"/>
      <w:pPr>
        <w:ind w:left="720" w:hanging="360"/>
      </w:pPr>
    </w:lvl>
    <w:lvl w:ilvl="1" w:tplc="DBDAF95C">
      <w:start w:val="1"/>
      <w:numFmt w:val="bullet"/>
      <w:lvlText w:val="○"/>
      <w:lvlJc w:val="left"/>
      <w:pPr>
        <w:ind w:left="1440" w:hanging="360"/>
      </w:pPr>
    </w:lvl>
    <w:lvl w:ilvl="2" w:tplc="D714CFAC">
      <w:start w:val="1"/>
      <w:numFmt w:val="bullet"/>
      <w:lvlText w:val="■"/>
      <w:lvlJc w:val="left"/>
      <w:pPr>
        <w:ind w:left="2160" w:hanging="360"/>
      </w:pPr>
    </w:lvl>
    <w:lvl w:ilvl="3" w:tplc="94BA12C4">
      <w:start w:val="1"/>
      <w:numFmt w:val="bullet"/>
      <w:lvlText w:val="●"/>
      <w:lvlJc w:val="left"/>
      <w:pPr>
        <w:ind w:left="2880" w:hanging="360"/>
      </w:pPr>
    </w:lvl>
    <w:lvl w:ilvl="4" w:tplc="4CCEE212">
      <w:start w:val="1"/>
      <w:numFmt w:val="bullet"/>
      <w:lvlText w:val="○"/>
      <w:lvlJc w:val="left"/>
      <w:pPr>
        <w:ind w:left="3600" w:hanging="360"/>
      </w:pPr>
    </w:lvl>
    <w:lvl w:ilvl="5" w:tplc="5406BCDC">
      <w:start w:val="1"/>
      <w:numFmt w:val="bullet"/>
      <w:lvlText w:val="■"/>
      <w:lvlJc w:val="left"/>
      <w:pPr>
        <w:ind w:left="4320" w:hanging="360"/>
      </w:pPr>
    </w:lvl>
    <w:lvl w:ilvl="6" w:tplc="B5A06A86">
      <w:start w:val="1"/>
      <w:numFmt w:val="bullet"/>
      <w:lvlText w:val="●"/>
      <w:lvlJc w:val="left"/>
      <w:pPr>
        <w:ind w:left="5040" w:hanging="360"/>
      </w:pPr>
    </w:lvl>
    <w:lvl w:ilvl="7" w:tplc="11207D22">
      <w:start w:val="1"/>
      <w:numFmt w:val="bullet"/>
      <w:lvlText w:val="●"/>
      <w:lvlJc w:val="left"/>
      <w:pPr>
        <w:ind w:left="5760" w:hanging="360"/>
      </w:pPr>
    </w:lvl>
    <w:lvl w:ilvl="8" w:tplc="14D0EC84">
      <w:start w:val="1"/>
      <w:numFmt w:val="bullet"/>
      <w:lvlText w:val="●"/>
      <w:lvlJc w:val="left"/>
      <w:pPr>
        <w:ind w:left="6480" w:hanging="360"/>
      </w:pPr>
    </w:lvl>
  </w:abstractNum>
  <w:num w:numId="1" w16cid:durableId="1133449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2F"/>
    <w:rsid w:val="001B23ED"/>
    <w:rsid w:val="003D098F"/>
    <w:rsid w:val="004834B5"/>
    <w:rsid w:val="0059642F"/>
    <w:rsid w:val="00BD601C"/>
    <w:rsid w:val="00E43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163C"/>
  <w15:docId w15:val="{0EC64C8D-DE21-4FEA-976A-666A0F23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0"/>
      <w:szCs w:val="30"/>
    </w:rPr>
  </w:style>
  <w:style w:type="paragraph" w:styleId="Titre2">
    <w:name w:val="heading 2"/>
    <w:uiPriority w:val="9"/>
    <w:unhideWhenUsed/>
    <w:qFormat/>
    <w:pPr>
      <w:spacing w:before="280" w:after="160"/>
      <w:outlineLvl w:val="1"/>
    </w:pPr>
    <w:rPr>
      <w:b/>
      <w:bCs/>
      <w:color w:val="2E549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1161</TotalTime>
  <Pages>5</Pages>
  <Words>1631</Words>
  <Characters>8972</Characters>
  <Application>Microsoft Office Word</Application>
  <DocSecurity>0</DocSecurity>
  <Lines>74</Lines>
  <Paragraphs>21</Paragraphs>
  <ScaleCrop>false</ScaleCrop>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explicative — Calculs de puissance statistique</dc:title>
  <dc:creator>CKDev Bénin</dc:creator>
  <cp:lastModifiedBy>Ronaldo.A AGBOHOU Ronaldo</cp:lastModifiedBy>
  <cp:revision>4</cp:revision>
  <dcterms:created xsi:type="dcterms:W3CDTF">2026-09-16T14:07:00Z</dcterms:created>
  <dcterms:modified xsi:type="dcterms:W3CDTF">2026-09-17T11:33:00Z</dcterms:modified>
</cp:coreProperties>
</file>