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D3972" w14:textId="46E8309F" w:rsidR="00B71E60" w:rsidRPr="00B957A0" w:rsidRDefault="00B71E60" w:rsidP="00B957A0">
      <w:pPr>
        <w:pStyle w:val="Titre1"/>
        <w:spacing w:line="360" w:lineRule="auto"/>
        <w:jc w:val="both"/>
        <w:rPr>
          <w:rFonts w:ascii="Times New Roman" w:hAnsi="Times New Roman" w:cs="Times New Roman"/>
          <w:sz w:val="24"/>
          <w:szCs w:val="24"/>
        </w:rPr>
      </w:pPr>
      <w:r w:rsidRPr="00B957A0">
        <w:rPr>
          <w:rFonts w:ascii="Times New Roman" w:hAnsi="Times New Roman" w:cs="Times New Roman"/>
          <w:sz w:val="24"/>
          <w:szCs w:val="24"/>
        </w:rPr>
        <w:t>7. Participants et unités d’observation</w:t>
      </w:r>
    </w:p>
    <w:p w14:paraId="5711A0BB" w14:textId="77777777" w:rsidR="00B71E60" w:rsidRPr="00B957A0" w:rsidRDefault="00B71E60" w:rsidP="00B957A0">
      <w:pPr>
        <w:spacing w:after="120" w:line="360" w:lineRule="auto"/>
        <w:jc w:val="both"/>
      </w:pPr>
      <w:r w:rsidRPr="00B957A0">
        <w:t>Les participantes principales sont les filles scolarisées dans les niveaux ciblés. Le projet se concentre sur les filles parce que le mécanisme théorique porte sur la charge domestique genrée et son conflit avec l’éducation. Les garçons peuvent être mentionnés dans les données du ménage lorsque leur présence influence la réallocation des tâches, mais le cœur des résultats porte sur les filles.</w:t>
      </w:r>
    </w:p>
    <w:tbl>
      <w:tblPr>
        <w:tblStyle w:val="Grilledutableau"/>
        <w:tblW w:w="10221" w:type="dxa"/>
        <w:jc w:val="center"/>
        <w:tblLook w:val="04A0" w:firstRow="1" w:lastRow="0" w:firstColumn="1" w:lastColumn="0" w:noHBand="0" w:noVBand="1"/>
      </w:tblPr>
      <w:tblGrid>
        <w:gridCol w:w="2191"/>
        <w:gridCol w:w="3506"/>
        <w:gridCol w:w="4524"/>
      </w:tblGrid>
      <w:tr w:rsidR="00B71E60" w:rsidRPr="00B957A0" w14:paraId="57EA046C" w14:textId="77777777" w:rsidTr="002F19DD">
        <w:trPr>
          <w:trHeight w:val="552"/>
          <w:tblHeader/>
          <w:jc w:val="center"/>
        </w:trPr>
        <w:tc>
          <w:tcPr>
            <w:tcW w:w="2191" w:type="dxa"/>
            <w:shd w:val="clear" w:color="auto" w:fill="1F4E79"/>
          </w:tcPr>
          <w:p w14:paraId="5A50095D" w14:textId="77777777" w:rsidR="00B71E60" w:rsidRPr="00B957A0" w:rsidRDefault="00B71E60" w:rsidP="00B957A0">
            <w:pPr>
              <w:spacing w:line="360" w:lineRule="auto"/>
              <w:rPr>
                <w:sz w:val="24"/>
                <w:szCs w:val="24"/>
              </w:rPr>
            </w:pPr>
            <w:r w:rsidRPr="00B957A0">
              <w:rPr>
                <w:b/>
                <w:color w:val="FFFFFF"/>
                <w:sz w:val="24"/>
                <w:szCs w:val="24"/>
              </w:rPr>
              <w:t>Unité</w:t>
            </w:r>
          </w:p>
        </w:tc>
        <w:tc>
          <w:tcPr>
            <w:tcW w:w="3506" w:type="dxa"/>
            <w:shd w:val="clear" w:color="auto" w:fill="1F4E79"/>
          </w:tcPr>
          <w:p w14:paraId="4B84100C" w14:textId="77777777" w:rsidR="00B71E60" w:rsidRPr="00B957A0" w:rsidRDefault="00B71E60" w:rsidP="00B957A0">
            <w:pPr>
              <w:spacing w:line="360" w:lineRule="auto"/>
              <w:rPr>
                <w:sz w:val="24"/>
                <w:szCs w:val="24"/>
              </w:rPr>
            </w:pPr>
            <w:r w:rsidRPr="00B957A0">
              <w:rPr>
                <w:b/>
                <w:color w:val="FFFFFF"/>
                <w:sz w:val="24"/>
                <w:szCs w:val="24"/>
              </w:rPr>
              <w:t>Rôle dans le projet</w:t>
            </w:r>
          </w:p>
        </w:tc>
        <w:tc>
          <w:tcPr>
            <w:tcW w:w="4524" w:type="dxa"/>
            <w:shd w:val="clear" w:color="auto" w:fill="1F4E79"/>
          </w:tcPr>
          <w:p w14:paraId="24687F57" w14:textId="77777777" w:rsidR="00B71E60" w:rsidRPr="00B957A0" w:rsidRDefault="00B71E60" w:rsidP="00B957A0">
            <w:pPr>
              <w:spacing w:line="360" w:lineRule="auto"/>
              <w:rPr>
                <w:sz w:val="24"/>
                <w:szCs w:val="24"/>
              </w:rPr>
            </w:pPr>
            <w:r w:rsidRPr="00B957A0">
              <w:rPr>
                <w:b/>
                <w:color w:val="FFFFFF"/>
                <w:sz w:val="24"/>
                <w:szCs w:val="24"/>
              </w:rPr>
              <w:t>Pourquoi elle est importante</w:t>
            </w:r>
          </w:p>
        </w:tc>
      </w:tr>
      <w:tr w:rsidR="00B71E60" w:rsidRPr="001456A3" w14:paraId="1344B8CF" w14:textId="77777777" w:rsidTr="002F19DD">
        <w:trPr>
          <w:trHeight w:val="1120"/>
          <w:jc w:val="center"/>
        </w:trPr>
        <w:tc>
          <w:tcPr>
            <w:tcW w:w="2191" w:type="dxa"/>
          </w:tcPr>
          <w:p w14:paraId="47B87894" w14:textId="77777777" w:rsidR="00B71E60" w:rsidRPr="00B957A0" w:rsidRDefault="00B71E60" w:rsidP="00B957A0">
            <w:pPr>
              <w:spacing w:line="360" w:lineRule="auto"/>
              <w:rPr>
                <w:sz w:val="24"/>
                <w:szCs w:val="24"/>
              </w:rPr>
            </w:pPr>
            <w:r w:rsidRPr="00B957A0">
              <w:rPr>
                <w:sz w:val="24"/>
                <w:szCs w:val="24"/>
              </w:rPr>
              <w:t>École</w:t>
            </w:r>
          </w:p>
        </w:tc>
        <w:tc>
          <w:tcPr>
            <w:tcW w:w="3506" w:type="dxa"/>
          </w:tcPr>
          <w:p w14:paraId="0AF69B56" w14:textId="77777777" w:rsidR="00B71E60" w:rsidRPr="00B957A0" w:rsidRDefault="00B71E60" w:rsidP="00B957A0">
            <w:pPr>
              <w:spacing w:line="360" w:lineRule="auto"/>
              <w:rPr>
                <w:sz w:val="24"/>
                <w:szCs w:val="24"/>
              </w:rPr>
            </w:pPr>
            <w:r w:rsidRPr="00B957A0">
              <w:rPr>
                <w:sz w:val="24"/>
                <w:szCs w:val="24"/>
              </w:rPr>
              <w:t>Unité de randomisation et point d’entrée opérationnel.</w:t>
            </w:r>
          </w:p>
        </w:tc>
        <w:tc>
          <w:tcPr>
            <w:tcW w:w="4524" w:type="dxa"/>
          </w:tcPr>
          <w:p w14:paraId="31B1F65A" w14:textId="77777777" w:rsidR="00B71E60" w:rsidRPr="00B957A0" w:rsidRDefault="00B71E60" w:rsidP="00B957A0">
            <w:pPr>
              <w:spacing w:line="360" w:lineRule="auto"/>
              <w:rPr>
                <w:sz w:val="24"/>
                <w:szCs w:val="24"/>
              </w:rPr>
            </w:pPr>
            <w:r w:rsidRPr="00B957A0">
              <w:rPr>
                <w:sz w:val="24"/>
                <w:szCs w:val="24"/>
              </w:rPr>
              <w:t>Réduit la contamination et structure la logistique.</w:t>
            </w:r>
          </w:p>
        </w:tc>
      </w:tr>
      <w:tr w:rsidR="00B71E60" w:rsidRPr="001456A3" w14:paraId="277EC594" w14:textId="77777777" w:rsidTr="002F19DD">
        <w:trPr>
          <w:trHeight w:val="1120"/>
          <w:jc w:val="center"/>
        </w:trPr>
        <w:tc>
          <w:tcPr>
            <w:tcW w:w="2191" w:type="dxa"/>
          </w:tcPr>
          <w:p w14:paraId="4E729612" w14:textId="77777777" w:rsidR="00B71E60" w:rsidRPr="00B957A0" w:rsidRDefault="00B71E60" w:rsidP="00B957A0">
            <w:pPr>
              <w:spacing w:line="360" w:lineRule="auto"/>
              <w:rPr>
                <w:sz w:val="24"/>
                <w:szCs w:val="24"/>
              </w:rPr>
            </w:pPr>
            <w:r w:rsidRPr="00B957A0">
              <w:rPr>
                <w:sz w:val="24"/>
                <w:szCs w:val="24"/>
              </w:rPr>
              <w:t>Fille focalisée</w:t>
            </w:r>
          </w:p>
        </w:tc>
        <w:tc>
          <w:tcPr>
            <w:tcW w:w="3506" w:type="dxa"/>
          </w:tcPr>
          <w:p w14:paraId="1CF40536" w14:textId="77777777" w:rsidR="00B71E60" w:rsidRPr="00B957A0" w:rsidRDefault="00B71E60" w:rsidP="00B957A0">
            <w:pPr>
              <w:spacing w:line="360" w:lineRule="auto"/>
              <w:rPr>
                <w:sz w:val="24"/>
                <w:szCs w:val="24"/>
              </w:rPr>
            </w:pPr>
            <w:r w:rsidRPr="00B957A0">
              <w:rPr>
                <w:sz w:val="24"/>
                <w:szCs w:val="24"/>
              </w:rPr>
              <w:t>Unité principale de mesure des résultats.</w:t>
            </w:r>
          </w:p>
        </w:tc>
        <w:tc>
          <w:tcPr>
            <w:tcW w:w="4524" w:type="dxa"/>
          </w:tcPr>
          <w:p w14:paraId="5878A5D5" w14:textId="77777777" w:rsidR="00B71E60" w:rsidRPr="00B957A0" w:rsidRDefault="00B71E60" w:rsidP="00B957A0">
            <w:pPr>
              <w:spacing w:line="360" w:lineRule="auto"/>
              <w:rPr>
                <w:sz w:val="24"/>
                <w:szCs w:val="24"/>
              </w:rPr>
            </w:pPr>
            <w:r w:rsidRPr="00B957A0">
              <w:rPr>
                <w:sz w:val="24"/>
                <w:szCs w:val="24"/>
              </w:rPr>
              <w:t>Permet de mesurer temps, repos, étude, fatigue, aspirations et résultats scolaires.</w:t>
            </w:r>
          </w:p>
        </w:tc>
      </w:tr>
      <w:tr w:rsidR="00B71E60" w:rsidRPr="001456A3" w14:paraId="4BE4110F" w14:textId="77777777" w:rsidTr="002F19DD">
        <w:trPr>
          <w:trHeight w:val="1120"/>
          <w:jc w:val="center"/>
        </w:trPr>
        <w:tc>
          <w:tcPr>
            <w:tcW w:w="2191" w:type="dxa"/>
          </w:tcPr>
          <w:p w14:paraId="456E9981" w14:textId="77777777" w:rsidR="00B71E60" w:rsidRPr="00B957A0" w:rsidRDefault="00B71E60" w:rsidP="00B957A0">
            <w:pPr>
              <w:spacing w:line="360" w:lineRule="auto"/>
              <w:rPr>
                <w:sz w:val="24"/>
                <w:szCs w:val="24"/>
              </w:rPr>
            </w:pPr>
            <w:r w:rsidRPr="00B957A0">
              <w:rPr>
                <w:sz w:val="24"/>
                <w:szCs w:val="24"/>
              </w:rPr>
              <w:t>Parent ciblé</w:t>
            </w:r>
          </w:p>
        </w:tc>
        <w:tc>
          <w:tcPr>
            <w:tcW w:w="3506" w:type="dxa"/>
          </w:tcPr>
          <w:p w14:paraId="3F03C26E" w14:textId="77777777" w:rsidR="00B71E60" w:rsidRPr="00B957A0" w:rsidRDefault="00B71E60" w:rsidP="00B957A0">
            <w:pPr>
              <w:spacing w:line="360" w:lineRule="auto"/>
              <w:rPr>
                <w:sz w:val="24"/>
                <w:szCs w:val="24"/>
              </w:rPr>
            </w:pPr>
            <w:r w:rsidRPr="00B957A0">
              <w:rPr>
                <w:sz w:val="24"/>
                <w:szCs w:val="24"/>
              </w:rPr>
              <w:t>Récepteur principal du traitement.</w:t>
            </w:r>
          </w:p>
        </w:tc>
        <w:tc>
          <w:tcPr>
            <w:tcW w:w="4524" w:type="dxa"/>
          </w:tcPr>
          <w:p w14:paraId="0E46C444" w14:textId="77777777" w:rsidR="00B71E60" w:rsidRPr="00B957A0" w:rsidRDefault="00B71E60" w:rsidP="00B957A0">
            <w:pPr>
              <w:spacing w:line="360" w:lineRule="auto"/>
              <w:rPr>
                <w:sz w:val="24"/>
                <w:szCs w:val="24"/>
              </w:rPr>
            </w:pPr>
            <w:r w:rsidRPr="00B957A0">
              <w:rPr>
                <w:sz w:val="24"/>
                <w:szCs w:val="24"/>
              </w:rPr>
              <w:t>Permet de tester salience, mise en œuvre et rôle mère/père.</w:t>
            </w:r>
          </w:p>
        </w:tc>
      </w:tr>
      <w:tr w:rsidR="00B71E60" w:rsidRPr="001456A3" w14:paraId="5256A232" w14:textId="77777777" w:rsidTr="002F19DD">
        <w:trPr>
          <w:trHeight w:val="1120"/>
          <w:jc w:val="center"/>
        </w:trPr>
        <w:tc>
          <w:tcPr>
            <w:tcW w:w="2191" w:type="dxa"/>
          </w:tcPr>
          <w:p w14:paraId="076F5AAC" w14:textId="77777777" w:rsidR="00B71E60" w:rsidRPr="00B957A0" w:rsidRDefault="00B71E60" w:rsidP="00B957A0">
            <w:pPr>
              <w:spacing w:line="360" w:lineRule="auto"/>
              <w:rPr>
                <w:sz w:val="24"/>
                <w:szCs w:val="24"/>
              </w:rPr>
            </w:pPr>
            <w:r w:rsidRPr="00B957A0">
              <w:rPr>
                <w:sz w:val="24"/>
                <w:szCs w:val="24"/>
              </w:rPr>
              <w:t>Ménage</w:t>
            </w:r>
          </w:p>
        </w:tc>
        <w:tc>
          <w:tcPr>
            <w:tcW w:w="3506" w:type="dxa"/>
          </w:tcPr>
          <w:p w14:paraId="55F63361" w14:textId="77777777" w:rsidR="00B71E60" w:rsidRPr="00B957A0" w:rsidRDefault="00B71E60" w:rsidP="00B957A0">
            <w:pPr>
              <w:spacing w:line="360" w:lineRule="auto"/>
              <w:rPr>
                <w:sz w:val="24"/>
                <w:szCs w:val="24"/>
              </w:rPr>
            </w:pPr>
            <w:r w:rsidRPr="00B957A0">
              <w:rPr>
                <w:sz w:val="24"/>
                <w:szCs w:val="24"/>
              </w:rPr>
              <w:t>Espace où les tâches sont allouées.</w:t>
            </w:r>
          </w:p>
        </w:tc>
        <w:tc>
          <w:tcPr>
            <w:tcW w:w="4524" w:type="dxa"/>
          </w:tcPr>
          <w:p w14:paraId="611DE13C" w14:textId="77777777" w:rsidR="00B71E60" w:rsidRPr="00B957A0" w:rsidRDefault="00B71E60" w:rsidP="00B957A0">
            <w:pPr>
              <w:spacing w:line="360" w:lineRule="auto"/>
              <w:rPr>
                <w:sz w:val="24"/>
                <w:szCs w:val="24"/>
              </w:rPr>
            </w:pPr>
            <w:r w:rsidRPr="00B957A0">
              <w:rPr>
                <w:sz w:val="24"/>
                <w:szCs w:val="24"/>
              </w:rPr>
              <w:t>Permet de comprendre qui fait quoi, quand et avec quelles contraintes.</w:t>
            </w:r>
          </w:p>
        </w:tc>
      </w:tr>
      <w:tr w:rsidR="00B71E60" w:rsidRPr="001456A3" w14:paraId="0C6982A3" w14:textId="77777777" w:rsidTr="002F19DD">
        <w:trPr>
          <w:trHeight w:val="1106"/>
          <w:jc w:val="center"/>
        </w:trPr>
        <w:tc>
          <w:tcPr>
            <w:tcW w:w="2191" w:type="dxa"/>
          </w:tcPr>
          <w:p w14:paraId="60994B7A" w14:textId="5C28BDA8" w:rsidR="00B71E60" w:rsidRPr="00B957A0" w:rsidRDefault="00B71E60" w:rsidP="00B957A0">
            <w:pPr>
              <w:spacing w:line="360" w:lineRule="auto"/>
              <w:rPr>
                <w:sz w:val="24"/>
                <w:szCs w:val="24"/>
              </w:rPr>
            </w:pPr>
            <w:proofErr w:type="spellStart"/>
            <w:r w:rsidRPr="00B957A0">
              <w:rPr>
                <w:sz w:val="24"/>
                <w:szCs w:val="24"/>
              </w:rPr>
              <w:t>Facilitateur</w:t>
            </w:r>
            <w:r w:rsidR="00FD0D5F">
              <w:rPr>
                <w:sz w:val="24"/>
                <w:szCs w:val="24"/>
              </w:rPr>
              <w:t>.</w:t>
            </w:r>
            <w:r w:rsidRPr="00B957A0">
              <w:rPr>
                <w:sz w:val="24"/>
                <w:szCs w:val="24"/>
              </w:rPr>
              <w:t>trice</w:t>
            </w:r>
            <w:proofErr w:type="spellEnd"/>
          </w:p>
        </w:tc>
        <w:tc>
          <w:tcPr>
            <w:tcW w:w="3506" w:type="dxa"/>
          </w:tcPr>
          <w:p w14:paraId="73F17610" w14:textId="77777777" w:rsidR="00B71E60" w:rsidRPr="00B957A0" w:rsidRDefault="00B71E60" w:rsidP="00B957A0">
            <w:pPr>
              <w:spacing w:line="360" w:lineRule="auto"/>
              <w:rPr>
                <w:sz w:val="24"/>
                <w:szCs w:val="24"/>
              </w:rPr>
            </w:pPr>
            <w:r w:rsidRPr="00B957A0">
              <w:rPr>
                <w:sz w:val="24"/>
                <w:szCs w:val="24"/>
              </w:rPr>
              <w:t>Agent de livraison de l’intervention.</w:t>
            </w:r>
          </w:p>
        </w:tc>
        <w:tc>
          <w:tcPr>
            <w:tcW w:w="4524" w:type="dxa"/>
          </w:tcPr>
          <w:p w14:paraId="114B2F7D" w14:textId="77777777" w:rsidR="00B71E60" w:rsidRPr="00B957A0" w:rsidRDefault="00B71E60" w:rsidP="00B957A0">
            <w:pPr>
              <w:spacing w:line="360" w:lineRule="auto"/>
              <w:rPr>
                <w:sz w:val="24"/>
                <w:szCs w:val="24"/>
              </w:rPr>
            </w:pPr>
            <w:r w:rsidRPr="00B957A0">
              <w:rPr>
                <w:sz w:val="24"/>
                <w:szCs w:val="24"/>
              </w:rPr>
              <w:t>Qualité de facilitation, fidélité au protocole et adaptation au terrain.</w:t>
            </w:r>
          </w:p>
        </w:tc>
      </w:tr>
    </w:tbl>
    <w:p w14:paraId="46C571D8" w14:textId="77777777" w:rsidR="00B71E60" w:rsidRPr="00B957A0" w:rsidRDefault="00B71E60" w:rsidP="00B957A0">
      <w:pPr>
        <w:spacing w:line="360" w:lineRule="auto"/>
      </w:pPr>
    </w:p>
    <w:p w14:paraId="54CA3F0F" w14:textId="77777777" w:rsidR="00B71E60" w:rsidRPr="00B957A0" w:rsidRDefault="00B71E60" w:rsidP="00B957A0">
      <w:pPr>
        <w:spacing w:line="360" w:lineRule="auto"/>
      </w:pPr>
    </w:p>
    <w:p w14:paraId="6DE217B6" w14:textId="77777777" w:rsidR="00B71E60" w:rsidRPr="00B957A0" w:rsidRDefault="00B71E60" w:rsidP="00B957A0">
      <w:pPr>
        <w:pStyle w:val="Titre2"/>
        <w:spacing w:line="360" w:lineRule="auto"/>
        <w:jc w:val="both"/>
        <w:rPr>
          <w:rFonts w:ascii="Times New Roman" w:hAnsi="Times New Roman" w:cs="Times New Roman"/>
          <w:sz w:val="24"/>
          <w:szCs w:val="24"/>
        </w:rPr>
      </w:pPr>
      <w:bookmarkStart w:id="0" w:name="_Toc900000001"/>
      <w:r w:rsidRPr="00B957A0">
        <w:rPr>
          <w:rFonts w:ascii="Times New Roman" w:hAnsi="Times New Roman" w:cs="Times New Roman"/>
          <w:sz w:val="24"/>
          <w:szCs w:val="24"/>
        </w:rPr>
        <w:t>7.1 Méthode d’échantillonnage et calcul du MDE</w:t>
      </w:r>
      <w:bookmarkEnd w:id="0"/>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B71E60" w:rsidRPr="001456A3" w14:paraId="5A88F62A" w14:textId="77777777" w:rsidTr="00B957A0">
        <w:trPr>
          <w:jc w:val="center"/>
        </w:trPr>
        <w:tc>
          <w:tcPr>
            <w:tcW w:w="9016" w:type="dxa"/>
          </w:tcPr>
          <w:p w14:paraId="30F271DE" w14:textId="4C0A48A5" w:rsidR="000E2569" w:rsidRPr="00B957A0" w:rsidRDefault="00B71E60" w:rsidP="00B957A0">
            <w:pPr>
              <w:spacing w:after="80" w:line="360" w:lineRule="auto"/>
              <w:jc w:val="both"/>
              <w:rPr>
                <w:sz w:val="24"/>
                <w:szCs w:val="24"/>
              </w:rPr>
            </w:pPr>
            <w:r w:rsidRPr="00B957A0">
              <w:rPr>
                <w:sz w:val="24"/>
                <w:szCs w:val="24"/>
              </w:rPr>
              <w:t>L’équipe de recherche utilise la formule de puissance standard pour les essais contrôlés randomisés en grappes (cluster-randomized trials), puisque la randomisation se fait au niveau de l’école alors que les résultats sont mesurés au niveau de la fille. Cette formule relie la taille de l’échantillon</w:t>
            </w:r>
            <w:r w:rsidR="00A549BB" w:rsidRPr="00B957A0">
              <w:rPr>
                <w:sz w:val="24"/>
                <w:szCs w:val="24"/>
              </w:rPr>
              <w:t xml:space="preserve">, </w:t>
            </w:r>
            <w:r w:rsidRPr="00B957A0">
              <w:rPr>
                <w:sz w:val="24"/>
                <w:szCs w:val="24"/>
              </w:rPr>
              <w:t xml:space="preserve">nombre d’écoles par bras et nombre de filles par </w:t>
            </w:r>
            <w:r w:rsidR="00A549BB" w:rsidRPr="00B957A0">
              <w:rPr>
                <w:sz w:val="24"/>
                <w:szCs w:val="24"/>
              </w:rPr>
              <w:t>école, à</w:t>
            </w:r>
            <w:r w:rsidRPr="00B957A0">
              <w:rPr>
                <w:sz w:val="24"/>
                <w:szCs w:val="24"/>
              </w:rPr>
              <w:t xml:space="preserve"> la taille minimale de l’effet détectable (MDE), c’est-à-dire la plus petite différence de résultat moyen entre le groupe traité et le groupe témoin que le design peut mettre en évidence avec une probabilité donnée (la puissance) à un niveau de signification statistique donné.</w:t>
            </w:r>
          </w:p>
          <w:p w14:paraId="2B24C45F" w14:textId="70B635A1" w:rsidR="000E2569" w:rsidRPr="00B957A0" w:rsidRDefault="004B0E52" w:rsidP="00B957A0">
            <w:pPr>
              <w:spacing w:after="40" w:line="360" w:lineRule="auto"/>
              <w:jc w:val="both"/>
              <w:rPr>
                <w:sz w:val="24"/>
                <w:szCs w:val="24"/>
              </w:rPr>
            </w:pPr>
            <m:oMathPara>
              <m:oMath>
                <m:r>
                  <m:rPr>
                    <m:sty m:val="p"/>
                  </m:rPr>
                  <w:rPr>
                    <w:rFonts w:ascii="Cambria Math" w:hAnsi="Cambria Math"/>
                    <w:sz w:val="24"/>
                    <w:szCs w:val="24"/>
                  </w:rPr>
                  <w:lastRenderedPageBreak/>
                  <m:t>MDE = M(κ,α)</m:t>
                </m:r>
                <m:rad>
                  <m:radPr>
                    <m:degHide m:val="1"/>
                    <m:ctrlPr>
                      <w:rPr>
                        <w:rFonts w:ascii="Cambria Math" w:hAnsi="Cambria Math"/>
                        <w:bCs/>
                        <w:sz w:val="24"/>
                        <w:szCs w:val="24"/>
                      </w:rPr>
                    </m:ctrlPr>
                  </m:radPr>
                  <m:deg/>
                  <m:e>
                    <m:f>
                      <m:fPr>
                        <m:ctrlPr>
                          <w:rPr>
                            <w:rFonts w:ascii="Cambria Math" w:hAnsi="Cambria Math"/>
                            <w:bCs/>
                            <w:sz w:val="24"/>
                            <w:szCs w:val="24"/>
                          </w:rPr>
                        </m:ctrlPr>
                      </m:fPr>
                      <m:num>
                        <m:r>
                          <m:rPr>
                            <m:sty m:val="p"/>
                          </m:rPr>
                          <w:rPr>
                            <w:rFonts w:ascii="Cambria Math" w:hAnsi="Cambria Math"/>
                            <w:sz w:val="24"/>
                            <w:szCs w:val="24"/>
                          </w:rPr>
                          <m:t>1</m:t>
                        </m:r>
                      </m:num>
                      <m:den>
                        <m:r>
                          <m:rPr>
                            <m:sty m:val="p"/>
                          </m:rPr>
                          <w:rPr>
                            <w:rFonts w:ascii="Cambria Math" w:hAnsi="Cambria Math"/>
                            <w:sz w:val="24"/>
                            <w:szCs w:val="24"/>
                          </w:rPr>
                          <m:t>P</m:t>
                        </m:r>
                        <m:d>
                          <m:dPr>
                            <m:ctrlPr>
                              <w:rPr>
                                <w:rFonts w:ascii="Cambria Math" w:hAnsi="Cambria Math"/>
                                <w:bCs/>
                                <w:sz w:val="24"/>
                                <w:szCs w:val="24"/>
                              </w:rPr>
                            </m:ctrlPr>
                          </m:dPr>
                          <m:e>
                            <m:r>
                              <m:rPr>
                                <m:sty m:val="p"/>
                              </m:rPr>
                              <w:rPr>
                                <w:rFonts w:ascii="Cambria Math" w:hAnsi="Cambria Math"/>
                                <w:sz w:val="24"/>
                                <w:szCs w:val="24"/>
                              </w:rPr>
                              <m:t>1-P</m:t>
                            </m:r>
                          </m:e>
                        </m:d>
                      </m:den>
                    </m:f>
                  </m:e>
                </m:rad>
                <m:r>
                  <m:rPr>
                    <m:sty m:val="p"/>
                  </m:rPr>
                  <w:rPr>
                    <w:rFonts w:ascii="Cambria Math" w:hAnsi="Cambria Math"/>
                    <w:sz w:val="24"/>
                    <w:szCs w:val="24"/>
                  </w:rPr>
                  <m:t>x</m:t>
                </m:r>
                <m:rad>
                  <m:radPr>
                    <m:degHide m:val="1"/>
                    <m:ctrlPr>
                      <w:rPr>
                        <w:rFonts w:ascii="Cambria Math" w:hAnsi="Cambria Math"/>
                        <w:sz w:val="24"/>
                        <w:szCs w:val="24"/>
                      </w:rPr>
                    </m:ctrlPr>
                  </m:radPr>
                  <m:deg/>
                  <m:e>
                    <m:f>
                      <m:fPr>
                        <m:ctrlPr>
                          <w:rPr>
                            <w:rFonts w:ascii="Cambria Math" w:hAnsi="Cambria Math"/>
                            <w:sz w:val="24"/>
                            <w:szCs w:val="24"/>
                          </w:rPr>
                        </m:ctrlPr>
                      </m:fPr>
                      <m:num>
                        <m:r>
                          <w:rPr>
                            <w:rFonts w:ascii="Cambria Math" w:hAnsi="Cambria Math"/>
                            <w:sz w:val="24"/>
                            <w:szCs w:val="24"/>
                          </w:rPr>
                          <m:t>ρ</m:t>
                        </m:r>
                      </m:num>
                      <m:den>
                        <m:r>
                          <m:rPr>
                            <m:sty m:val="p"/>
                          </m:rPr>
                          <w:rPr>
                            <w:rFonts w:ascii="Cambria Math" w:hAnsi="Cambria Math"/>
                            <w:sz w:val="24"/>
                            <w:szCs w:val="24"/>
                          </w:rPr>
                          <m:t>J</m:t>
                        </m:r>
                      </m:den>
                    </m:f>
                    <m:r>
                      <m:rPr>
                        <m:sty m:val="p"/>
                      </m:rP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rPr>
                          <m:t>1-ρ</m:t>
                        </m:r>
                      </m:num>
                      <m:den>
                        <m:r>
                          <m:rPr>
                            <m:sty m:val="p"/>
                          </m:rPr>
                          <w:rPr>
                            <w:rFonts w:ascii="Cambria Math" w:hAnsi="Cambria Math"/>
                            <w:sz w:val="24"/>
                            <w:szCs w:val="24"/>
                          </w:rPr>
                          <m:t>J⋅n</m:t>
                        </m:r>
                      </m:den>
                    </m:f>
                  </m:e>
                </m:rad>
                <m:r>
                  <m:rPr>
                    <m:sty m:val="p"/>
                  </m:rPr>
                  <w:rPr>
                    <w:rFonts w:ascii="Cambria Math" w:hAnsi="Cambria Math"/>
                    <w:sz w:val="24"/>
                    <w:szCs w:val="24"/>
                  </w:rPr>
                  <m:t>×σ×</m:t>
                </m:r>
                <m:rad>
                  <m:radPr>
                    <m:degHide m:val="1"/>
                    <m:ctrlPr>
                      <w:rPr>
                        <w:rFonts w:ascii="Cambria Math" w:hAnsi="Cambria Math"/>
                        <w:sz w:val="24"/>
                        <w:szCs w:val="24"/>
                      </w:rPr>
                    </m:ctrlPr>
                  </m:radPr>
                  <m:deg/>
                  <m:e>
                    <m:r>
                      <m:rPr>
                        <m:sty m:val="p"/>
                      </m:rPr>
                      <w:rPr>
                        <w:rFonts w:ascii="Cambria Math" w:hAnsi="Cambria Math"/>
                        <w:sz w:val="24"/>
                        <w:szCs w:val="24"/>
                      </w:rPr>
                      <m:t>1-</m:t>
                    </m:r>
                    <m:sSup>
                      <m:sSupPr>
                        <m:ctrlPr>
                          <w:rPr>
                            <w:rFonts w:ascii="Cambria Math" w:hAnsi="Cambria Math"/>
                            <w:sz w:val="24"/>
                            <w:szCs w:val="24"/>
                          </w:rPr>
                        </m:ctrlPr>
                      </m:sSupPr>
                      <m:e>
                        <m:r>
                          <m:rPr>
                            <m:sty m:val="p"/>
                          </m:rPr>
                          <w:rPr>
                            <w:rFonts w:ascii="Cambria Math" w:hAnsi="Cambria Math"/>
                            <w:sz w:val="24"/>
                            <w:szCs w:val="24"/>
                          </w:rPr>
                          <m:t>R</m:t>
                        </m:r>
                      </m:e>
                      <m:sup>
                        <m:r>
                          <m:rPr>
                            <m:sty m:val="p"/>
                          </m:rPr>
                          <w:rPr>
                            <w:rFonts w:ascii="Cambria Math" w:hAnsi="Cambria Math"/>
                            <w:sz w:val="24"/>
                            <w:szCs w:val="24"/>
                          </w:rPr>
                          <m:t>2</m:t>
                        </m:r>
                      </m:sup>
                    </m:sSup>
                  </m:e>
                </m:rad>
              </m:oMath>
            </m:oMathPara>
          </w:p>
          <w:p w14:paraId="28C9A342" w14:textId="0C1F62FA" w:rsidR="00B71E60" w:rsidRPr="00B957A0" w:rsidRDefault="00B71E60" w:rsidP="00B957A0">
            <w:pPr>
              <w:spacing w:after="40" w:line="360" w:lineRule="auto"/>
              <w:jc w:val="both"/>
              <w:rPr>
                <w:sz w:val="24"/>
                <w:szCs w:val="24"/>
              </w:rPr>
            </w:pPr>
            <w:r w:rsidRPr="00B957A0">
              <w:rPr>
                <w:sz w:val="24"/>
                <w:szCs w:val="24"/>
              </w:rPr>
              <w:t xml:space="preserve">M(κ,α) = t₁₋κ + tα (somme des statistiques t pour la puissance κ et le seuil de signification α, soit environ 2,8 pour une puissance de 80 % et un seuil bilatéral de 5 %) ; P = proportion de l’échantillon dans le bras traité (ratio d’allocation) ; J = nombre d’écoles (grappes) par bras ; n = nombre de filles enquêtées par école ; ρ = coefficient de corrélation intra-école (ICC) ; σ = écart-type de la variable de résultat ; R² = part de la variance du résultat expliquée par les covariables de </w:t>
            </w:r>
            <w:proofErr w:type="spellStart"/>
            <w:r w:rsidRPr="00B957A0">
              <w:rPr>
                <w:sz w:val="24"/>
                <w:szCs w:val="24"/>
              </w:rPr>
              <w:t>baseline</w:t>
            </w:r>
            <w:proofErr w:type="spellEnd"/>
            <w:r w:rsidRPr="00B957A0">
              <w:rPr>
                <w:sz w:val="24"/>
                <w:szCs w:val="24"/>
              </w:rPr>
              <w:t>.</w:t>
            </w:r>
          </w:p>
        </w:tc>
      </w:tr>
    </w:tbl>
    <w:p w14:paraId="53588545" w14:textId="77777777" w:rsidR="00B71E60" w:rsidRPr="00B957A0" w:rsidRDefault="00B71E60" w:rsidP="00B957A0">
      <w:pPr>
        <w:spacing w:line="360" w:lineRule="auto"/>
      </w:pPr>
    </w:p>
    <w:p w14:paraId="05FD8402" w14:textId="0D4B5A49" w:rsidR="00B71E60" w:rsidRPr="00B957A0" w:rsidRDefault="00B71E60" w:rsidP="00B957A0">
      <w:pPr>
        <w:spacing w:after="120" w:line="360" w:lineRule="auto"/>
        <w:jc w:val="both"/>
      </w:pPr>
      <w:r w:rsidRPr="00B957A0">
        <w:t>Cette formule est la version à grappes (cluster) de la formule de puissance classique : elle ajoute un terme de corrélation intra-école (ρ) parce que les filles d’une même école ne sont pas des observations totalement indépendantes</w:t>
      </w:r>
      <w:r w:rsidR="004B0E52" w:rsidRPr="00B957A0">
        <w:t> ;</w:t>
      </w:r>
      <w:r w:rsidRPr="00B957A0">
        <w:t xml:space="preserve"> elles partagent le même environnement scolaire, le même facilitateur et, pour les bras traités, la même intervention. Ignorer ρ conduirait à sous-estimer les erreurs standards et à surestimer la puissance réelle du design.</w:t>
      </w:r>
    </w:p>
    <w:p w14:paraId="69BDEF54" w14:textId="77777777" w:rsidR="00B71E60" w:rsidRPr="00B957A0" w:rsidRDefault="00B71E60" w:rsidP="00B957A0">
      <w:pPr>
        <w:spacing w:line="360" w:lineRule="auto"/>
      </w:pPr>
    </w:p>
    <w:tbl>
      <w:tblPr>
        <w:tblStyle w:val="Grilledutableau"/>
        <w:tblW w:w="10156" w:type="dxa"/>
        <w:jc w:val="center"/>
        <w:tblLook w:val="04A0" w:firstRow="1" w:lastRow="0" w:firstColumn="1" w:lastColumn="0" w:noHBand="0" w:noVBand="1"/>
      </w:tblPr>
      <w:tblGrid>
        <w:gridCol w:w="2200"/>
        <w:gridCol w:w="4200"/>
        <w:gridCol w:w="3756"/>
      </w:tblGrid>
      <w:tr w:rsidR="00B71E60" w:rsidRPr="00B957A0" w14:paraId="3352EA2B" w14:textId="77777777" w:rsidTr="002F19DD">
        <w:trPr>
          <w:tblHeader/>
          <w:jc w:val="center"/>
        </w:trPr>
        <w:tc>
          <w:tcPr>
            <w:tcW w:w="2200" w:type="dxa"/>
            <w:shd w:val="clear" w:color="auto" w:fill="1F4E79"/>
          </w:tcPr>
          <w:p w14:paraId="369368F8" w14:textId="77777777" w:rsidR="00B71E60" w:rsidRPr="00B957A0" w:rsidRDefault="00B71E60" w:rsidP="00B957A0">
            <w:pPr>
              <w:spacing w:line="360" w:lineRule="auto"/>
              <w:rPr>
                <w:sz w:val="24"/>
                <w:szCs w:val="24"/>
              </w:rPr>
            </w:pPr>
            <w:r w:rsidRPr="00B957A0">
              <w:rPr>
                <w:b/>
                <w:color w:val="FFFFFF"/>
                <w:sz w:val="24"/>
                <w:szCs w:val="24"/>
              </w:rPr>
              <w:t>Paramètre</w:t>
            </w:r>
          </w:p>
        </w:tc>
        <w:tc>
          <w:tcPr>
            <w:tcW w:w="4200" w:type="dxa"/>
            <w:shd w:val="clear" w:color="auto" w:fill="1F4E79"/>
          </w:tcPr>
          <w:p w14:paraId="502ECACF" w14:textId="77777777" w:rsidR="00B71E60" w:rsidRPr="00B957A0" w:rsidRDefault="00B71E60" w:rsidP="00B957A0">
            <w:pPr>
              <w:spacing w:line="360" w:lineRule="auto"/>
              <w:rPr>
                <w:sz w:val="24"/>
                <w:szCs w:val="24"/>
              </w:rPr>
            </w:pPr>
            <w:r w:rsidRPr="00B957A0">
              <w:rPr>
                <w:b/>
                <w:color w:val="FFFFFF"/>
                <w:sz w:val="24"/>
                <w:szCs w:val="24"/>
              </w:rPr>
              <w:t>Valeur retenue dans le design</w:t>
            </w:r>
          </w:p>
        </w:tc>
        <w:tc>
          <w:tcPr>
            <w:tcW w:w="3756" w:type="dxa"/>
            <w:shd w:val="clear" w:color="auto" w:fill="1F4E79"/>
          </w:tcPr>
          <w:p w14:paraId="2E274370" w14:textId="77777777" w:rsidR="00B71E60" w:rsidRPr="00B957A0" w:rsidRDefault="00B71E60" w:rsidP="00B957A0">
            <w:pPr>
              <w:spacing w:line="360" w:lineRule="auto"/>
              <w:rPr>
                <w:sz w:val="24"/>
                <w:szCs w:val="24"/>
              </w:rPr>
            </w:pPr>
            <w:r w:rsidRPr="00B957A0">
              <w:rPr>
                <w:b/>
                <w:color w:val="FFFFFF"/>
                <w:sz w:val="24"/>
                <w:szCs w:val="24"/>
              </w:rPr>
              <w:t>Source / justification</w:t>
            </w:r>
          </w:p>
        </w:tc>
      </w:tr>
      <w:tr w:rsidR="00B71E60" w:rsidRPr="001456A3" w14:paraId="370AE045" w14:textId="77777777" w:rsidTr="002F19DD">
        <w:trPr>
          <w:jc w:val="center"/>
        </w:trPr>
        <w:tc>
          <w:tcPr>
            <w:tcW w:w="2200" w:type="dxa"/>
          </w:tcPr>
          <w:p w14:paraId="0EEE3C3B" w14:textId="77777777" w:rsidR="00B71E60" w:rsidRPr="00B957A0" w:rsidRDefault="00B71E60" w:rsidP="00B957A0">
            <w:pPr>
              <w:spacing w:line="360" w:lineRule="auto"/>
              <w:rPr>
                <w:sz w:val="24"/>
                <w:szCs w:val="24"/>
              </w:rPr>
            </w:pPr>
            <w:r w:rsidRPr="00B957A0">
              <w:rPr>
                <w:sz w:val="24"/>
                <w:szCs w:val="24"/>
              </w:rPr>
              <w:t>J (écoles par bras)</w:t>
            </w:r>
          </w:p>
        </w:tc>
        <w:tc>
          <w:tcPr>
            <w:tcW w:w="4200" w:type="dxa"/>
          </w:tcPr>
          <w:p w14:paraId="64895748" w14:textId="77777777" w:rsidR="00B71E60" w:rsidRPr="00B957A0" w:rsidRDefault="00B71E60" w:rsidP="00B957A0">
            <w:pPr>
              <w:spacing w:line="360" w:lineRule="auto"/>
              <w:rPr>
                <w:sz w:val="24"/>
                <w:szCs w:val="24"/>
              </w:rPr>
            </w:pPr>
            <w:r w:rsidRPr="00B957A0">
              <w:rPr>
                <w:sz w:val="24"/>
                <w:szCs w:val="24"/>
              </w:rPr>
              <w:t>50</w:t>
            </w:r>
          </w:p>
        </w:tc>
        <w:tc>
          <w:tcPr>
            <w:tcW w:w="3756" w:type="dxa"/>
          </w:tcPr>
          <w:p w14:paraId="03E659AC" w14:textId="77777777" w:rsidR="00B71E60" w:rsidRPr="00B957A0" w:rsidRDefault="00B71E60" w:rsidP="00B957A0">
            <w:pPr>
              <w:spacing w:line="360" w:lineRule="auto"/>
              <w:rPr>
                <w:sz w:val="24"/>
                <w:szCs w:val="24"/>
              </w:rPr>
            </w:pPr>
            <w:r w:rsidRPr="00B957A0">
              <w:rPr>
                <w:sz w:val="24"/>
                <w:szCs w:val="24"/>
              </w:rPr>
              <w:t>Section 7 : 150 écoles au total, 50 par bras (Contrôle, T1, T2).</w:t>
            </w:r>
          </w:p>
        </w:tc>
      </w:tr>
      <w:tr w:rsidR="00B71E60" w:rsidRPr="001456A3" w14:paraId="4E4E95C5" w14:textId="77777777" w:rsidTr="002F19DD">
        <w:trPr>
          <w:jc w:val="center"/>
        </w:trPr>
        <w:tc>
          <w:tcPr>
            <w:tcW w:w="2200" w:type="dxa"/>
          </w:tcPr>
          <w:p w14:paraId="374A872A" w14:textId="77777777" w:rsidR="00B71E60" w:rsidRPr="00B957A0" w:rsidRDefault="00B71E60" w:rsidP="00B957A0">
            <w:pPr>
              <w:spacing w:line="360" w:lineRule="auto"/>
              <w:rPr>
                <w:sz w:val="24"/>
                <w:szCs w:val="24"/>
              </w:rPr>
            </w:pPr>
            <w:proofErr w:type="gramStart"/>
            <w:r w:rsidRPr="00B957A0">
              <w:rPr>
                <w:sz w:val="24"/>
                <w:szCs w:val="24"/>
              </w:rPr>
              <w:t>n</w:t>
            </w:r>
            <w:proofErr w:type="gramEnd"/>
            <w:r w:rsidRPr="00B957A0">
              <w:rPr>
                <w:sz w:val="24"/>
                <w:szCs w:val="24"/>
              </w:rPr>
              <w:t xml:space="preserve"> (filles par école)</w:t>
            </w:r>
          </w:p>
        </w:tc>
        <w:tc>
          <w:tcPr>
            <w:tcW w:w="4200" w:type="dxa"/>
          </w:tcPr>
          <w:p w14:paraId="413036C4" w14:textId="77777777" w:rsidR="00B71E60" w:rsidRPr="00B957A0" w:rsidRDefault="00B71E60" w:rsidP="00B957A0">
            <w:pPr>
              <w:spacing w:line="360" w:lineRule="auto"/>
              <w:rPr>
                <w:sz w:val="24"/>
                <w:szCs w:val="24"/>
              </w:rPr>
            </w:pPr>
            <w:r w:rsidRPr="00B957A0">
              <w:rPr>
                <w:sz w:val="24"/>
                <w:szCs w:val="24"/>
              </w:rPr>
              <w:t>30</w:t>
            </w:r>
          </w:p>
        </w:tc>
        <w:tc>
          <w:tcPr>
            <w:tcW w:w="3756" w:type="dxa"/>
          </w:tcPr>
          <w:p w14:paraId="71B1D53E" w14:textId="77777777" w:rsidR="00B71E60" w:rsidRPr="00B957A0" w:rsidRDefault="00B71E60" w:rsidP="00B957A0">
            <w:pPr>
              <w:spacing w:line="360" w:lineRule="auto"/>
              <w:rPr>
                <w:sz w:val="24"/>
                <w:szCs w:val="24"/>
              </w:rPr>
            </w:pPr>
            <w:r w:rsidRPr="00B957A0">
              <w:rPr>
                <w:sz w:val="24"/>
                <w:szCs w:val="24"/>
              </w:rPr>
              <w:t>Section 7 : 15 filles en 6ᵉᵐᵉ + 15 en 5ᵉᵐᵉ par école.</w:t>
            </w:r>
          </w:p>
        </w:tc>
      </w:tr>
      <w:tr w:rsidR="00B71E60" w:rsidRPr="001456A3" w14:paraId="6A6878E9" w14:textId="77777777" w:rsidTr="002F19DD">
        <w:trPr>
          <w:jc w:val="center"/>
        </w:trPr>
        <w:tc>
          <w:tcPr>
            <w:tcW w:w="2200" w:type="dxa"/>
          </w:tcPr>
          <w:p w14:paraId="37D49649" w14:textId="77777777" w:rsidR="00B71E60" w:rsidRPr="00B957A0" w:rsidRDefault="00B71E60" w:rsidP="00B957A0">
            <w:pPr>
              <w:spacing w:line="360" w:lineRule="auto"/>
              <w:rPr>
                <w:sz w:val="24"/>
                <w:szCs w:val="24"/>
              </w:rPr>
            </w:pPr>
            <w:r w:rsidRPr="00B957A0">
              <w:rPr>
                <w:sz w:val="24"/>
                <w:szCs w:val="24"/>
              </w:rPr>
              <w:t>P (allocation)</w:t>
            </w:r>
          </w:p>
        </w:tc>
        <w:tc>
          <w:tcPr>
            <w:tcW w:w="4200" w:type="dxa"/>
          </w:tcPr>
          <w:p w14:paraId="719641B0" w14:textId="77777777" w:rsidR="00B71E60" w:rsidRPr="00B957A0" w:rsidRDefault="00B71E60" w:rsidP="00B957A0">
            <w:pPr>
              <w:spacing w:line="360" w:lineRule="auto"/>
              <w:rPr>
                <w:sz w:val="24"/>
                <w:szCs w:val="24"/>
              </w:rPr>
            </w:pPr>
            <w:r w:rsidRPr="00B957A0">
              <w:rPr>
                <w:sz w:val="24"/>
                <w:szCs w:val="24"/>
              </w:rPr>
              <w:t>0,5</w:t>
            </w:r>
          </w:p>
        </w:tc>
        <w:tc>
          <w:tcPr>
            <w:tcW w:w="3756" w:type="dxa"/>
          </w:tcPr>
          <w:p w14:paraId="2C62EE9B" w14:textId="77777777" w:rsidR="00B71E60" w:rsidRPr="00B957A0" w:rsidRDefault="00B71E60" w:rsidP="00B957A0">
            <w:pPr>
              <w:spacing w:line="360" w:lineRule="auto"/>
              <w:rPr>
                <w:sz w:val="24"/>
                <w:szCs w:val="24"/>
              </w:rPr>
            </w:pPr>
            <w:r w:rsidRPr="00B957A0">
              <w:rPr>
                <w:sz w:val="24"/>
                <w:szCs w:val="24"/>
              </w:rPr>
              <w:t xml:space="preserve">Nombre égal d’écoles traitées et témoins pour chaque comparaison </w:t>
            </w:r>
            <w:proofErr w:type="spellStart"/>
            <w:r w:rsidRPr="00B957A0">
              <w:rPr>
                <w:sz w:val="24"/>
                <w:szCs w:val="24"/>
              </w:rPr>
              <w:t>pairwise</w:t>
            </w:r>
            <w:proofErr w:type="spellEnd"/>
            <w:r w:rsidRPr="00B957A0">
              <w:rPr>
                <w:sz w:val="24"/>
                <w:szCs w:val="24"/>
              </w:rPr>
              <w:t>.</w:t>
            </w:r>
          </w:p>
        </w:tc>
      </w:tr>
      <w:tr w:rsidR="00B71E60" w:rsidRPr="001456A3" w14:paraId="0280E2DB" w14:textId="77777777" w:rsidTr="002F19DD">
        <w:trPr>
          <w:jc w:val="center"/>
        </w:trPr>
        <w:tc>
          <w:tcPr>
            <w:tcW w:w="2200" w:type="dxa"/>
          </w:tcPr>
          <w:p w14:paraId="44F38339" w14:textId="77777777" w:rsidR="00B71E60" w:rsidRPr="00B957A0" w:rsidRDefault="00B71E60" w:rsidP="00B957A0">
            <w:pPr>
              <w:spacing w:line="360" w:lineRule="auto"/>
              <w:rPr>
                <w:sz w:val="24"/>
                <w:szCs w:val="24"/>
              </w:rPr>
            </w:pPr>
            <w:proofErr w:type="gramStart"/>
            <w:r w:rsidRPr="00B957A0">
              <w:rPr>
                <w:sz w:val="24"/>
                <w:szCs w:val="24"/>
              </w:rPr>
              <w:t>ρ</w:t>
            </w:r>
            <w:proofErr w:type="gramEnd"/>
            <w:r w:rsidRPr="00B957A0">
              <w:rPr>
                <w:sz w:val="24"/>
                <w:szCs w:val="24"/>
              </w:rPr>
              <w:t xml:space="preserve"> (ICC)</w:t>
            </w:r>
          </w:p>
        </w:tc>
        <w:tc>
          <w:tcPr>
            <w:tcW w:w="4200" w:type="dxa"/>
          </w:tcPr>
          <w:p w14:paraId="4CFDEFDB" w14:textId="77777777" w:rsidR="00B71E60" w:rsidRPr="00B957A0" w:rsidRDefault="00B71E60" w:rsidP="00B957A0">
            <w:pPr>
              <w:spacing w:line="360" w:lineRule="auto"/>
              <w:rPr>
                <w:sz w:val="24"/>
                <w:szCs w:val="24"/>
              </w:rPr>
            </w:pPr>
            <w:r w:rsidRPr="00B957A0">
              <w:rPr>
                <w:sz w:val="24"/>
                <w:szCs w:val="24"/>
              </w:rPr>
              <w:t>0,10 (hypothèse centrale ; testé de 0,05 à 0,20)</w:t>
            </w:r>
          </w:p>
        </w:tc>
        <w:tc>
          <w:tcPr>
            <w:tcW w:w="3756" w:type="dxa"/>
          </w:tcPr>
          <w:p w14:paraId="44E78FB5" w14:textId="77777777" w:rsidR="00B71E60" w:rsidRPr="00B957A0" w:rsidRDefault="00B71E60" w:rsidP="00B957A0">
            <w:pPr>
              <w:spacing w:line="360" w:lineRule="auto"/>
              <w:rPr>
                <w:sz w:val="24"/>
                <w:szCs w:val="24"/>
              </w:rPr>
            </w:pPr>
            <w:r w:rsidRPr="00B957A0">
              <w:rPr>
                <w:sz w:val="24"/>
                <w:szCs w:val="24"/>
              </w:rPr>
              <w:t xml:space="preserve">Aucun </w:t>
            </w:r>
            <w:proofErr w:type="spellStart"/>
            <w:r w:rsidRPr="00B957A0">
              <w:rPr>
                <w:sz w:val="24"/>
                <w:szCs w:val="24"/>
              </w:rPr>
              <w:t>baseline</w:t>
            </w:r>
            <w:proofErr w:type="spellEnd"/>
            <w:r w:rsidRPr="00B957A0">
              <w:rPr>
                <w:sz w:val="24"/>
                <w:szCs w:val="24"/>
              </w:rPr>
              <w:t xml:space="preserve"> disponible à ce stade ; à remplacer par “</w:t>
            </w:r>
            <w:proofErr w:type="spellStart"/>
            <w:r w:rsidRPr="00B957A0">
              <w:rPr>
                <w:sz w:val="24"/>
                <w:szCs w:val="24"/>
              </w:rPr>
              <w:t>loneway</w:t>
            </w:r>
            <w:proofErr w:type="spellEnd"/>
            <w:r w:rsidRPr="00B957A0">
              <w:rPr>
                <w:sz w:val="24"/>
                <w:szCs w:val="24"/>
              </w:rPr>
              <w:t xml:space="preserve"> &lt;résultat&gt; &lt;école&gt;” une fois les données de </w:t>
            </w:r>
            <w:proofErr w:type="spellStart"/>
            <w:r w:rsidRPr="00B957A0">
              <w:rPr>
                <w:sz w:val="24"/>
                <w:szCs w:val="24"/>
              </w:rPr>
              <w:t>baseline</w:t>
            </w:r>
            <w:proofErr w:type="spellEnd"/>
            <w:r w:rsidRPr="00B957A0">
              <w:rPr>
                <w:sz w:val="24"/>
                <w:szCs w:val="24"/>
              </w:rPr>
              <w:t xml:space="preserve"> collectées.</w:t>
            </w:r>
          </w:p>
        </w:tc>
      </w:tr>
      <w:tr w:rsidR="00B71E60" w:rsidRPr="001456A3" w14:paraId="4F8BB932" w14:textId="77777777" w:rsidTr="002F19DD">
        <w:trPr>
          <w:jc w:val="center"/>
        </w:trPr>
        <w:tc>
          <w:tcPr>
            <w:tcW w:w="2200" w:type="dxa"/>
          </w:tcPr>
          <w:p w14:paraId="258BA5B4" w14:textId="77777777" w:rsidR="00B71E60" w:rsidRPr="00B957A0" w:rsidRDefault="00B71E60" w:rsidP="00B957A0">
            <w:pPr>
              <w:spacing w:line="360" w:lineRule="auto"/>
              <w:rPr>
                <w:sz w:val="24"/>
                <w:szCs w:val="24"/>
              </w:rPr>
            </w:pPr>
            <w:proofErr w:type="gramStart"/>
            <w:r w:rsidRPr="00B957A0">
              <w:rPr>
                <w:sz w:val="24"/>
                <w:szCs w:val="24"/>
              </w:rPr>
              <w:t>σ</w:t>
            </w:r>
            <w:proofErr w:type="gramEnd"/>
            <w:r w:rsidRPr="00B957A0">
              <w:rPr>
                <w:sz w:val="24"/>
                <w:szCs w:val="24"/>
              </w:rPr>
              <w:t xml:space="preserve"> (écart-type)</w:t>
            </w:r>
          </w:p>
        </w:tc>
        <w:tc>
          <w:tcPr>
            <w:tcW w:w="4200" w:type="dxa"/>
          </w:tcPr>
          <w:p w14:paraId="7960C26E" w14:textId="77777777" w:rsidR="00B71E60" w:rsidRPr="00B957A0" w:rsidRDefault="00B71E60" w:rsidP="00B957A0">
            <w:pPr>
              <w:spacing w:line="360" w:lineRule="auto"/>
              <w:rPr>
                <w:sz w:val="24"/>
                <w:szCs w:val="24"/>
              </w:rPr>
            </w:pPr>
            <w:r w:rsidRPr="00B957A0">
              <w:rPr>
                <w:sz w:val="24"/>
                <w:szCs w:val="24"/>
              </w:rPr>
              <w:t>1 (échelle standardisée)</w:t>
            </w:r>
          </w:p>
        </w:tc>
        <w:tc>
          <w:tcPr>
            <w:tcW w:w="3756" w:type="dxa"/>
          </w:tcPr>
          <w:p w14:paraId="100FF737" w14:textId="77777777" w:rsidR="00B71E60" w:rsidRPr="00B957A0" w:rsidRDefault="00B71E60" w:rsidP="00B957A0">
            <w:pPr>
              <w:spacing w:line="360" w:lineRule="auto"/>
              <w:rPr>
                <w:sz w:val="24"/>
                <w:szCs w:val="24"/>
              </w:rPr>
            </w:pPr>
            <w:r w:rsidRPr="00B957A0">
              <w:rPr>
                <w:sz w:val="24"/>
                <w:szCs w:val="24"/>
              </w:rPr>
              <w:t>Aucune donnée de référence encore disponible pour les indicateurs finaux (temps d’étude, repos, etc.).</w:t>
            </w:r>
          </w:p>
        </w:tc>
      </w:tr>
      <w:tr w:rsidR="00B71E60" w:rsidRPr="001456A3" w14:paraId="6BAE31F2" w14:textId="77777777" w:rsidTr="002F19DD">
        <w:trPr>
          <w:jc w:val="center"/>
        </w:trPr>
        <w:tc>
          <w:tcPr>
            <w:tcW w:w="2200" w:type="dxa"/>
          </w:tcPr>
          <w:p w14:paraId="3E4C8031" w14:textId="77777777" w:rsidR="00B71E60" w:rsidRPr="00B957A0" w:rsidRDefault="00B71E60" w:rsidP="00B957A0">
            <w:pPr>
              <w:spacing w:line="360" w:lineRule="auto"/>
              <w:rPr>
                <w:sz w:val="24"/>
                <w:szCs w:val="24"/>
              </w:rPr>
            </w:pPr>
            <w:r w:rsidRPr="00B957A0">
              <w:rPr>
                <w:sz w:val="24"/>
                <w:szCs w:val="24"/>
              </w:rPr>
              <w:t>R² (covariables)</w:t>
            </w:r>
          </w:p>
        </w:tc>
        <w:tc>
          <w:tcPr>
            <w:tcW w:w="4200" w:type="dxa"/>
          </w:tcPr>
          <w:p w14:paraId="17DEA727" w14:textId="77777777" w:rsidR="00B71E60" w:rsidRPr="00B957A0" w:rsidRDefault="00B71E60" w:rsidP="00B957A0">
            <w:pPr>
              <w:spacing w:line="360" w:lineRule="auto"/>
              <w:rPr>
                <w:sz w:val="24"/>
                <w:szCs w:val="24"/>
              </w:rPr>
            </w:pPr>
            <w:r w:rsidRPr="00B957A0">
              <w:rPr>
                <w:sz w:val="24"/>
                <w:szCs w:val="24"/>
              </w:rPr>
              <w:t>0 à 0,40 selon scénario</w:t>
            </w:r>
          </w:p>
        </w:tc>
        <w:tc>
          <w:tcPr>
            <w:tcW w:w="3756" w:type="dxa"/>
          </w:tcPr>
          <w:p w14:paraId="53BF445B" w14:textId="77777777" w:rsidR="00B71E60" w:rsidRPr="00B957A0" w:rsidRDefault="00B71E60" w:rsidP="00B957A0">
            <w:pPr>
              <w:spacing w:line="360" w:lineRule="auto"/>
              <w:rPr>
                <w:sz w:val="24"/>
                <w:szCs w:val="24"/>
              </w:rPr>
            </w:pPr>
            <w:r w:rsidRPr="00B957A0">
              <w:rPr>
                <w:sz w:val="24"/>
                <w:szCs w:val="24"/>
              </w:rPr>
              <w:t xml:space="preserve">Gain de précision attendu d’une </w:t>
            </w:r>
            <w:proofErr w:type="spellStart"/>
            <w:r w:rsidRPr="00B957A0">
              <w:rPr>
                <w:sz w:val="24"/>
                <w:szCs w:val="24"/>
              </w:rPr>
              <w:t>covariable</w:t>
            </w:r>
            <w:proofErr w:type="spellEnd"/>
            <w:r w:rsidRPr="00B957A0">
              <w:rPr>
                <w:sz w:val="24"/>
                <w:szCs w:val="24"/>
              </w:rPr>
              <w:t xml:space="preserve"> de </w:t>
            </w:r>
            <w:proofErr w:type="spellStart"/>
            <w:r w:rsidRPr="00B957A0">
              <w:rPr>
                <w:sz w:val="24"/>
                <w:szCs w:val="24"/>
              </w:rPr>
              <w:t>baseline</w:t>
            </w:r>
            <w:proofErr w:type="spellEnd"/>
            <w:r w:rsidRPr="00B957A0">
              <w:rPr>
                <w:sz w:val="24"/>
                <w:szCs w:val="24"/>
              </w:rPr>
              <w:t xml:space="preserve"> (Tableau 3 du calcul de puissance).</w:t>
            </w:r>
          </w:p>
        </w:tc>
      </w:tr>
      <w:tr w:rsidR="00B71E60" w:rsidRPr="001456A3" w14:paraId="1BC28BCA" w14:textId="77777777" w:rsidTr="002F19DD">
        <w:trPr>
          <w:jc w:val="center"/>
        </w:trPr>
        <w:tc>
          <w:tcPr>
            <w:tcW w:w="2200" w:type="dxa"/>
          </w:tcPr>
          <w:p w14:paraId="14BEF76B" w14:textId="77777777" w:rsidR="00B71E60" w:rsidRPr="00B957A0" w:rsidRDefault="00B71E60" w:rsidP="00B957A0">
            <w:pPr>
              <w:spacing w:line="360" w:lineRule="auto"/>
              <w:rPr>
                <w:sz w:val="24"/>
                <w:szCs w:val="24"/>
              </w:rPr>
            </w:pPr>
            <w:r w:rsidRPr="00B957A0">
              <w:rPr>
                <w:sz w:val="24"/>
                <w:szCs w:val="24"/>
              </w:rPr>
              <w:t>M(</w:t>
            </w:r>
            <w:proofErr w:type="gramStart"/>
            <w:r w:rsidRPr="00B957A0">
              <w:rPr>
                <w:sz w:val="24"/>
                <w:szCs w:val="24"/>
              </w:rPr>
              <w:t>κ,α</w:t>
            </w:r>
            <w:proofErr w:type="gramEnd"/>
            <w:r w:rsidRPr="00B957A0">
              <w:rPr>
                <w:sz w:val="24"/>
                <w:szCs w:val="24"/>
              </w:rPr>
              <w:t>)</w:t>
            </w:r>
          </w:p>
        </w:tc>
        <w:tc>
          <w:tcPr>
            <w:tcW w:w="4200" w:type="dxa"/>
          </w:tcPr>
          <w:p w14:paraId="7D2689ED" w14:textId="77777777" w:rsidR="00B71E60" w:rsidRPr="00B957A0" w:rsidRDefault="00B71E60" w:rsidP="00B957A0">
            <w:pPr>
              <w:spacing w:line="360" w:lineRule="auto"/>
              <w:rPr>
                <w:sz w:val="24"/>
                <w:szCs w:val="24"/>
              </w:rPr>
            </w:pPr>
            <w:r w:rsidRPr="00B957A0">
              <w:rPr>
                <w:sz w:val="24"/>
                <w:szCs w:val="24"/>
              </w:rPr>
              <w:t>≈ 2,80</w:t>
            </w:r>
          </w:p>
        </w:tc>
        <w:tc>
          <w:tcPr>
            <w:tcW w:w="3756" w:type="dxa"/>
          </w:tcPr>
          <w:p w14:paraId="4A8642EE" w14:textId="77777777" w:rsidR="00B71E60" w:rsidRPr="00B957A0" w:rsidRDefault="00B71E60" w:rsidP="00B957A0">
            <w:pPr>
              <w:spacing w:line="360" w:lineRule="auto"/>
              <w:rPr>
                <w:sz w:val="24"/>
                <w:szCs w:val="24"/>
              </w:rPr>
            </w:pPr>
            <w:r w:rsidRPr="00B957A0">
              <w:rPr>
                <w:sz w:val="24"/>
                <w:szCs w:val="24"/>
              </w:rPr>
              <w:t>Puissance cible 80 % (κ) et seuil de signification bilatéral 5 % (α), conventions C4ED/J-PAL.</w:t>
            </w:r>
          </w:p>
        </w:tc>
      </w:tr>
    </w:tbl>
    <w:p w14:paraId="11798A5E" w14:textId="77777777" w:rsidR="00B71E60" w:rsidRPr="00B957A0" w:rsidRDefault="00B71E60" w:rsidP="00B957A0">
      <w:pPr>
        <w:spacing w:line="360" w:lineRule="auto"/>
      </w:pPr>
    </w:p>
    <w:p w14:paraId="7EBE04A6" w14:textId="77777777" w:rsidR="00B71E60" w:rsidRPr="00B957A0" w:rsidRDefault="00B71E60" w:rsidP="00B957A0">
      <w:pPr>
        <w:spacing w:after="120" w:line="360" w:lineRule="auto"/>
        <w:jc w:val="both"/>
      </w:pPr>
      <w:r w:rsidRPr="00B957A0">
        <w:t>Appliquée aux paramètres retenus par le design (J = 50, n = 30, P = 0,5, ρ = 0,10, σ = 1, R² = 0, puissance 80 %, seuil 5 %), la formule donne un MDE d’environ 0,20 écart-type pour chacune des deux comparaisons principales (T1 vs Contrôle, T2 vs Contrôle). Autrement dit, le design peut détecter de manière fiable un effet du programme supérieur à 0,20 écart-type sur les indicateurs de temps d’étude, de repos ou d’interruptions ; un effet plus petit risquerait de ne pas atteindre la signification statistique même s’il existe réellement sur le terrain.</w:t>
      </w:r>
    </w:p>
    <w:p w14:paraId="5AC53F9A" w14:textId="77777777" w:rsidR="00B71E60" w:rsidRPr="00B957A0" w:rsidRDefault="00B71E60" w:rsidP="00B957A0">
      <w:pPr>
        <w:spacing w:line="360" w:lineRule="auto"/>
      </w:pPr>
    </w:p>
    <w:tbl>
      <w:tblPr>
        <w:tblStyle w:val="Grilledutableau"/>
        <w:tblW w:w="0" w:type="auto"/>
        <w:jc w:val="center"/>
        <w:tblLook w:val="04A0" w:firstRow="1" w:lastRow="0" w:firstColumn="1" w:lastColumn="0" w:noHBand="0" w:noVBand="1"/>
      </w:tblPr>
      <w:tblGrid>
        <w:gridCol w:w="9016"/>
      </w:tblGrid>
      <w:tr w:rsidR="00B71E60" w:rsidRPr="001456A3" w14:paraId="6D080991" w14:textId="77777777" w:rsidTr="002F19DD">
        <w:trPr>
          <w:jc w:val="center"/>
        </w:trPr>
        <w:tc>
          <w:tcPr>
            <w:tcW w:w="10166" w:type="dxa"/>
            <w:shd w:val="clear" w:color="auto" w:fill="FFF2CC"/>
          </w:tcPr>
          <w:p w14:paraId="5C25D4FB" w14:textId="77777777" w:rsidR="00B71E60" w:rsidRPr="00B957A0" w:rsidRDefault="00B71E60" w:rsidP="00B957A0">
            <w:pPr>
              <w:spacing w:after="80" w:line="360" w:lineRule="auto"/>
              <w:jc w:val="both"/>
              <w:rPr>
                <w:sz w:val="24"/>
                <w:szCs w:val="24"/>
              </w:rPr>
            </w:pPr>
            <w:r w:rsidRPr="00B957A0">
              <w:rPr>
                <w:b/>
                <w:color w:val="1F4E79"/>
                <w:sz w:val="24"/>
                <w:szCs w:val="24"/>
              </w:rPr>
              <w:t>À retenir</w:t>
            </w:r>
          </w:p>
          <w:p w14:paraId="32687973" w14:textId="77777777" w:rsidR="00B71E60" w:rsidRPr="00B957A0" w:rsidRDefault="00B71E60" w:rsidP="00B957A0">
            <w:pPr>
              <w:spacing w:after="40" w:line="360" w:lineRule="auto"/>
              <w:jc w:val="both"/>
              <w:rPr>
                <w:sz w:val="24"/>
                <w:szCs w:val="24"/>
              </w:rPr>
            </w:pPr>
            <w:r w:rsidRPr="00B957A0">
              <w:rPr>
                <w:sz w:val="24"/>
                <w:szCs w:val="24"/>
              </w:rPr>
              <w:t xml:space="preserve">Le MDE n’indique pas si un effet existe ou non : c’est une propriété du design, calculée avant la collecte des données. Une fois les résultats observés, c’est la p-value de la régression principale (section 11.2) qui tranche. Le MDE sert seulement à vérifier, en amont, que l’échantillon prévu (150 écoles, 50 par bras, 30 filles par école) est suffisant pour détecter des effets de la taille attendue pour ce type d’intervention comportementale à faible coût. La sensibilité de ce résultat à l’hypothèse d’ICC (ρ), à l’attrition et à la disponibilité de covariables de </w:t>
            </w:r>
            <w:proofErr w:type="spellStart"/>
            <w:r w:rsidRPr="00B957A0">
              <w:rPr>
                <w:sz w:val="24"/>
                <w:szCs w:val="24"/>
              </w:rPr>
              <w:t>baseline</w:t>
            </w:r>
            <w:proofErr w:type="spellEnd"/>
            <w:r w:rsidRPr="00B957A0">
              <w:rPr>
                <w:sz w:val="24"/>
                <w:szCs w:val="24"/>
              </w:rPr>
              <w:t xml:space="preserve"> est détaillée dans les tableaux de calcul de puissance associés à ce guide (voir aussi sections 11.2 et 11.6).</w:t>
            </w:r>
          </w:p>
        </w:tc>
      </w:tr>
    </w:tbl>
    <w:p w14:paraId="6863E2E1" w14:textId="4040FBBD" w:rsidR="001456A3" w:rsidRDefault="001456A3" w:rsidP="00B957A0">
      <w:pPr>
        <w:spacing w:line="360" w:lineRule="auto"/>
      </w:pPr>
    </w:p>
    <w:p w14:paraId="15B0F202" w14:textId="44EFF64B" w:rsidR="00B71E60" w:rsidRPr="00B957A0" w:rsidRDefault="001456A3" w:rsidP="001456A3">
      <w:pPr>
        <w:spacing w:after="160" w:line="278" w:lineRule="auto"/>
      </w:pPr>
      <w:r>
        <w:br w:type="page"/>
      </w:r>
    </w:p>
    <w:p w14:paraId="5CF4A639" w14:textId="77777777" w:rsidR="001456A3" w:rsidRPr="001456A3" w:rsidRDefault="001456A3" w:rsidP="001456A3">
      <w:pPr>
        <w:pStyle w:val="Titre3"/>
        <w:rPr>
          <w:rFonts w:ascii="Times New Roman" w:eastAsia="Times New Roman" w:hAnsi="Times New Roman" w:cs="Times New Roman"/>
          <w:sz w:val="24"/>
          <w:szCs w:val="24"/>
        </w:rPr>
      </w:pPr>
      <w:r w:rsidRPr="001456A3">
        <w:rPr>
          <w:rFonts w:ascii="Times New Roman" w:hAnsi="Times New Roman" w:cs="Times New Roman"/>
        </w:rPr>
        <w:t>4.3-           Calcul de puissance et taille d’échantillon des écoles et des élèves</w:t>
      </w:r>
    </w:p>
    <w:p w14:paraId="3099B086" w14:textId="77777777" w:rsidR="001456A3" w:rsidRDefault="001456A3" w:rsidP="001456A3">
      <w:pPr>
        <w:pStyle w:val="NormalWeb"/>
        <w:shd w:val="clear" w:color="auto" w:fill="FFFFFF"/>
        <w:spacing w:before="0" w:beforeAutospacing="0" w:after="0" w:afterAutospacing="0"/>
      </w:pPr>
    </w:p>
    <w:tbl>
      <w:tblPr>
        <w:tblW w:w="0" w:type="auto"/>
        <w:tblCellMar>
          <w:top w:w="15" w:type="dxa"/>
          <w:left w:w="15" w:type="dxa"/>
          <w:bottom w:w="15" w:type="dxa"/>
          <w:right w:w="15" w:type="dxa"/>
        </w:tblCellMar>
        <w:tblLook w:val="04A0" w:firstRow="1" w:lastRow="0" w:firstColumn="1" w:lastColumn="0" w:noHBand="0" w:noVBand="1"/>
      </w:tblPr>
      <w:tblGrid>
        <w:gridCol w:w="9026"/>
      </w:tblGrid>
      <w:tr w:rsidR="001456A3" w14:paraId="292EB009" w14:textId="77777777">
        <w:trPr>
          <w:trHeight w:val="6090"/>
        </w:trPr>
        <w:tc>
          <w:tcPr>
            <w:tcW w:w="0" w:type="auto"/>
            <w:tcMar>
              <w:top w:w="0" w:type="dxa"/>
              <w:left w:w="100" w:type="dxa"/>
              <w:bottom w:w="0" w:type="dxa"/>
              <w:right w:w="100" w:type="dxa"/>
            </w:tcMar>
            <w:hideMark/>
          </w:tcPr>
          <w:p w14:paraId="1315DA07" w14:textId="77777777" w:rsidR="001456A3" w:rsidRDefault="001456A3">
            <w:pPr>
              <w:pStyle w:val="NormalWeb"/>
              <w:shd w:val="clear" w:color="auto" w:fill="FFFFFF"/>
              <w:spacing w:before="0" w:beforeAutospacing="0" w:after="0" w:afterAutospacing="0"/>
              <w:jc w:val="both"/>
            </w:pPr>
            <w:r>
              <w:rPr>
                <w:color w:val="000000"/>
              </w:rPr>
              <w:t>L’équipe de recherche utilise la formule de puissance standard pour les essais contrôlés randomisés en grappes (cluster-</w:t>
            </w:r>
            <w:proofErr w:type="spellStart"/>
            <w:r>
              <w:rPr>
                <w:color w:val="000000"/>
              </w:rPr>
              <w:t>randomized</w:t>
            </w:r>
            <w:proofErr w:type="spellEnd"/>
            <w:r>
              <w:rPr>
                <w:color w:val="000000"/>
              </w:rPr>
              <w:t xml:space="preserve"> trials), puisque la randomisation se fait au niveau de l’école alors que les résultats sont mesurés au niveau de la fille. Cette formule relie la taille de l’échantillon, nombre d’écoles par bras et nombre de filles par école, à la taille minimale de l’effet détectable (MDE), c’est-à-dire la plus petite différence de résultat moyen entre le groupe traité et le groupe témoin que le design peut mettre en évidence avec une probabilité donnée (la puissance) à un niveau de signification statistique donné.</w:t>
            </w:r>
          </w:p>
          <w:p w14:paraId="4859EDBF" w14:textId="50C7747F" w:rsidR="001456A3" w:rsidRDefault="001456A3">
            <w:pPr>
              <w:pStyle w:val="NormalWeb"/>
              <w:shd w:val="clear" w:color="auto" w:fill="FFFFFF"/>
              <w:spacing w:before="0" w:beforeAutospacing="0" w:after="0" w:afterAutospacing="0"/>
              <w:jc w:val="both"/>
            </w:pPr>
            <w:r>
              <w:rPr>
                <w:noProof/>
                <w:color w:val="000000"/>
              </w:rPr>
              <w:drawing>
                <wp:inline distT="0" distB="0" distL="0" distR="0" wp14:anchorId="59D86056" wp14:editId="4C46BCD7">
                  <wp:extent cx="3549650" cy="565150"/>
                  <wp:effectExtent l="0" t="0" r="0" b="6350"/>
                  <wp:docPr id="4189063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49650" cy="565150"/>
                          </a:xfrm>
                          <a:prstGeom prst="rect">
                            <a:avLst/>
                          </a:prstGeom>
                          <a:noFill/>
                          <a:ln>
                            <a:noFill/>
                          </a:ln>
                        </pic:spPr>
                      </pic:pic>
                    </a:graphicData>
                  </a:graphic>
                </wp:inline>
              </w:drawing>
            </w:r>
          </w:p>
          <w:p w14:paraId="3D02A2DC" w14:textId="77777777" w:rsidR="001456A3" w:rsidRDefault="001456A3">
            <w:pPr>
              <w:pStyle w:val="NormalWeb"/>
              <w:shd w:val="clear" w:color="auto" w:fill="FFFFFF"/>
              <w:spacing w:before="0" w:beforeAutospacing="0" w:after="40" w:afterAutospacing="0"/>
              <w:jc w:val="both"/>
            </w:pPr>
            <w:r>
              <w:rPr>
                <w:color w:val="000000"/>
              </w:rPr>
              <w:t xml:space="preserve">M(κ,α) = t₁₋κ + tα (somme des statistiques t pour la puissance κ et le seuil de signification α, soit environ 2,8 pour une puissance de 80 % et un seuil bilatéral de 5 %) ; P = proportion de l’échantillon dans le bras traité (ratio d’allocation) ; J = nombre d’écoles (grappes) par bras ; n = nombre de filles enquêtées par école ; ρ = coefficient de corrélation intra-école (ICC) ; σ = écart-type de la variable de résultat ; R² = part de la variance du résultat expliquée par les covariables de </w:t>
            </w:r>
            <w:proofErr w:type="spellStart"/>
            <w:r>
              <w:rPr>
                <w:color w:val="000000"/>
              </w:rPr>
              <w:t>baseline</w:t>
            </w:r>
            <w:proofErr w:type="spellEnd"/>
            <w:r>
              <w:rPr>
                <w:color w:val="000000"/>
              </w:rPr>
              <w:t>.</w:t>
            </w:r>
          </w:p>
        </w:tc>
      </w:tr>
    </w:tbl>
    <w:p w14:paraId="7F240223" w14:textId="77777777" w:rsidR="001456A3" w:rsidRDefault="001456A3" w:rsidP="001456A3">
      <w:pPr>
        <w:pStyle w:val="NormalWeb"/>
        <w:shd w:val="clear" w:color="auto" w:fill="FFFFFF"/>
        <w:spacing w:before="0" w:beforeAutospacing="0" w:after="0" w:afterAutospacing="0"/>
        <w:jc w:val="both"/>
      </w:pPr>
      <w:r>
        <w:rPr>
          <w:color w:val="000000"/>
        </w:rPr>
        <w:t>Cette formule est la version à grappes (cluster) de la formule de puissance classique : elle ajoute un terme de corrélation intra-école (ρ) parce que les filles d’une même école ne sont pas des observations totalement indépendantes ; elles partagent le même environnement scolaire, le même facilitateur et, pour les bras traités, la même intervention. Ignorer ρ conduirait à sous-estimer les erreurs standards et à surestimer la puissance réelle du design.</w:t>
      </w:r>
    </w:p>
    <w:p w14:paraId="2372F3C0" w14:textId="77777777" w:rsidR="001456A3" w:rsidRDefault="001456A3" w:rsidP="001456A3">
      <w:pPr>
        <w:pStyle w:val="NormalWeb"/>
        <w:shd w:val="clear" w:color="auto" w:fill="FFFFFF"/>
        <w:spacing w:before="0" w:beforeAutospacing="0" w:after="0" w:afterAutospacing="0"/>
        <w:jc w:val="both"/>
      </w:pPr>
      <w:r>
        <w:rPr>
          <w:color w:val="000000"/>
        </w:rPr>
        <w:t>Appliquée aux paramètres retenus par le design (J = 50, n = 30, P = 0,5, ρ = 0,10, σ = 1, R² = 0, puissance 80 %, seuil 5 %), la formule donne un MDE d’environ 0,20 écart-type pour chacune des deux comparaisons principales (T1 vs Contrôle, T2 vs Contrôle). Autrement dit, le design peut détecter de manière fiable un effet du programme supérieur à 0,20 écart-type sur les indicateurs de temps d’étude, de repos ou d’interruptions ; un effet plus petit risquerait de ne pas atteindre la signification statistique même s’il existe réellement sur le terrain.</w:t>
      </w:r>
    </w:p>
    <w:p w14:paraId="0BFDCA1F" w14:textId="77777777" w:rsidR="001456A3" w:rsidRDefault="001456A3" w:rsidP="001456A3">
      <w:pPr>
        <w:pStyle w:val="NormalWeb"/>
        <w:shd w:val="clear" w:color="auto" w:fill="FFFFFF"/>
        <w:spacing w:before="0" w:beforeAutospacing="0" w:after="0" w:afterAutospacing="0"/>
        <w:jc w:val="both"/>
      </w:pPr>
    </w:p>
    <w:p w14:paraId="223FB1AC" w14:textId="77777777" w:rsidR="001456A3" w:rsidRDefault="001456A3" w:rsidP="001456A3">
      <w:pPr>
        <w:pStyle w:val="NormalWeb"/>
        <w:shd w:val="clear" w:color="auto" w:fill="FFFFFF"/>
        <w:spacing w:before="0" w:beforeAutospacing="0" w:after="0" w:afterAutospacing="0"/>
      </w:pPr>
    </w:p>
    <w:p w14:paraId="008FE5FC" w14:textId="77777777" w:rsidR="001456A3" w:rsidRDefault="001456A3" w:rsidP="001456A3">
      <w:pPr>
        <w:pStyle w:val="NormalWeb"/>
        <w:shd w:val="clear" w:color="auto" w:fill="FFFFFF"/>
        <w:spacing w:before="0" w:beforeAutospacing="0" w:after="0" w:afterAutospacing="0"/>
      </w:pPr>
      <w:r>
        <w:rPr>
          <w:b/>
          <w:bCs/>
          <w:color w:val="000000"/>
          <w:sz w:val="28"/>
          <w:szCs w:val="28"/>
        </w:rPr>
        <w:t>4.4-           Stratégie d’échantillonnage des écoles</w:t>
      </w:r>
    </w:p>
    <w:p w14:paraId="2B76A780" w14:textId="77777777" w:rsidR="001456A3" w:rsidRDefault="001456A3" w:rsidP="001456A3">
      <w:pPr>
        <w:pStyle w:val="NormalWeb"/>
        <w:shd w:val="clear" w:color="auto" w:fill="FFFFFF"/>
        <w:spacing w:before="0" w:beforeAutospacing="0" w:after="0" w:afterAutospacing="0"/>
      </w:pPr>
      <w:r>
        <w:rPr>
          <w:color w:val="000000"/>
        </w:rPr>
        <w:t>La population cible de l’étude est constituée des établissements publics d’enseignement secondaire situés dans les départements de l’Atlantique et du Zou. La sélection des écoles repose sur une base administrative permettant d’identifier les établissements, leur commune d’implantation ainsi que les effectifs des filles inscrites en classes de 6ème et de 5ème.</w:t>
      </w:r>
    </w:p>
    <w:p w14:paraId="0204A0C3" w14:textId="77777777" w:rsidR="001456A3" w:rsidRDefault="001456A3" w:rsidP="001456A3">
      <w:pPr>
        <w:pStyle w:val="NormalWeb"/>
        <w:shd w:val="clear" w:color="auto" w:fill="FFFFFF"/>
        <w:spacing w:before="0" w:beforeAutospacing="0" w:after="0" w:afterAutospacing="0"/>
      </w:pPr>
      <w:r>
        <w:rPr>
          <w:color w:val="000000"/>
        </w:rPr>
        <w:t>Le processus de sélection commence par l’identification des écoles publiques éligibles disposant d’informations complètes sur les effectifs féminins des classes de 6ème et de 5ème. La base de travail finale comprend 156 écoles éligibles dans les deux départements. La randomisation est réalisée au niveau de l’école, qui constitue l’unité de randomisation, tandis que l’unité d’observation principale est la fille sélectionnée au sein de l’école. Ce choix du niveau école vise notamment à limiter les risques de contamination entre les parents d’élèves d’une même école et à faciliter la mise en œuvre uniforme de l’intervention.</w:t>
      </w:r>
    </w:p>
    <w:p w14:paraId="06980DDB" w14:textId="77777777" w:rsidR="001456A3" w:rsidRDefault="001456A3" w:rsidP="001456A3">
      <w:pPr>
        <w:pStyle w:val="NormalWeb"/>
        <w:shd w:val="clear" w:color="auto" w:fill="FFFFFF"/>
        <w:spacing w:before="0" w:beforeAutospacing="0" w:after="0" w:afterAutospacing="0"/>
      </w:pPr>
      <w:r>
        <w:rPr>
          <w:color w:val="000000"/>
        </w:rPr>
        <w:t xml:space="preserve">Le plan expérimental prévoit trois bras de traitement de taille équilibrée : un groupe témoin (Control), un groupe recevant l’intervention de type Salience, et un troisième groupe recevant l’intervention Salience + </w:t>
      </w:r>
      <w:proofErr w:type="spellStart"/>
      <w:r>
        <w:rPr>
          <w:color w:val="000000"/>
        </w:rPr>
        <w:t>Implementation</w:t>
      </w:r>
      <w:proofErr w:type="spellEnd"/>
      <w:r>
        <w:rPr>
          <w:color w:val="000000"/>
        </w:rPr>
        <w:t>. Dans la randomisation effectivement réalisée sur les 156 écoles éligibles, chaque bras comprend 52 écoles.</w:t>
      </w:r>
    </w:p>
    <w:p w14:paraId="12583E74" w14:textId="77777777" w:rsidR="001456A3" w:rsidRDefault="001456A3" w:rsidP="001456A3">
      <w:pPr>
        <w:pStyle w:val="NormalWeb"/>
        <w:shd w:val="clear" w:color="auto" w:fill="FFFFFF"/>
        <w:spacing w:before="0" w:beforeAutospacing="0" w:after="0" w:afterAutospacing="0"/>
      </w:pPr>
      <w:r>
        <w:rPr>
          <w:color w:val="000000"/>
        </w:rPr>
        <w:t>Ainsi, l’échantillon scolaire final comprend 156 écoles, réparties à parts égales entre les trois conditions expérimentales, soit 52 écoles dans chacun des trois bras.</w:t>
      </w:r>
    </w:p>
    <w:p w14:paraId="5E609739" w14:textId="77777777" w:rsidR="001456A3" w:rsidRDefault="001456A3" w:rsidP="001456A3">
      <w:pPr>
        <w:pStyle w:val="NormalWeb"/>
        <w:shd w:val="clear" w:color="auto" w:fill="FFFFFF"/>
        <w:spacing w:before="0" w:beforeAutospacing="0" w:after="0" w:afterAutospacing="0"/>
      </w:pPr>
    </w:p>
    <w:p w14:paraId="3A9649A9" w14:textId="77777777" w:rsidR="001456A3" w:rsidRDefault="001456A3" w:rsidP="001456A3">
      <w:pPr>
        <w:pStyle w:val="NormalWeb"/>
        <w:shd w:val="clear" w:color="auto" w:fill="FFFFFF"/>
        <w:spacing w:before="0" w:beforeAutospacing="0" w:after="0" w:afterAutospacing="0"/>
      </w:pPr>
      <w:r>
        <w:rPr>
          <w:b/>
          <w:bCs/>
          <w:color w:val="000000"/>
          <w:sz w:val="28"/>
          <w:szCs w:val="28"/>
        </w:rPr>
        <w:t>4.5-           Stratégie d’échantillonnage des élèves</w:t>
      </w:r>
    </w:p>
    <w:p w14:paraId="3294BE13" w14:textId="77777777" w:rsidR="001456A3" w:rsidRDefault="001456A3" w:rsidP="001456A3">
      <w:pPr>
        <w:pStyle w:val="NormalWeb"/>
        <w:shd w:val="clear" w:color="auto" w:fill="FFFFFF"/>
        <w:spacing w:before="0" w:beforeAutospacing="0" w:after="0" w:afterAutospacing="0"/>
      </w:pPr>
      <w:r>
        <w:rPr>
          <w:color w:val="000000"/>
        </w:rPr>
        <w:t>La sélection des élèves est effectuée au sein des écoles incluses dans l’étude, après l’assignation des écoles aux différents bras expérimentaux. L’unité d’observation est la fille, tandis que l’unité de randomisation demeure l’école.</w:t>
      </w:r>
    </w:p>
    <w:p w14:paraId="0F4CA50A" w14:textId="77777777" w:rsidR="001456A3" w:rsidRDefault="001456A3" w:rsidP="001456A3">
      <w:pPr>
        <w:pStyle w:val="NormalWeb"/>
        <w:shd w:val="clear" w:color="auto" w:fill="FFFFFF"/>
        <w:spacing w:before="0" w:beforeAutospacing="0" w:after="0" w:afterAutospacing="0"/>
      </w:pPr>
      <w:r>
        <w:rPr>
          <w:color w:val="000000"/>
        </w:rPr>
        <w:t xml:space="preserve">Pour être éligible à la sélection, une fille doit être inscrite en </w:t>
      </w:r>
      <w:r>
        <w:rPr>
          <w:b/>
          <w:bCs/>
          <w:color w:val="000000"/>
        </w:rPr>
        <w:t>classe de 6ème ou de 5ème</w:t>
      </w:r>
      <w:r>
        <w:rPr>
          <w:color w:val="000000"/>
        </w:rPr>
        <w:t xml:space="preserve"> dans une école participante et avoir </w:t>
      </w:r>
      <w:r>
        <w:rPr>
          <w:b/>
          <w:bCs/>
          <w:color w:val="000000"/>
        </w:rPr>
        <w:t>ses deux figures parentales vivantes</w:t>
      </w:r>
      <w:r>
        <w:rPr>
          <w:color w:val="000000"/>
        </w:rPr>
        <w:t>, à savoir une mère et une figure paternelle. Cette condition constitue un critère préalable d’éligibilité, notamment parce que l’étude prévoit une assignation du parent cible entre la mère et le père.</w:t>
      </w:r>
    </w:p>
    <w:p w14:paraId="0A6424B6" w14:textId="77777777" w:rsidR="001456A3" w:rsidRDefault="001456A3" w:rsidP="001456A3">
      <w:pPr>
        <w:pStyle w:val="NormalWeb"/>
        <w:shd w:val="clear" w:color="auto" w:fill="FFFFFF"/>
        <w:spacing w:before="0" w:beforeAutospacing="0" w:after="0" w:afterAutospacing="0"/>
      </w:pPr>
      <w:r>
        <w:rPr>
          <w:color w:val="000000"/>
        </w:rPr>
        <w:t xml:space="preserve">Dans chaque école, les filles remplissant ces critères d’éligibilité sont identifiées. La sélection des participantes est ensuite effectuée </w:t>
      </w:r>
      <w:r>
        <w:rPr>
          <w:b/>
          <w:bCs/>
          <w:color w:val="000000"/>
        </w:rPr>
        <w:t>aléatoirement</w:t>
      </w:r>
      <w:r>
        <w:rPr>
          <w:color w:val="000000"/>
        </w:rPr>
        <w:t xml:space="preserve"> parmi les filles éligibles, afin de constituer l’échantillon prévu par le protocole.</w:t>
      </w:r>
    </w:p>
    <w:p w14:paraId="3EE116CF" w14:textId="77777777" w:rsidR="001456A3" w:rsidRDefault="001456A3" w:rsidP="001456A3">
      <w:pPr>
        <w:pStyle w:val="NormalWeb"/>
        <w:shd w:val="clear" w:color="auto" w:fill="FFFFFF"/>
        <w:spacing w:before="0" w:beforeAutospacing="0" w:after="0" w:afterAutospacing="0"/>
      </w:pPr>
      <w:r>
        <w:rPr>
          <w:color w:val="000000"/>
        </w:rPr>
        <w:t xml:space="preserve">Le nombre cible est de </w:t>
      </w:r>
      <w:r>
        <w:rPr>
          <w:b/>
          <w:bCs/>
          <w:color w:val="000000"/>
        </w:rPr>
        <w:t>30 filles par école</w:t>
      </w:r>
      <w:r>
        <w:rPr>
          <w:color w:val="000000"/>
        </w:rPr>
        <w:t xml:space="preserve">, soit </w:t>
      </w:r>
      <w:r>
        <w:rPr>
          <w:b/>
          <w:bCs/>
          <w:color w:val="000000"/>
        </w:rPr>
        <w:t>15 filles en 6ème et 15 filles en 5ème</w:t>
      </w:r>
      <w:r>
        <w:rPr>
          <w:color w:val="000000"/>
        </w:rPr>
        <w:t>. La sélection aléatoire est réalisée séparément au sein de chaque niveau lorsque le nombre de filles éligibles est suffisant.</w:t>
      </w:r>
    </w:p>
    <w:p w14:paraId="5C34E1FB" w14:textId="77777777" w:rsidR="001456A3" w:rsidRDefault="001456A3" w:rsidP="001456A3">
      <w:pPr>
        <w:pStyle w:val="NormalWeb"/>
        <w:shd w:val="clear" w:color="auto" w:fill="FFFFFF"/>
        <w:spacing w:before="0" w:beforeAutospacing="0" w:after="0" w:afterAutospacing="0"/>
      </w:pPr>
      <w:r>
        <w:rPr>
          <w:color w:val="000000"/>
        </w:rPr>
        <w:t xml:space="preserve">Une fois une fille sélectionnée, son parent cible est automatiquement déterminé à partir de l’affectation expérimentale de son école. Il n’y a donc pas de procédure distincte de sélection du parent après la sélection de la fille. Dans les écoles affectées à un bras de traitement, le parent cible est soit la </w:t>
      </w:r>
      <w:r>
        <w:rPr>
          <w:b/>
          <w:bCs/>
          <w:color w:val="000000"/>
        </w:rPr>
        <w:t>mère</w:t>
      </w:r>
      <w:r>
        <w:rPr>
          <w:color w:val="000000"/>
        </w:rPr>
        <w:t xml:space="preserve">, soit le </w:t>
      </w:r>
      <w:r>
        <w:rPr>
          <w:b/>
          <w:bCs/>
          <w:color w:val="000000"/>
        </w:rPr>
        <w:t>père</w:t>
      </w:r>
      <w:r>
        <w:rPr>
          <w:color w:val="000000"/>
        </w:rPr>
        <w:t>, conformément à l’assignation parentale réalisée au niveau de l’école. Dans les écoles du groupe de contrôle, aucun parent n’est ciblé par l’intervention.</w:t>
      </w:r>
    </w:p>
    <w:p w14:paraId="73CE51C4" w14:textId="77777777" w:rsidR="001456A3" w:rsidRDefault="001456A3" w:rsidP="001456A3">
      <w:pPr>
        <w:pStyle w:val="NormalWeb"/>
        <w:shd w:val="clear" w:color="auto" w:fill="FFFFFF"/>
        <w:spacing w:before="0" w:beforeAutospacing="0" w:after="0" w:afterAutospacing="0"/>
      </w:pPr>
      <w:r>
        <w:rPr>
          <w:color w:val="000000"/>
        </w:rPr>
        <w:t>Cette procédure garantit que chaque participante sélectionnée dispose des deux figures parentales nécessaires à l’étude et permet d’établir directement le lien entre la fille participante et le parent correspondant à l’affectation expérimentale de son école.</w:t>
      </w:r>
    </w:p>
    <w:p w14:paraId="4D23C882" w14:textId="77777777" w:rsidR="001456A3" w:rsidRDefault="001456A3" w:rsidP="001456A3">
      <w:pPr>
        <w:pStyle w:val="NormalWeb"/>
        <w:shd w:val="clear" w:color="auto" w:fill="FFFFFF"/>
        <w:spacing w:before="0" w:beforeAutospacing="0" w:after="0" w:afterAutospacing="0"/>
      </w:pPr>
    </w:p>
    <w:p w14:paraId="70D00A40" w14:textId="77777777" w:rsidR="001456A3" w:rsidRDefault="001456A3" w:rsidP="001456A3">
      <w:pPr>
        <w:pStyle w:val="NormalWeb"/>
        <w:shd w:val="clear" w:color="auto" w:fill="FFFFFF"/>
        <w:spacing w:before="0" w:beforeAutospacing="0" w:after="0" w:afterAutospacing="0"/>
      </w:pPr>
      <w:r>
        <w:rPr>
          <w:b/>
          <w:bCs/>
          <w:color w:val="000000"/>
          <w:sz w:val="28"/>
          <w:szCs w:val="28"/>
        </w:rPr>
        <w:t>4.6-           Blocking niveau commune</w:t>
      </w:r>
    </w:p>
    <w:p w14:paraId="78263015" w14:textId="77777777" w:rsidR="001456A3" w:rsidRDefault="001456A3" w:rsidP="001456A3">
      <w:pPr>
        <w:pStyle w:val="NormalWeb"/>
        <w:shd w:val="clear" w:color="auto" w:fill="FFFFFF"/>
        <w:spacing w:before="0" w:beforeAutospacing="0" w:after="0" w:afterAutospacing="0"/>
      </w:pPr>
      <w:r>
        <w:rPr>
          <w:color w:val="000000"/>
        </w:rPr>
        <w:t>Afin d’améliorer l’équilibre entre les conditions expérimentales, la randomisation des écoles est réalisée selon une procédure de blocking tenant compte simultanément de la commune et de la taille de l’école.</w:t>
      </w:r>
    </w:p>
    <w:p w14:paraId="6C0F9920" w14:textId="77777777" w:rsidR="001456A3" w:rsidRDefault="001456A3" w:rsidP="001456A3">
      <w:pPr>
        <w:pStyle w:val="NormalWeb"/>
        <w:shd w:val="clear" w:color="auto" w:fill="FFFFFF"/>
        <w:spacing w:before="0" w:beforeAutospacing="0" w:after="0" w:afterAutospacing="0"/>
      </w:pPr>
      <w:r>
        <w:rPr>
          <w:color w:val="000000"/>
        </w:rPr>
        <w:t>Dans chaque commune, les écoles sont d’abord classées selon leur effectif cible, défini comme la somme du nombre de filles inscrites en 6ème et en 5ème. La médiane de cet effectif est calculée séparément dans chaque commune. Les écoles dont l’effectif est inférieur ou égal à cette médiane sont classées dans la catégorie Small, tandis que celles dont l’effectif est supérieur à la médiane sont classées dans la catégorie Large.</w:t>
      </w:r>
    </w:p>
    <w:p w14:paraId="2D725870" w14:textId="77777777" w:rsidR="001456A3" w:rsidRDefault="001456A3" w:rsidP="001456A3">
      <w:pPr>
        <w:pStyle w:val="NormalWeb"/>
        <w:shd w:val="clear" w:color="auto" w:fill="FFFFFF"/>
        <w:spacing w:before="0" w:beforeAutospacing="0" w:after="0" w:afterAutospacing="0"/>
      </w:pPr>
      <w:r>
        <w:rPr>
          <w:color w:val="000000"/>
        </w:rPr>
        <w:t>La stratification est donc définie par l'intersection :</w:t>
      </w:r>
    </w:p>
    <w:p w14:paraId="16B78540" w14:textId="77777777" w:rsidR="001456A3" w:rsidRDefault="001456A3" w:rsidP="001456A3">
      <w:pPr>
        <w:pStyle w:val="NormalWeb"/>
        <w:shd w:val="clear" w:color="auto" w:fill="FFFFFF"/>
        <w:spacing w:before="0" w:beforeAutospacing="0" w:after="0" w:afterAutospacing="0"/>
      </w:pPr>
      <w:r>
        <w:rPr>
          <w:color w:val="000000"/>
        </w:rPr>
        <w:t>Commune × catégorie de taille (Small/Large).</w:t>
      </w:r>
    </w:p>
    <w:p w14:paraId="197FA372" w14:textId="77777777" w:rsidR="001456A3" w:rsidRDefault="001456A3" w:rsidP="001456A3">
      <w:pPr>
        <w:pStyle w:val="NormalWeb"/>
        <w:shd w:val="clear" w:color="auto" w:fill="FFFFFF"/>
        <w:spacing w:before="0" w:beforeAutospacing="0" w:after="0" w:afterAutospacing="0"/>
      </w:pPr>
      <w:r>
        <w:rPr>
          <w:color w:val="000000"/>
        </w:rPr>
        <w:t>Les blocs de randomisation sont ensuite constitués séparément à l’intérieur de chacune de ces strates, avec une taille cible d’environ six écoles par bloc. Une commune reste strictement autonome : aucune école n’est transférée d’une commune à une autre pour compléter un bloc. Lorsque le nombre d’écoles d’une strate n’est pas un multiple de six, le dernier bloc comprend simplement les écoles restantes, même si son effectif est inférieur à six.</w:t>
      </w:r>
    </w:p>
    <w:p w14:paraId="50AE12EC" w14:textId="77777777" w:rsidR="001456A3" w:rsidRDefault="001456A3" w:rsidP="001456A3">
      <w:pPr>
        <w:pStyle w:val="NormalWeb"/>
        <w:shd w:val="clear" w:color="auto" w:fill="FFFFFF"/>
        <w:spacing w:before="0" w:beforeAutospacing="0" w:after="0" w:afterAutospacing="0"/>
      </w:pPr>
      <w:r>
        <w:rPr>
          <w:color w:val="000000"/>
        </w:rPr>
        <w:t>Cette procédure conduit à une hiérarchie de randomisation clairement définie :</w:t>
      </w:r>
    </w:p>
    <w:p w14:paraId="4118BEA7" w14:textId="77777777" w:rsidR="001456A3" w:rsidRDefault="001456A3" w:rsidP="001456A3">
      <w:pPr>
        <w:pStyle w:val="NormalWeb"/>
        <w:shd w:val="clear" w:color="auto" w:fill="FFFFFF"/>
        <w:spacing w:before="0" w:beforeAutospacing="0" w:after="0" w:afterAutospacing="0"/>
      </w:pPr>
      <w:r>
        <w:rPr>
          <w:color w:val="000000"/>
        </w:rPr>
        <w:t>Commune → Small/Large → bloc → bras expérimental → intervention mère/père.</w:t>
      </w:r>
    </w:p>
    <w:p w14:paraId="6D56DB1E" w14:textId="77777777" w:rsidR="001456A3" w:rsidRDefault="001456A3" w:rsidP="001456A3">
      <w:pPr>
        <w:pStyle w:val="NormalWeb"/>
        <w:shd w:val="clear" w:color="auto" w:fill="FFFFFF"/>
        <w:spacing w:before="0" w:beforeAutospacing="0" w:after="0" w:afterAutospacing="0"/>
      </w:pPr>
      <w:r>
        <w:rPr>
          <w:color w:val="000000"/>
        </w:rPr>
        <w:t>Cette stratégie permet ainsi de préserver l’équilibre sur la taille des établissements tout en évitant de mélanger artificiellement des écoles appartenant à des communes différentes.</w:t>
      </w:r>
    </w:p>
    <w:p w14:paraId="3820EE8F" w14:textId="77777777" w:rsidR="001456A3" w:rsidRDefault="001456A3" w:rsidP="001456A3">
      <w:pPr>
        <w:pStyle w:val="NormalWeb"/>
        <w:shd w:val="clear" w:color="auto" w:fill="FFFFFF"/>
        <w:spacing w:before="0" w:beforeAutospacing="0" w:after="0" w:afterAutospacing="0"/>
      </w:pPr>
    </w:p>
    <w:p w14:paraId="626CA3B6" w14:textId="77777777" w:rsidR="001456A3" w:rsidRDefault="001456A3" w:rsidP="001456A3">
      <w:pPr>
        <w:pStyle w:val="NormalWeb"/>
        <w:shd w:val="clear" w:color="auto" w:fill="FFFFFF"/>
        <w:spacing w:before="0" w:beforeAutospacing="0" w:after="0" w:afterAutospacing="0"/>
      </w:pPr>
      <w:r>
        <w:rPr>
          <w:b/>
          <w:bCs/>
          <w:color w:val="000000"/>
          <w:sz w:val="28"/>
          <w:szCs w:val="28"/>
        </w:rPr>
        <w:t>4.7-           Assignation des bras de traitement</w:t>
      </w:r>
    </w:p>
    <w:p w14:paraId="7CD16D0F" w14:textId="77777777" w:rsidR="001456A3" w:rsidRDefault="001456A3" w:rsidP="001456A3">
      <w:pPr>
        <w:pStyle w:val="NormalWeb"/>
        <w:shd w:val="clear" w:color="auto" w:fill="FFFFFF"/>
        <w:spacing w:before="0" w:beforeAutospacing="0" w:after="0" w:afterAutospacing="0"/>
      </w:pPr>
      <w:r>
        <w:rPr>
          <w:color w:val="000000"/>
        </w:rPr>
        <w:t xml:space="preserve">Après la constitution des blocs, les écoles sont assignées aléatoirement aux trois conditions expérimentales : Control, Salience et Salience + </w:t>
      </w:r>
      <w:proofErr w:type="spellStart"/>
      <w:r>
        <w:rPr>
          <w:color w:val="000000"/>
        </w:rPr>
        <w:t>Implementation</w:t>
      </w:r>
      <w:proofErr w:type="spellEnd"/>
      <w:r>
        <w:rPr>
          <w:color w:val="000000"/>
        </w:rPr>
        <w:t>.</w:t>
      </w:r>
    </w:p>
    <w:p w14:paraId="0951C087" w14:textId="77777777" w:rsidR="001456A3" w:rsidRDefault="001456A3" w:rsidP="001456A3">
      <w:pPr>
        <w:pStyle w:val="NormalWeb"/>
        <w:shd w:val="clear" w:color="auto" w:fill="FFFFFF"/>
        <w:spacing w:before="0" w:beforeAutospacing="0" w:after="0" w:afterAutospacing="0"/>
      </w:pPr>
      <w:r>
        <w:rPr>
          <w:color w:val="000000"/>
        </w:rPr>
        <w:t>La randomisation est effectuée séparément à l’intérieur de chaque bloc. Lorsque la taille du bloc permet une répartition parfaitement équilibrée, les écoles sont distribuées à raison d’un tiers dans chacun des trois bras. Lorsque le nombre d’écoles du bloc n’est pas divisible par trois, les écoles restantes sont attribuées aléatoirement aux bras afin d’éviter qu’un même bras reçoive systématiquement les unités excédentaires.</w:t>
      </w:r>
    </w:p>
    <w:p w14:paraId="2053BA0F" w14:textId="77777777" w:rsidR="001456A3" w:rsidRDefault="001456A3" w:rsidP="001456A3">
      <w:pPr>
        <w:pStyle w:val="NormalWeb"/>
        <w:shd w:val="clear" w:color="auto" w:fill="FFFFFF"/>
        <w:spacing w:before="0" w:beforeAutospacing="0" w:after="240" w:afterAutospacing="0"/>
      </w:pPr>
      <w:r>
        <w:rPr>
          <w:color w:val="000000"/>
        </w:rPr>
        <w:t>La procédure finale conduit à une répartition globale parfaitement équilibrée des 156 écoles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64"/>
        <w:gridCol w:w="2127"/>
        <w:gridCol w:w="2551"/>
      </w:tblGrid>
      <w:tr w:rsidR="001456A3" w14:paraId="37BEDB1B" w14:textId="77777777" w:rsidTr="0090679D">
        <w:trPr>
          <w:trHeight w:val="500"/>
        </w:trPr>
        <w:tc>
          <w:tcPr>
            <w:tcW w:w="3964" w:type="dxa"/>
            <w:tcMar>
              <w:top w:w="100" w:type="dxa"/>
              <w:left w:w="100" w:type="dxa"/>
              <w:bottom w:w="100" w:type="dxa"/>
              <w:right w:w="100" w:type="dxa"/>
            </w:tcMar>
            <w:hideMark/>
          </w:tcPr>
          <w:p w14:paraId="4715A212" w14:textId="77777777" w:rsidR="001456A3" w:rsidRDefault="001456A3">
            <w:pPr>
              <w:pStyle w:val="NormalWeb"/>
              <w:shd w:val="clear" w:color="auto" w:fill="FFFFFF"/>
              <w:spacing w:before="0" w:beforeAutospacing="0" w:after="0" w:afterAutospacing="0"/>
              <w:jc w:val="center"/>
            </w:pPr>
            <w:r>
              <w:rPr>
                <w:color w:val="000000"/>
              </w:rPr>
              <w:t>Bras expérimental</w:t>
            </w:r>
          </w:p>
        </w:tc>
        <w:tc>
          <w:tcPr>
            <w:tcW w:w="2127" w:type="dxa"/>
            <w:tcMar>
              <w:top w:w="100" w:type="dxa"/>
              <w:left w:w="100" w:type="dxa"/>
              <w:bottom w:w="100" w:type="dxa"/>
              <w:right w:w="100" w:type="dxa"/>
            </w:tcMar>
            <w:hideMark/>
          </w:tcPr>
          <w:p w14:paraId="23F77777" w14:textId="77777777" w:rsidR="001456A3" w:rsidRDefault="001456A3">
            <w:pPr>
              <w:pStyle w:val="NormalWeb"/>
              <w:shd w:val="clear" w:color="auto" w:fill="FFFFFF"/>
              <w:spacing w:before="0" w:beforeAutospacing="0" w:after="0" w:afterAutospacing="0"/>
              <w:jc w:val="center"/>
            </w:pPr>
            <w:r>
              <w:rPr>
                <w:color w:val="000000"/>
              </w:rPr>
              <w:t>Nombre d’écoles</w:t>
            </w:r>
          </w:p>
        </w:tc>
        <w:tc>
          <w:tcPr>
            <w:tcW w:w="2551" w:type="dxa"/>
            <w:tcMar>
              <w:top w:w="100" w:type="dxa"/>
              <w:left w:w="100" w:type="dxa"/>
              <w:bottom w:w="100" w:type="dxa"/>
              <w:right w:w="100" w:type="dxa"/>
            </w:tcMar>
            <w:hideMark/>
          </w:tcPr>
          <w:p w14:paraId="67AECB6C" w14:textId="77777777" w:rsidR="001456A3" w:rsidRDefault="001456A3">
            <w:pPr>
              <w:pStyle w:val="NormalWeb"/>
              <w:shd w:val="clear" w:color="auto" w:fill="FFFFFF"/>
              <w:spacing w:before="0" w:beforeAutospacing="0" w:after="0" w:afterAutospacing="0"/>
              <w:jc w:val="center"/>
            </w:pPr>
            <w:r>
              <w:rPr>
                <w:color w:val="000000"/>
              </w:rPr>
              <w:t>Proportion</w:t>
            </w:r>
          </w:p>
        </w:tc>
      </w:tr>
      <w:tr w:rsidR="001456A3" w14:paraId="4D0AFAEF" w14:textId="77777777" w:rsidTr="0090679D">
        <w:trPr>
          <w:trHeight w:val="500"/>
        </w:trPr>
        <w:tc>
          <w:tcPr>
            <w:tcW w:w="3964" w:type="dxa"/>
            <w:tcMar>
              <w:top w:w="100" w:type="dxa"/>
              <w:left w:w="100" w:type="dxa"/>
              <w:bottom w:w="100" w:type="dxa"/>
              <w:right w:w="100" w:type="dxa"/>
            </w:tcMar>
            <w:hideMark/>
          </w:tcPr>
          <w:p w14:paraId="2FE871BA" w14:textId="77777777" w:rsidR="001456A3" w:rsidRDefault="001456A3">
            <w:pPr>
              <w:pStyle w:val="NormalWeb"/>
              <w:shd w:val="clear" w:color="auto" w:fill="FFFFFF"/>
              <w:spacing w:before="0" w:beforeAutospacing="0" w:after="0" w:afterAutospacing="0"/>
            </w:pPr>
            <w:r>
              <w:rPr>
                <w:color w:val="000000"/>
              </w:rPr>
              <w:t>Contrôle</w:t>
            </w:r>
          </w:p>
        </w:tc>
        <w:tc>
          <w:tcPr>
            <w:tcW w:w="2127" w:type="dxa"/>
            <w:tcMar>
              <w:top w:w="100" w:type="dxa"/>
              <w:left w:w="100" w:type="dxa"/>
              <w:bottom w:w="100" w:type="dxa"/>
              <w:right w:w="100" w:type="dxa"/>
            </w:tcMar>
            <w:hideMark/>
          </w:tcPr>
          <w:p w14:paraId="035FBB06" w14:textId="77777777" w:rsidR="001456A3" w:rsidRDefault="001456A3">
            <w:pPr>
              <w:pStyle w:val="NormalWeb"/>
              <w:shd w:val="clear" w:color="auto" w:fill="FFFFFF"/>
              <w:spacing w:before="0" w:beforeAutospacing="0" w:after="0" w:afterAutospacing="0"/>
            </w:pPr>
            <w:r>
              <w:rPr>
                <w:color w:val="000000"/>
              </w:rPr>
              <w:t>52</w:t>
            </w:r>
          </w:p>
        </w:tc>
        <w:tc>
          <w:tcPr>
            <w:tcW w:w="2551" w:type="dxa"/>
            <w:tcMar>
              <w:top w:w="100" w:type="dxa"/>
              <w:left w:w="100" w:type="dxa"/>
              <w:bottom w:w="100" w:type="dxa"/>
              <w:right w:w="100" w:type="dxa"/>
            </w:tcMar>
            <w:hideMark/>
          </w:tcPr>
          <w:p w14:paraId="0A968F7A" w14:textId="77777777" w:rsidR="001456A3" w:rsidRDefault="001456A3">
            <w:pPr>
              <w:pStyle w:val="NormalWeb"/>
              <w:shd w:val="clear" w:color="auto" w:fill="FFFFFF"/>
              <w:spacing w:before="0" w:beforeAutospacing="0" w:after="0" w:afterAutospacing="0"/>
            </w:pPr>
            <w:r>
              <w:rPr>
                <w:color w:val="000000"/>
              </w:rPr>
              <w:t>33,3 %</w:t>
            </w:r>
          </w:p>
        </w:tc>
      </w:tr>
      <w:tr w:rsidR="001456A3" w14:paraId="7D9DA105" w14:textId="77777777" w:rsidTr="0090679D">
        <w:trPr>
          <w:trHeight w:val="500"/>
        </w:trPr>
        <w:tc>
          <w:tcPr>
            <w:tcW w:w="3964" w:type="dxa"/>
            <w:tcMar>
              <w:top w:w="100" w:type="dxa"/>
              <w:left w:w="100" w:type="dxa"/>
              <w:bottom w:w="100" w:type="dxa"/>
              <w:right w:w="100" w:type="dxa"/>
            </w:tcMar>
            <w:hideMark/>
          </w:tcPr>
          <w:p w14:paraId="394984D5" w14:textId="77777777" w:rsidR="001456A3" w:rsidRDefault="001456A3">
            <w:pPr>
              <w:pStyle w:val="NormalWeb"/>
              <w:shd w:val="clear" w:color="auto" w:fill="FFFFFF"/>
              <w:spacing w:before="0" w:beforeAutospacing="0" w:after="0" w:afterAutospacing="0"/>
            </w:pPr>
            <w:r>
              <w:rPr>
                <w:color w:val="000000"/>
              </w:rPr>
              <w:t>Salience</w:t>
            </w:r>
          </w:p>
        </w:tc>
        <w:tc>
          <w:tcPr>
            <w:tcW w:w="2127" w:type="dxa"/>
            <w:tcMar>
              <w:top w:w="100" w:type="dxa"/>
              <w:left w:w="100" w:type="dxa"/>
              <w:bottom w:w="100" w:type="dxa"/>
              <w:right w:w="100" w:type="dxa"/>
            </w:tcMar>
            <w:hideMark/>
          </w:tcPr>
          <w:p w14:paraId="5479A955" w14:textId="77777777" w:rsidR="001456A3" w:rsidRDefault="001456A3">
            <w:pPr>
              <w:pStyle w:val="NormalWeb"/>
              <w:shd w:val="clear" w:color="auto" w:fill="FFFFFF"/>
              <w:spacing w:before="0" w:beforeAutospacing="0" w:after="0" w:afterAutospacing="0"/>
            </w:pPr>
            <w:r>
              <w:rPr>
                <w:color w:val="000000"/>
              </w:rPr>
              <w:t>52</w:t>
            </w:r>
          </w:p>
        </w:tc>
        <w:tc>
          <w:tcPr>
            <w:tcW w:w="2551" w:type="dxa"/>
            <w:tcMar>
              <w:top w:w="100" w:type="dxa"/>
              <w:left w:w="100" w:type="dxa"/>
              <w:bottom w:w="100" w:type="dxa"/>
              <w:right w:w="100" w:type="dxa"/>
            </w:tcMar>
            <w:hideMark/>
          </w:tcPr>
          <w:p w14:paraId="5A62066E" w14:textId="77777777" w:rsidR="001456A3" w:rsidRDefault="001456A3">
            <w:pPr>
              <w:pStyle w:val="NormalWeb"/>
              <w:shd w:val="clear" w:color="auto" w:fill="FFFFFF"/>
              <w:spacing w:before="0" w:beforeAutospacing="0" w:after="0" w:afterAutospacing="0"/>
            </w:pPr>
            <w:r>
              <w:rPr>
                <w:color w:val="000000"/>
              </w:rPr>
              <w:t>33,3 %</w:t>
            </w:r>
          </w:p>
        </w:tc>
      </w:tr>
      <w:tr w:rsidR="001456A3" w14:paraId="3F1C7DF8" w14:textId="77777777" w:rsidTr="0090679D">
        <w:trPr>
          <w:trHeight w:val="500"/>
        </w:trPr>
        <w:tc>
          <w:tcPr>
            <w:tcW w:w="3964" w:type="dxa"/>
            <w:tcMar>
              <w:top w:w="100" w:type="dxa"/>
              <w:left w:w="100" w:type="dxa"/>
              <w:bottom w:w="100" w:type="dxa"/>
              <w:right w:w="100" w:type="dxa"/>
            </w:tcMar>
            <w:hideMark/>
          </w:tcPr>
          <w:p w14:paraId="23372EB6" w14:textId="77777777" w:rsidR="001456A3" w:rsidRDefault="001456A3">
            <w:pPr>
              <w:pStyle w:val="NormalWeb"/>
              <w:shd w:val="clear" w:color="auto" w:fill="FFFFFF"/>
              <w:spacing w:before="0" w:beforeAutospacing="0" w:after="0" w:afterAutospacing="0"/>
            </w:pPr>
            <w:r>
              <w:rPr>
                <w:color w:val="000000"/>
              </w:rPr>
              <w:t xml:space="preserve">Salience + </w:t>
            </w:r>
            <w:proofErr w:type="spellStart"/>
            <w:r>
              <w:rPr>
                <w:color w:val="000000"/>
              </w:rPr>
              <w:t>Implementation</w:t>
            </w:r>
            <w:proofErr w:type="spellEnd"/>
          </w:p>
        </w:tc>
        <w:tc>
          <w:tcPr>
            <w:tcW w:w="2127" w:type="dxa"/>
            <w:tcMar>
              <w:top w:w="100" w:type="dxa"/>
              <w:left w:w="100" w:type="dxa"/>
              <w:bottom w:w="100" w:type="dxa"/>
              <w:right w:w="100" w:type="dxa"/>
            </w:tcMar>
            <w:hideMark/>
          </w:tcPr>
          <w:p w14:paraId="1707B331" w14:textId="77777777" w:rsidR="001456A3" w:rsidRDefault="001456A3">
            <w:pPr>
              <w:pStyle w:val="NormalWeb"/>
              <w:shd w:val="clear" w:color="auto" w:fill="FFFFFF"/>
              <w:spacing w:before="0" w:beforeAutospacing="0" w:after="0" w:afterAutospacing="0"/>
            </w:pPr>
            <w:r>
              <w:rPr>
                <w:color w:val="000000"/>
              </w:rPr>
              <w:t>52</w:t>
            </w:r>
          </w:p>
        </w:tc>
        <w:tc>
          <w:tcPr>
            <w:tcW w:w="2551" w:type="dxa"/>
            <w:tcMar>
              <w:top w:w="100" w:type="dxa"/>
              <w:left w:w="100" w:type="dxa"/>
              <w:bottom w:w="100" w:type="dxa"/>
              <w:right w:w="100" w:type="dxa"/>
            </w:tcMar>
            <w:hideMark/>
          </w:tcPr>
          <w:p w14:paraId="1D7225AF" w14:textId="77777777" w:rsidR="001456A3" w:rsidRDefault="001456A3">
            <w:pPr>
              <w:pStyle w:val="NormalWeb"/>
              <w:shd w:val="clear" w:color="auto" w:fill="FFFFFF"/>
              <w:spacing w:before="0" w:beforeAutospacing="0" w:after="0" w:afterAutospacing="0"/>
            </w:pPr>
            <w:r>
              <w:rPr>
                <w:color w:val="000000"/>
              </w:rPr>
              <w:t>33,3 %</w:t>
            </w:r>
          </w:p>
        </w:tc>
      </w:tr>
      <w:tr w:rsidR="001456A3" w14:paraId="181AB582" w14:textId="77777777" w:rsidTr="0090679D">
        <w:trPr>
          <w:trHeight w:val="500"/>
        </w:trPr>
        <w:tc>
          <w:tcPr>
            <w:tcW w:w="3964" w:type="dxa"/>
            <w:tcMar>
              <w:top w:w="100" w:type="dxa"/>
              <w:left w:w="100" w:type="dxa"/>
              <w:bottom w:w="100" w:type="dxa"/>
              <w:right w:w="100" w:type="dxa"/>
            </w:tcMar>
            <w:hideMark/>
          </w:tcPr>
          <w:p w14:paraId="4319734D" w14:textId="77777777" w:rsidR="001456A3" w:rsidRDefault="001456A3">
            <w:pPr>
              <w:pStyle w:val="NormalWeb"/>
              <w:shd w:val="clear" w:color="auto" w:fill="FFFFFF"/>
              <w:spacing w:before="0" w:beforeAutospacing="0" w:after="0" w:afterAutospacing="0"/>
            </w:pPr>
            <w:r>
              <w:rPr>
                <w:color w:val="000000"/>
              </w:rPr>
              <w:t>Total</w:t>
            </w:r>
          </w:p>
        </w:tc>
        <w:tc>
          <w:tcPr>
            <w:tcW w:w="2127" w:type="dxa"/>
            <w:tcMar>
              <w:top w:w="100" w:type="dxa"/>
              <w:left w:w="100" w:type="dxa"/>
              <w:bottom w:w="100" w:type="dxa"/>
              <w:right w:w="100" w:type="dxa"/>
            </w:tcMar>
            <w:hideMark/>
          </w:tcPr>
          <w:p w14:paraId="42693381" w14:textId="77777777" w:rsidR="001456A3" w:rsidRDefault="001456A3">
            <w:pPr>
              <w:pStyle w:val="NormalWeb"/>
              <w:shd w:val="clear" w:color="auto" w:fill="FFFFFF"/>
              <w:spacing w:before="0" w:beforeAutospacing="0" w:after="0" w:afterAutospacing="0"/>
            </w:pPr>
            <w:r>
              <w:rPr>
                <w:color w:val="000000"/>
              </w:rPr>
              <w:t>156</w:t>
            </w:r>
          </w:p>
        </w:tc>
        <w:tc>
          <w:tcPr>
            <w:tcW w:w="2551" w:type="dxa"/>
            <w:tcMar>
              <w:top w:w="100" w:type="dxa"/>
              <w:left w:w="100" w:type="dxa"/>
              <w:bottom w:w="100" w:type="dxa"/>
              <w:right w:w="100" w:type="dxa"/>
            </w:tcMar>
            <w:hideMark/>
          </w:tcPr>
          <w:p w14:paraId="58E9B03B" w14:textId="77777777" w:rsidR="001456A3" w:rsidRDefault="001456A3">
            <w:pPr>
              <w:pStyle w:val="NormalWeb"/>
              <w:shd w:val="clear" w:color="auto" w:fill="FFFFFF"/>
              <w:spacing w:before="0" w:beforeAutospacing="0" w:after="0" w:afterAutospacing="0"/>
            </w:pPr>
            <w:r>
              <w:rPr>
                <w:color w:val="000000"/>
              </w:rPr>
              <w:t>100 %</w:t>
            </w:r>
          </w:p>
        </w:tc>
      </w:tr>
    </w:tbl>
    <w:p w14:paraId="53B1E92F" w14:textId="77777777" w:rsidR="001456A3" w:rsidRDefault="001456A3" w:rsidP="001456A3">
      <w:pPr>
        <w:pStyle w:val="NormalWeb"/>
        <w:shd w:val="clear" w:color="auto" w:fill="FFFFFF"/>
        <w:spacing w:before="0" w:beforeAutospacing="0" w:after="0" w:afterAutospacing="0"/>
      </w:pPr>
      <w:r>
        <w:rPr>
          <w:color w:val="000000"/>
        </w:rPr>
        <w:t>L’équilibre entre les trois bras est vérifié au niveau des blocs, avec une différence maximale d’une école entre les bras lorsque la taille d’un bloc ne permet pas une répartition parfaitement égale. La vérification effectuée sur la randomisation finale confirme que les bras sont équilibrés à l’intérieur des blocs. </w:t>
      </w:r>
    </w:p>
    <w:p w14:paraId="6B4B8950" w14:textId="77777777" w:rsidR="001456A3" w:rsidRDefault="001456A3" w:rsidP="001456A3">
      <w:pPr>
        <w:pStyle w:val="NormalWeb"/>
        <w:shd w:val="clear" w:color="auto" w:fill="FFFFFF"/>
        <w:spacing w:before="0" w:beforeAutospacing="0" w:after="0" w:afterAutospacing="0"/>
      </w:pPr>
    </w:p>
    <w:p w14:paraId="4BDFA8B7" w14:textId="77777777" w:rsidR="001456A3" w:rsidRDefault="001456A3" w:rsidP="001456A3">
      <w:pPr>
        <w:pStyle w:val="NormalWeb"/>
        <w:shd w:val="clear" w:color="auto" w:fill="FFFFFF"/>
        <w:spacing w:before="0" w:beforeAutospacing="0" w:after="0" w:afterAutospacing="0"/>
      </w:pPr>
      <w:r>
        <w:rPr>
          <w:b/>
          <w:bCs/>
          <w:color w:val="000000"/>
          <w:sz w:val="28"/>
          <w:szCs w:val="28"/>
        </w:rPr>
        <w:t>4.8-           Assignation de l’intervention père versus mère</w:t>
      </w:r>
    </w:p>
    <w:p w14:paraId="5E5848A0" w14:textId="77777777" w:rsidR="001456A3" w:rsidRDefault="001456A3" w:rsidP="001456A3">
      <w:pPr>
        <w:pStyle w:val="NormalWeb"/>
        <w:shd w:val="clear" w:color="auto" w:fill="FFFFFF"/>
        <w:spacing w:before="0" w:beforeAutospacing="0" w:after="0" w:afterAutospacing="0"/>
      </w:pPr>
      <w:r>
        <w:rPr>
          <w:color w:val="000000"/>
        </w:rPr>
        <w:t xml:space="preserve">Dans les deux bras traités, Salience et Salience + </w:t>
      </w:r>
      <w:proofErr w:type="spellStart"/>
      <w:r>
        <w:rPr>
          <w:color w:val="000000"/>
        </w:rPr>
        <w:t>Implementation</w:t>
      </w:r>
      <w:proofErr w:type="spellEnd"/>
      <w:r>
        <w:rPr>
          <w:color w:val="000000"/>
        </w:rPr>
        <w:t>, une seconde étape de randomisation détermine le parent ciblé par l’intervention. Les écoles traitées sont ainsi réparties entre une condition dans laquelle l’intervention est destinée à la mère et une condition dans laquelle elle est destinée au père.</w:t>
      </w:r>
    </w:p>
    <w:p w14:paraId="7BE6FB49" w14:textId="77777777" w:rsidR="001456A3" w:rsidRDefault="001456A3" w:rsidP="001456A3">
      <w:pPr>
        <w:pStyle w:val="NormalWeb"/>
        <w:shd w:val="clear" w:color="auto" w:fill="FFFFFF"/>
        <w:spacing w:before="0" w:beforeAutospacing="0" w:after="0" w:afterAutospacing="0"/>
      </w:pPr>
      <w:r>
        <w:rPr>
          <w:color w:val="000000"/>
        </w:rPr>
        <w:t>Cette assignation est réalisée séparément à l’intérieur de chaque combinaison bloc × bras de traitement, afin de conserver l’équilibre entre les deux types de parents au sein des unités de randomisation. L’objectif est une répartition de 50 % des écoles vers la condition mère et 50 % vers la condition père, avec une différence maximale d’une école lorsque la taille de la cellule ne permet pas une égalité exacte.</w:t>
      </w:r>
    </w:p>
    <w:p w14:paraId="67432590" w14:textId="77777777" w:rsidR="001456A3" w:rsidRDefault="001456A3" w:rsidP="001456A3">
      <w:pPr>
        <w:pStyle w:val="NormalWeb"/>
        <w:shd w:val="clear" w:color="auto" w:fill="FFFFFF"/>
        <w:spacing w:before="0" w:beforeAutospacing="0" w:after="240" w:afterAutospacing="0"/>
        <w:rPr>
          <w:color w:val="000000"/>
        </w:rPr>
      </w:pPr>
      <w:r>
        <w:rPr>
          <w:color w:val="000000"/>
        </w:rPr>
        <w:t>La randomisation finale donne la répartition suivante :</w:t>
      </w:r>
    </w:p>
    <w:p w14:paraId="30D7FBB4" w14:textId="68E00154" w:rsidR="0090679D" w:rsidRPr="0090679D" w:rsidRDefault="0090679D" w:rsidP="0090679D">
      <w:pPr>
        <w:spacing w:after="160" w:line="278" w:lineRule="auto"/>
        <w:rPr>
          <w:color w:val="000000"/>
        </w:rPr>
      </w:pPr>
      <w:r>
        <w:rPr>
          <w:color w:val="000000"/>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88"/>
        <w:gridCol w:w="2006"/>
        <w:gridCol w:w="1940"/>
        <w:gridCol w:w="2050"/>
      </w:tblGrid>
      <w:tr w:rsidR="001456A3" w14:paraId="60536958" w14:textId="77777777" w:rsidTr="0090679D">
        <w:trPr>
          <w:trHeight w:val="500"/>
        </w:trPr>
        <w:tc>
          <w:tcPr>
            <w:tcW w:w="0" w:type="auto"/>
            <w:tcMar>
              <w:top w:w="100" w:type="dxa"/>
              <w:left w:w="100" w:type="dxa"/>
              <w:bottom w:w="100" w:type="dxa"/>
              <w:right w:w="100" w:type="dxa"/>
            </w:tcMar>
            <w:hideMark/>
          </w:tcPr>
          <w:p w14:paraId="160503DF" w14:textId="77777777" w:rsidR="001456A3" w:rsidRDefault="001456A3">
            <w:pPr>
              <w:pStyle w:val="NormalWeb"/>
              <w:shd w:val="clear" w:color="auto" w:fill="FFFFFF"/>
              <w:spacing w:before="0" w:beforeAutospacing="0" w:after="0" w:afterAutospacing="0"/>
              <w:jc w:val="center"/>
            </w:pPr>
            <w:r>
              <w:rPr>
                <w:color w:val="000000"/>
              </w:rPr>
              <w:t>Bras traité</w:t>
            </w:r>
          </w:p>
        </w:tc>
        <w:tc>
          <w:tcPr>
            <w:tcW w:w="0" w:type="auto"/>
            <w:tcMar>
              <w:top w:w="100" w:type="dxa"/>
              <w:left w:w="100" w:type="dxa"/>
              <w:bottom w:w="100" w:type="dxa"/>
              <w:right w:w="100" w:type="dxa"/>
            </w:tcMar>
            <w:hideMark/>
          </w:tcPr>
          <w:p w14:paraId="59722D78" w14:textId="77777777" w:rsidR="001456A3" w:rsidRDefault="001456A3">
            <w:pPr>
              <w:pStyle w:val="NormalWeb"/>
              <w:shd w:val="clear" w:color="auto" w:fill="FFFFFF"/>
              <w:spacing w:before="0" w:beforeAutospacing="0" w:after="0" w:afterAutospacing="0"/>
              <w:jc w:val="center"/>
            </w:pPr>
            <w:r>
              <w:rPr>
                <w:color w:val="000000"/>
              </w:rPr>
              <w:t>Parent ciblé : mère</w:t>
            </w:r>
          </w:p>
        </w:tc>
        <w:tc>
          <w:tcPr>
            <w:tcW w:w="0" w:type="auto"/>
            <w:tcMar>
              <w:top w:w="100" w:type="dxa"/>
              <w:left w:w="100" w:type="dxa"/>
              <w:bottom w:w="100" w:type="dxa"/>
              <w:right w:w="100" w:type="dxa"/>
            </w:tcMar>
            <w:hideMark/>
          </w:tcPr>
          <w:p w14:paraId="0C473BEC" w14:textId="77777777" w:rsidR="001456A3" w:rsidRDefault="001456A3">
            <w:pPr>
              <w:pStyle w:val="NormalWeb"/>
              <w:shd w:val="clear" w:color="auto" w:fill="FFFFFF"/>
              <w:spacing w:before="0" w:beforeAutospacing="0" w:after="0" w:afterAutospacing="0"/>
              <w:jc w:val="center"/>
            </w:pPr>
            <w:r>
              <w:rPr>
                <w:color w:val="000000"/>
              </w:rPr>
              <w:t>Parent ciblé : père</w:t>
            </w:r>
          </w:p>
        </w:tc>
        <w:tc>
          <w:tcPr>
            <w:tcW w:w="2050" w:type="dxa"/>
            <w:tcMar>
              <w:top w:w="100" w:type="dxa"/>
              <w:left w:w="100" w:type="dxa"/>
              <w:bottom w:w="100" w:type="dxa"/>
              <w:right w:w="100" w:type="dxa"/>
            </w:tcMar>
            <w:hideMark/>
          </w:tcPr>
          <w:p w14:paraId="23D292B8" w14:textId="77777777" w:rsidR="001456A3" w:rsidRDefault="001456A3">
            <w:pPr>
              <w:pStyle w:val="NormalWeb"/>
              <w:shd w:val="clear" w:color="auto" w:fill="FFFFFF"/>
              <w:spacing w:before="0" w:beforeAutospacing="0" w:after="0" w:afterAutospacing="0"/>
              <w:jc w:val="center"/>
            </w:pPr>
            <w:r>
              <w:rPr>
                <w:color w:val="000000"/>
              </w:rPr>
              <w:t>Total</w:t>
            </w:r>
          </w:p>
        </w:tc>
      </w:tr>
      <w:tr w:rsidR="001456A3" w14:paraId="06E73D90" w14:textId="77777777" w:rsidTr="0090679D">
        <w:trPr>
          <w:trHeight w:val="500"/>
        </w:trPr>
        <w:tc>
          <w:tcPr>
            <w:tcW w:w="0" w:type="auto"/>
            <w:tcMar>
              <w:top w:w="100" w:type="dxa"/>
              <w:left w:w="100" w:type="dxa"/>
              <w:bottom w:w="100" w:type="dxa"/>
              <w:right w:w="100" w:type="dxa"/>
            </w:tcMar>
            <w:hideMark/>
          </w:tcPr>
          <w:p w14:paraId="7AFD4043" w14:textId="77777777" w:rsidR="001456A3" w:rsidRDefault="001456A3">
            <w:pPr>
              <w:pStyle w:val="NormalWeb"/>
              <w:shd w:val="clear" w:color="auto" w:fill="FFFFFF"/>
              <w:spacing w:before="0" w:beforeAutospacing="0" w:after="0" w:afterAutospacing="0"/>
            </w:pPr>
            <w:r>
              <w:rPr>
                <w:color w:val="000000"/>
              </w:rPr>
              <w:t>Salience</w:t>
            </w:r>
          </w:p>
        </w:tc>
        <w:tc>
          <w:tcPr>
            <w:tcW w:w="0" w:type="auto"/>
            <w:tcMar>
              <w:top w:w="100" w:type="dxa"/>
              <w:left w:w="100" w:type="dxa"/>
              <w:bottom w:w="100" w:type="dxa"/>
              <w:right w:w="100" w:type="dxa"/>
            </w:tcMar>
            <w:hideMark/>
          </w:tcPr>
          <w:p w14:paraId="60974EBD" w14:textId="77777777" w:rsidR="001456A3" w:rsidRDefault="001456A3">
            <w:pPr>
              <w:pStyle w:val="NormalWeb"/>
              <w:shd w:val="clear" w:color="auto" w:fill="FFFFFF"/>
              <w:spacing w:before="0" w:beforeAutospacing="0" w:after="0" w:afterAutospacing="0"/>
            </w:pPr>
            <w:r>
              <w:rPr>
                <w:color w:val="000000"/>
              </w:rPr>
              <w:t>26</w:t>
            </w:r>
          </w:p>
        </w:tc>
        <w:tc>
          <w:tcPr>
            <w:tcW w:w="0" w:type="auto"/>
            <w:tcMar>
              <w:top w:w="100" w:type="dxa"/>
              <w:left w:w="100" w:type="dxa"/>
              <w:bottom w:w="100" w:type="dxa"/>
              <w:right w:w="100" w:type="dxa"/>
            </w:tcMar>
            <w:hideMark/>
          </w:tcPr>
          <w:p w14:paraId="27B48101" w14:textId="77777777" w:rsidR="001456A3" w:rsidRDefault="001456A3">
            <w:pPr>
              <w:pStyle w:val="NormalWeb"/>
              <w:shd w:val="clear" w:color="auto" w:fill="FFFFFF"/>
              <w:spacing w:before="0" w:beforeAutospacing="0" w:after="0" w:afterAutospacing="0"/>
            </w:pPr>
            <w:r>
              <w:rPr>
                <w:color w:val="000000"/>
              </w:rPr>
              <w:t>26</w:t>
            </w:r>
          </w:p>
        </w:tc>
        <w:tc>
          <w:tcPr>
            <w:tcW w:w="2050" w:type="dxa"/>
            <w:tcMar>
              <w:top w:w="100" w:type="dxa"/>
              <w:left w:w="100" w:type="dxa"/>
              <w:bottom w:w="100" w:type="dxa"/>
              <w:right w:w="100" w:type="dxa"/>
            </w:tcMar>
            <w:hideMark/>
          </w:tcPr>
          <w:p w14:paraId="52C5BCC2" w14:textId="77777777" w:rsidR="001456A3" w:rsidRDefault="001456A3">
            <w:pPr>
              <w:pStyle w:val="NormalWeb"/>
              <w:shd w:val="clear" w:color="auto" w:fill="FFFFFF"/>
              <w:spacing w:before="0" w:beforeAutospacing="0" w:after="0" w:afterAutospacing="0"/>
            </w:pPr>
            <w:r>
              <w:rPr>
                <w:color w:val="000000"/>
              </w:rPr>
              <w:t>52</w:t>
            </w:r>
          </w:p>
        </w:tc>
      </w:tr>
      <w:tr w:rsidR="001456A3" w14:paraId="21114956" w14:textId="77777777" w:rsidTr="0090679D">
        <w:trPr>
          <w:trHeight w:val="500"/>
        </w:trPr>
        <w:tc>
          <w:tcPr>
            <w:tcW w:w="0" w:type="auto"/>
            <w:tcMar>
              <w:top w:w="100" w:type="dxa"/>
              <w:left w:w="100" w:type="dxa"/>
              <w:bottom w:w="100" w:type="dxa"/>
              <w:right w:w="100" w:type="dxa"/>
            </w:tcMar>
            <w:hideMark/>
          </w:tcPr>
          <w:p w14:paraId="7031840B" w14:textId="77777777" w:rsidR="001456A3" w:rsidRDefault="001456A3">
            <w:pPr>
              <w:pStyle w:val="NormalWeb"/>
              <w:shd w:val="clear" w:color="auto" w:fill="FFFFFF"/>
              <w:spacing w:before="0" w:beforeAutospacing="0" w:after="0" w:afterAutospacing="0"/>
            </w:pPr>
            <w:r>
              <w:rPr>
                <w:color w:val="000000"/>
              </w:rPr>
              <w:t xml:space="preserve">Salience + </w:t>
            </w:r>
            <w:proofErr w:type="spellStart"/>
            <w:r>
              <w:rPr>
                <w:color w:val="000000"/>
              </w:rPr>
              <w:t>Implementation</w:t>
            </w:r>
            <w:proofErr w:type="spellEnd"/>
          </w:p>
        </w:tc>
        <w:tc>
          <w:tcPr>
            <w:tcW w:w="0" w:type="auto"/>
            <w:tcMar>
              <w:top w:w="100" w:type="dxa"/>
              <w:left w:w="100" w:type="dxa"/>
              <w:bottom w:w="100" w:type="dxa"/>
              <w:right w:w="100" w:type="dxa"/>
            </w:tcMar>
            <w:hideMark/>
          </w:tcPr>
          <w:p w14:paraId="36A385D2" w14:textId="77777777" w:rsidR="001456A3" w:rsidRDefault="001456A3">
            <w:pPr>
              <w:pStyle w:val="NormalWeb"/>
              <w:shd w:val="clear" w:color="auto" w:fill="FFFFFF"/>
              <w:spacing w:before="0" w:beforeAutospacing="0" w:after="0" w:afterAutospacing="0"/>
            </w:pPr>
            <w:r>
              <w:rPr>
                <w:color w:val="000000"/>
              </w:rPr>
              <w:t>26</w:t>
            </w:r>
          </w:p>
        </w:tc>
        <w:tc>
          <w:tcPr>
            <w:tcW w:w="0" w:type="auto"/>
            <w:tcMar>
              <w:top w:w="100" w:type="dxa"/>
              <w:left w:w="100" w:type="dxa"/>
              <w:bottom w:w="100" w:type="dxa"/>
              <w:right w:w="100" w:type="dxa"/>
            </w:tcMar>
            <w:hideMark/>
          </w:tcPr>
          <w:p w14:paraId="3A518B74" w14:textId="77777777" w:rsidR="001456A3" w:rsidRDefault="001456A3">
            <w:pPr>
              <w:pStyle w:val="NormalWeb"/>
              <w:shd w:val="clear" w:color="auto" w:fill="FFFFFF"/>
              <w:spacing w:before="0" w:beforeAutospacing="0" w:after="0" w:afterAutospacing="0"/>
            </w:pPr>
            <w:r>
              <w:rPr>
                <w:color w:val="000000"/>
              </w:rPr>
              <w:t>26</w:t>
            </w:r>
          </w:p>
        </w:tc>
        <w:tc>
          <w:tcPr>
            <w:tcW w:w="2050" w:type="dxa"/>
            <w:tcMar>
              <w:top w:w="100" w:type="dxa"/>
              <w:left w:w="100" w:type="dxa"/>
              <w:bottom w:w="100" w:type="dxa"/>
              <w:right w:w="100" w:type="dxa"/>
            </w:tcMar>
            <w:hideMark/>
          </w:tcPr>
          <w:p w14:paraId="655FA386" w14:textId="77777777" w:rsidR="001456A3" w:rsidRDefault="001456A3">
            <w:pPr>
              <w:pStyle w:val="NormalWeb"/>
              <w:shd w:val="clear" w:color="auto" w:fill="FFFFFF"/>
              <w:spacing w:before="0" w:beforeAutospacing="0" w:after="0" w:afterAutospacing="0"/>
            </w:pPr>
            <w:r>
              <w:rPr>
                <w:color w:val="000000"/>
              </w:rPr>
              <w:t>52</w:t>
            </w:r>
          </w:p>
        </w:tc>
      </w:tr>
      <w:tr w:rsidR="001456A3" w14:paraId="06260A28" w14:textId="77777777" w:rsidTr="0090679D">
        <w:trPr>
          <w:trHeight w:val="500"/>
        </w:trPr>
        <w:tc>
          <w:tcPr>
            <w:tcW w:w="0" w:type="auto"/>
            <w:tcMar>
              <w:top w:w="100" w:type="dxa"/>
              <w:left w:w="100" w:type="dxa"/>
              <w:bottom w:w="100" w:type="dxa"/>
              <w:right w:w="100" w:type="dxa"/>
            </w:tcMar>
            <w:hideMark/>
          </w:tcPr>
          <w:p w14:paraId="2F37332C" w14:textId="77777777" w:rsidR="001456A3" w:rsidRDefault="001456A3">
            <w:pPr>
              <w:pStyle w:val="NormalWeb"/>
              <w:shd w:val="clear" w:color="auto" w:fill="FFFFFF"/>
              <w:spacing w:before="0" w:beforeAutospacing="0" w:after="0" w:afterAutospacing="0"/>
            </w:pPr>
            <w:r>
              <w:rPr>
                <w:color w:val="000000"/>
              </w:rPr>
              <w:t>Total</w:t>
            </w:r>
          </w:p>
        </w:tc>
        <w:tc>
          <w:tcPr>
            <w:tcW w:w="0" w:type="auto"/>
            <w:tcMar>
              <w:top w:w="100" w:type="dxa"/>
              <w:left w:w="100" w:type="dxa"/>
              <w:bottom w:w="100" w:type="dxa"/>
              <w:right w:w="100" w:type="dxa"/>
            </w:tcMar>
            <w:hideMark/>
          </w:tcPr>
          <w:p w14:paraId="73B2EB09" w14:textId="77777777" w:rsidR="001456A3" w:rsidRDefault="001456A3">
            <w:pPr>
              <w:pStyle w:val="NormalWeb"/>
              <w:shd w:val="clear" w:color="auto" w:fill="FFFFFF"/>
              <w:spacing w:before="0" w:beforeAutospacing="0" w:after="0" w:afterAutospacing="0"/>
            </w:pPr>
            <w:r>
              <w:rPr>
                <w:color w:val="000000"/>
              </w:rPr>
              <w:t>52</w:t>
            </w:r>
          </w:p>
        </w:tc>
        <w:tc>
          <w:tcPr>
            <w:tcW w:w="0" w:type="auto"/>
            <w:tcMar>
              <w:top w:w="100" w:type="dxa"/>
              <w:left w:w="100" w:type="dxa"/>
              <w:bottom w:w="100" w:type="dxa"/>
              <w:right w:w="100" w:type="dxa"/>
            </w:tcMar>
            <w:hideMark/>
          </w:tcPr>
          <w:p w14:paraId="31EFA01F" w14:textId="77777777" w:rsidR="001456A3" w:rsidRDefault="001456A3">
            <w:pPr>
              <w:pStyle w:val="NormalWeb"/>
              <w:shd w:val="clear" w:color="auto" w:fill="FFFFFF"/>
              <w:spacing w:before="0" w:beforeAutospacing="0" w:after="0" w:afterAutospacing="0"/>
            </w:pPr>
            <w:r>
              <w:rPr>
                <w:color w:val="000000"/>
              </w:rPr>
              <w:t>52</w:t>
            </w:r>
          </w:p>
        </w:tc>
        <w:tc>
          <w:tcPr>
            <w:tcW w:w="2050" w:type="dxa"/>
            <w:tcMar>
              <w:top w:w="100" w:type="dxa"/>
              <w:left w:w="100" w:type="dxa"/>
              <w:bottom w:w="100" w:type="dxa"/>
              <w:right w:w="100" w:type="dxa"/>
            </w:tcMar>
            <w:hideMark/>
          </w:tcPr>
          <w:p w14:paraId="50DE95CF" w14:textId="77777777" w:rsidR="001456A3" w:rsidRDefault="001456A3">
            <w:pPr>
              <w:pStyle w:val="NormalWeb"/>
              <w:shd w:val="clear" w:color="auto" w:fill="FFFFFF"/>
              <w:spacing w:before="0" w:beforeAutospacing="0" w:after="0" w:afterAutospacing="0"/>
            </w:pPr>
            <w:r>
              <w:rPr>
                <w:color w:val="000000"/>
              </w:rPr>
              <w:t>104</w:t>
            </w:r>
          </w:p>
        </w:tc>
      </w:tr>
    </w:tbl>
    <w:p w14:paraId="7C605FD8" w14:textId="77777777" w:rsidR="001456A3" w:rsidRDefault="001456A3" w:rsidP="001456A3">
      <w:pPr>
        <w:pStyle w:val="NormalWeb"/>
        <w:shd w:val="clear" w:color="auto" w:fill="FFFFFF"/>
        <w:spacing w:before="240" w:beforeAutospacing="0" w:after="0" w:afterAutospacing="0"/>
      </w:pPr>
      <w:r>
        <w:rPr>
          <w:color w:val="000000"/>
        </w:rPr>
        <w:t>La procédure garantit donc une répartition globale exactement équilibrée entre mères et pères dans chacun des deux bras de traitement.</w:t>
      </w:r>
    </w:p>
    <w:p w14:paraId="1849CDF8" w14:textId="77777777" w:rsidR="001456A3" w:rsidRDefault="001456A3" w:rsidP="001456A3">
      <w:pPr>
        <w:pStyle w:val="NormalWeb"/>
        <w:shd w:val="clear" w:color="auto" w:fill="FFFFFF"/>
        <w:spacing w:before="0" w:beforeAutospacing="0" w:after="0" w:afterAutospacing="0"/>
      </w:pPr>
      <w:r>
        <w:rPr>
          <w:color w:val="000000"/>
        </w:rPr>
        <w:t>Cette seconde randomisation étant imbriquée dans la première, la structure expérimentale peut être représentée comme suit :</w:t>
      </w:r>
    </w:p>
    <w:p w14:paraId="626F572B" w14:textId="77777777" w:rsidR="001456A3" w:rsidRDefault="001456A3" w:rsidP="001456A3">
      <w:pPr>
        <w:pStyle w:val="NormalWeb"/>
        <w:shd w:val="clear" w:color="auto" w:fill="FFFFFF"/>
        <w:spacing w:before="0" w:beforeAutospacing="0" w:after="0" w:afterAutospacing="0"/>
      </w:pPr>
      <w:r>
        <w:rPr>
          <w:color w:val="000000"/>
        </w:rPr>
        <w:t>École → bras expérimental → parent ciblé.</w:t>
      </w:r>
    </w:p>
    <w:p w14:paraId="646FEFAD" w14:textId="77777777" w:rsidR="001456A3" w:rsidRDefault="001456A3" w:rsidP="001456A3">
      <w:pPr>
        <w:pStyle w:val="NormalWeb"/>
        <w:shd w:val="clear" w:color="auto" w:fill="FFFFFF"/>
        <w:spacing w:before="0" w:beforeAutospacing="0" w:after="0" w:afterAutospacing="0"/>
      </w:pPr>
      <w:r>
        <w:rPr>
          <w:color w:val="000000"/>
        </w:rPr>
        <w:t>Il convient toutefois de distinguer cette assignation du recrutement effectif du parent : la randomisation détermine quel type de parent doit être ciblé, tandis que la procédure de terrain détermine ensuite quel parent éligible de la fille sélectionnée sera effectivement enquêté ou contacté.</w:t>
      </w:r>
    </w:p>
    <w:p w14:paraId="354A9EA2" w14:textId="77777777" w:rsidR="001456A3" w:rsidRDefault="001456A3" w:rsidP="001456A3">
      <w:pPr>
        <w:pStyle w:val="NormalWeb"/>
        <w:shd w:val="clear" w:color="auto" w:fill="FFFFFF"/>
        <w:spacing w:before="0" w:beforeAutospacing="0" w:after="0" w:afterAutospacing="0"/>
      </w:pPr>
    </w:p>
    <w:p w14:paraId="0AB47E14" w14:textId="77777777" w:rsidR="001456A3" w:rsidRDefault="001456A3" w:rsidP="001456A3">
      <w:pPr>
        <w:pStyle w:val="NormalWeb"/>
        <w:shd w:val="clear" w:color="auto" w:fill="FFFFFF"/>
        <w:spacing w:before="0" w:beforeAutospacing="0" w:after="0" w:afterAutospacing="0"/>
        <w:ind w:left="360"/>
      </w:pPr>
      <w:r>
        <w:rPr>
          <w:b/>
          <w:bCs/>
          <w:color w:val="000000"/>
          <w:sz w:val="28"/>
          <w:szCs w:val="28"/>
        </w:rPr>
        <w:t>4.9-           Ciblage des parents (comment les parents sont choisis)</w:t>
      </w:r>
    </w:p>
    <w:p w14:paraId="5B03BE75" w14:textId="77777777" w:rsidR="00B71E60" w:rsidRPr="00B957A0" w:rsidRDefault="00B71E60" w:rsidP="00B957A0">
      <w:pPr>
        <w:spacing w:after="120" w:line="360" w:lineRule="auto"/>
        <w:jc w:val="both"/>
      </w:pPr>
    </w:p>
    <w:p w14:paraId="4CDA0D9C" w14:textId="77777777" w:rsidR="0098314C" w:rsidRPr="00B957A0" w:rsidRDefault="0098314C" w:rsidP="00B957A0">
      <w:pPr>
        <w:spacing w:line="360" w:lineRule="auto"/>
      </w:pPr>
    </w:p>
    <w:sectPr w:rsidR="0098314C" w:rsidRPr="00B957A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6EDB16" w14:textId="77777777" w:rsidR="00BE13FA" w:rsidRDefault="00BE13FA" w:rsidP="004B0E52">
      <w:r>
        <w:separator/>
      </w:r>
    </w:p>
  </w:endnote>
  <w:endnote w:type="continuationSeparator" w:id="0">
    <w:p w14:paraId="4D99BA83" w14:textId="77777777" w:rsidR="00BE13FA" w:rsidRDefault="00BE13FA" w:rsidP="004B0E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1DD30B" w14:textId="77777777" w:rsidR="00BE13FA" w:rsidRDefault="00BE13FA" w:rsidP="004B0E52">
      <w:r>
        <w:separator/>
      </w:r>
    </w:p>
  </w:footnote>
  <w:footnote w:type="continuationSeparator" w:id="0">
    <w:p w14:paraId="07AE11C0" w14:textId="77777777" w:rsidR="00BE13FA" w:rsidRDefault="00BE13FA" w:rsidP="004B0E5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14C"/>
    <w:rsid w:val="000E2569"/>
    <w:rsid w:val="001456A3"/>
    <w:rsid w:val="004B0E52"/>
    <w:rsid w:val="006F6ECE"/>
    <w:rsid w:val="0089120E"/>
    <w:rsid w:val="0090679D"/>
    <w:rsid w:val="0098314C"/>
    <w:rsid w:val="009E7C6C"/>
    <w:rsid w:val="00A549BB"/>
    <w:rsid w:val="00B71E60"/>
    <w:rsid w:val="00B957A0"/>
    <w:rsid w:val="00BE13FA"/>
    <w:rsid w:val="00E47112"/>
    <w:rsid w:val="00FD0D5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0842B"/>
  <w15:chartTrackingRefBased/>
  <w15:docId w15:val="{BABD47E6-AF43-41DF-9B54-5199992DE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56A3"/>
    <w:pPr>
      <w:spacing w:after="0" w:line="240" w:lineRule="auto"/>
    </w:pPr>
    <w:rPr>
      <w:rFonts w:ascii="Times New Roman" w:eastAsia="Times New Roman" w:hAnsi="Times New Roman" w:cs="Times New Roman"/>
      <w:kern w:val="0"/>
      <w:lang w:eastAsia="fr-FR"/>
      <w14:ligatures w14:val="none"/>
    </w:rPr>
  </w:style>
  <w:style w:type="paragraph" w:styleId="Titre1">
    <w:name w:val="heading 1"/>
    <w:basedOn w:val="Normal"/>
    <w:next w:val="Normal"/>
    <w:link w:val="Titre1Car"/>
    <w:uiPriority w:val="9"/>
    <w:qFormat/>
    <w:rsid w:val="0098314C"/>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Titre2">
    <w:name w:val="heading 2"/>
    <w:basedOn w:val="Normal"/>
    <w:next w:val="Normal"/>
    <w:link w:val="Titre2Car"/>
    <w:uiPriority w:val="9"/>
    <w:unhideWhenUsed/>
    <w:qFormat/>
    <w:rsid w:val="0098314C"/>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Titre3">
    <w:name w:val="heading 3"/>
    <w:basedOn w:val="Normal"/>
    <w:next w:val="Normal"/>
    <w:link w:val="Titre3Car"/>
    <w:uiPriority w:val="9"/>
    <w:unhideWhenUsed/>
    <w:qFormat/>
    <w:rsid w:val="0098314C"/>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Titre4">
    <w:name w:val="heading 4"/>
    <w:basedOn w:val="Normal"/>
    <w:next w:val="Normal"/>
    <w:link w:val="Titre4Car"/>
    <w:uiPriority w:val="9"/>
    <w:semiHidden/>
    <w:unhideWhenUsed/>
    <w:qFormat/>
    <w:rsid w:val="0098314C"/>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Titre5">
    <w:name w:val="heading 5"/>
    <w:basedOn w:val="Normal"/>
    <w:next w:val="Normal"/>
    <w:link w:val="Titre5Car"/>
    <w:uiPriority w:val="9"/>
    <w:semiHidden/>
    <w:unhideWhenUsed/>
    <w:qFormat/>
    <w:rsid w:val="0098314C"/>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Titre6">
    <w:name w:val="heading 6"/>
    <w:basedOn w:val="Normal"/>
    <w:next w:val="Normal"/>
    <w:link w:val="Titre6Car"/>
    <w:uiPriority w:val="9"/>
    <w:semiHidden/>
    <w:unhideWhenUsed/>
    <w:qFormat/>
    <w:rsid w:val="0098314C"/>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Titre7">
    <w:name w:val="heading 7"/>
    <w:basedOn w:val="Normal"/>
    <w:next w:val="Normal"/>
    <w:link w:val="Titre7Car"/>
    <w:uiPriority w:val="9"/>
    <w:semiHidden/>
    <w:unhideWhenUsed/>
    <w:qFormat/>
    <w:rsid w:val="0098314C"/>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Titre8">
    <w:name w:val="heading 8"/>
    <w:basedOn w:val="Normal"/>
    <w:next w:val="Normal"/>
    <w:link w:val="Titre8Car"/>
    <w:uiPriority w:val="9"/>
    <w:semiHidden/>
    <w:unhideWhenUsed/>
    <w:qFormat/>
    <w:rsid w:val="0098314C"/>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Titre9">
    <w:name w:val="heading 9"/>
    <w:basedOn w:val="Normal"/>
    <w:next w:val="Normal"/>
    <w:link w:val="Titre9Car"/>
    <w:uiPriority w:val="9"/>
    <w:semiHidden/>
    <w:unhideWhenUsed/>
    <w:qFormat/>
    <w:rsid w:val="0098314C"/>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8314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qFormat/>
    <w:rsid w:val="0098314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98314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8314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8314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8314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8314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8314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8314C"/>
    <w:rPr>
      <w:rFonts w:eastAsiaTheme="majorEastAsia" w:cstheme="majorBidi"/>
      <w:color w:val="272727" w:themeColor="text1" w:themeTint="D8"/>
    </w:rPr>
  </w:style>
  <w:style w:type="paragraph" w:styleId="Titre">
    <w:name w:val="Title"/>
    <w:basedOn w:val="Normal"/>
    <w:next w:val="Normal"/>
    <w:link w:val="TitreCar"/>
    <w:uiPriority w:val="10"/>
    <w:qFormat/>
    <w:rsid w:val="0098314C"/>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reCar">
    <w:name w:val="Titre Car"/>
    <w:basedOn w:val="Policepardfaut"/>
    <w:link w:val="Titre"/>
    <w:uiPriority w:val="10"/>
    <w:rsid w:val="0098314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8314C"/>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ous-titreCar">
    <w:name w:val="Sous-titre Car"/>
    <w:basedOn w:val="Policepardfaut"/>
    <w:link w:val="Sous-titre"/>
    <w:uiPriority w:val="11"/>
    <w:rsid w:val="0098314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8314C"/>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CitationCar">
    <w:name w:val="Citation Car"/>
    <w:basedOn w:val="Policepardfaut"/>
    <w:link w:val="Citation"/>
    <w:uiPriority w:val="29"/>
    <w:rsid w:val="0098314C"/>
    <w:rPr>
      <w:i/>
      <w:iCs/>
      <w:color w:val="404040" w:themeColor="text1" w:themeTint="BF"/>
    </w:rPr>
  </w:style>
  <w:style w:type="paragraph" w:styleId="Paragraphedeliste">
    <w:name w:val="List Paragraph"/>
    <w:basedOn w:val="Normal"/>
    <w:uiPriority w:val="34"/>
    <w:qFormat/>
    <w:rsid w:val="0098314C"/>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Accentuationintense">
    <w:name w:val="Intense Emphasis"/>
    <w:basedOn w:val="Policepardfaut"/>
    <w:uiPriority w:val="21"/>
    <w:qFormat/>
    <w:rsid w:val="0098314C"/>
    <w:rPr>
      <w:i/>
      <w:iCs/>
      <w:color w:val="0F4761" w:themeColor="accent1" w:themeShade="BF"/>
    </w:rPr>
  </w:style>
  <w:style w:type="paragraph" w:styleId="Citationintense">
    <w:name w:val="Intense Quote"/>
    <w:basedOn w:val="Normal"/>
    <w:next w:val="Normal"/>
    <w:link w:val="CitationintenseCar"/>
    <w:uiPriority w:val="30"/>
    <w:qFormat/>
    <w:rsid w:val="0098314C"/>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CitationintenseCar">
    <w:name w:val="Citation intense Car"/>
    <w:basedOn w:val="Policepardfaut"/>
    <w:link w:val="Citationintense"/>
    <w:uiPriority w:val="30"/>
    <w:rsid w:val="0098314C"/>
    <w:rPr>
      <w:i/>
      <w:iCs/>
      <w:color w:val="0F4761" w:themeColor="accent1" w:themeShade="BF"/>
    </w:rPr>
  </w:style>
  <w:style w:type="character" w:styleId="Rfrenceintense">
    <w:name w:val="Intense Reference"/>
    <w:basedOn w:val="Policepardfaut"/>
    <w:uiPriority w:val="32"/>
    <w:qFormat/>
    <w:rsid w:val="0098314C"/>
    <w:rPr>
      <w:b/>
      <w:bCs/>
      <w:smallCaps/>
      <w:color w:val="0F4761" w:themeColor="accent1" w:themeShade="BF"/>
      <w:spacing w:val="5"/>
    </w:rPr>
  </w:style>
  <w:style w:type="table" w:styleId="Grilledutableau">
    <w:name w:val="Table Grid"/>
    <w:basedOn w:val="TableauNormal"/>
    <w:uiPriority w:val="59"/>
    <w:rsid w:val="00B71E60"/>
    <w:pPr>
      <w:spacing w:after="0" w:line="240" w:lineRule="auto"/>
    </w:pPr>
    <w:rPr>
      <w:rFonts w:eastAsiaTheme="minorEastAsia"/>
      <w:kern w:val="0"/>
      <w:sz w:val="20"/>
      <w:szCs w:val="20"/>
      <w:lang w:eastAsia="fr-F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edelespacerserv">
    <w:name w:val="Placeholder Text"/>
    <w:basedOn w:val="Policepardfaut"/>
    <w:uiPriority w:val="99"/>
    <w:semiHidden/>
    <w:rsid w:val="000E2569"/>
    <w:rPr>
      <w:color w:val="666666"/>
    </w:rPr>
  </w:style>
  <w:style w:type="paragraph" w:styleId="En-tte">
    <w:name w:val="header"/>
    <w:basedOn w:val="Normal"/>
    <w:link w:val="En-tteCar"/>
    <w:uiPriority w:val="99"/>
    <w:unhideWhenUsed/>
    <w:rsid w:val="004B0E52"/>
    <w:pPr>
      <w:tabs>
        <w:tab w:val="center" w:pos="4513"/>
        <w:tab w:val="right" w:pos="9026"/>
      </w:tabs>
    </w:pPr>
    <w:rPr>
      <w:rFonts w:ascii="Aptos" w:eastAsia="Aptos" w:hAnsi="Aptos" w:cstheme="minorBidi"/>
      <w:sz w:val="21"/>
      <w:szCs w:val="22"/>
      <w:lang w:val="en-US" w:eastAsia="en-US"/>
    </w:rPr>
  </w:style>
  <w:style w:type="character" w:customStyle="1" w:styleId="En-tteCar">
    <w:name w:val="En-tête Car"/>
    <w:basedOn w:val="Policepardfaut"/>
    <w:link w:val="En-tte"/>
    <w:uiPriority w:val="99"/>
    <w:rsid w:val="004B0E52"/>
    <w:rPr>
      <w:rFonts w:ascii="Aptos" w:eastAsia="Aptos" w:hAnsi="Aptos"/>
      <w:kern w:val="0"/>
      <w:sz w:val="21"/>
      <w:szCs w:val="22"/>
      <w:lang w:val="en-US"/>
      <w14:ligatures w14:val="none"/>
    </w:rPr>
  </w:style>
  <w:style w:type="paragraph" w:styleId="Pieddepage">
    <w:name w:val="footer"/>
    <w:basedOn w:val="Normal"/>
    <w:link w:val="PieddepageCar"/>
    <w:uiPriority w:val="99"/>
    <w:unhideWhenUsed/>
    <w:rsid w:val="004B0E52"/>
    <w:pPr>
      <w:tabs>
        <w:tab w:val="center" w:pos="4513"/>
        <w:tab w:val="right" w:pos="9026"/>
      </w:tabs>
    </w:pPr>
    <w:rPr>
      <w:rFonts w:ascii="Aptos" w:eastAsia="Aptos" w:hAnsi="Aptos" w:cstheme="minorBidi"/>
      <w:sz w:val="21"/>
      <w:szCs w:val="22"/>
      <w:lang w:val="en-US" w:eastAsia="en-US"/>
    </w:rPr>
  </w:style>
  <w:style w:type="character" w:customStyle="1" w:styleId="PieddepageCar">
    <w:name w:val="Pied de page Car"/>
    <w:basedOn w:val="Policepardfaut"/>
    <w:link w:val="Pieddepage"/>
    <w:uiPriority w:val="99"/>
    <w:rsid w:val="004B0E52"/>
    <w:rPr>
      <w:rFonts w:ascii="Aptos" w:eastAsia="Aptos" w:hAnsi="Aptos"/>
      <w:kern w:val="0"/>
      <w:sz w:val="21"/>
      <w:szCs w:val="22"/>
      <w:lang w:val="en-US"/>
      <w14:ligatures w14:val="none"/>
    </w:rPr>
  </w:style>
  <w:style w:type="paragraph" w:styleId="NormalWeb">
    <w:name w:val="Normal (Web)"/>
    <w:basedOn w:val="Normal"/>
    <w:uiPriority w:val="99"/>
    <w:semiHidden/>
    <w:unhideWhenUsed/>
    <w:rsid w:val="001456A3"/>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1517</TotalTime>
  <Pages>7</Pages>
  <Words>2313</Words>
  <Characters>12727</Characters>
  <Application>Microsoft Office Word</Application>
  <DocSecurity>0</DocSecurity>
  <Lines>106</Lines>
  <Paragraphs>30</Paragraphs>
  <ScaleCrop>false</ScaleCrop>
  <HeadingPairs>
    <vt:vector size="4" baseType="variant">
      <vt:variant>
        <vt:lpstr>Titre</vt:lpstr>
      </vt:variant>
      <vt:variant>
        <vt:i4>1</vt:i4>
      </vt:variant>
      <vt:variant>
        <vt:lpstr>Titres</vt:lpstr>
      </vt:variant>
      <vt:variant>
        <vt:i4>2</vt:i4>
      </vt:variant>
    </vt:vector>
  </HeadingPairs>
  <TitlesOfParts>
    <vt:vector size="3" baseType="lpstr">
      <vt:lpstr/>
      <vt:lpstr>7. Participants et unités d’observation</vt:lpstr>
      <vt:lpstr>    7.1 Méthode d’échantillonnage et calcul du MDE</vt:lpstr>
    </vt:vector>
  </TitlesOfParts>
  <Company/>
  <LinksUpToDate>false</LinksUpToDate>
  <CharactersWithSpaces>15010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Ronaldo.A AGBOHOU Ronaldo</dc:creator>
  <cp:keywords/>
  <dc:description/>
  <cp:lastModifiedBy>Ronaldo.A AGBOHOU Ronaldo</cp:lastModifiedBy>
  <cp:revision>7</cp:revision>
  <dcterms:created xsi:type="dcterms:W3CDTF">2026-08-20T09:40:00Z</dcterms:created>
  <dcterms:modified xsi:type="dcterms:W3CDTF">2026-09-10T15:14:00Z</dcterms:modified>
</cp:coreProperties>
</file>