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20"/>
          <w:szCs w:val="20"/>
        </w:rPr>
        <w:t xml:space="preserve">CKDev — Bénin</w:t>
      </w:r>
    </w:p>
    <w:p>
      <w:pPr>
        <w:spacing w:after="40"/>
      </w:pPr>
      <w:r>
        <w:rPr>
          <w:b/>
          <w:bCs/>
          <w:color w:val="1F3864"/>
          <w:sz w:val="36"/>
          <w:szCs w:val="36"/>
        </w:rPr>
        <w:t xml:space="preserve">Interprétation des résultats et ajustements avant soumission</w:t>
      </w:r>
    </w:p>
    <w:p>
      <w:pPr>
        <w:spacing w:after="300"/>
      </w:pPr>
      <w:r>
        <w:rPr>
          <w:i/>
          <w:iCs/>
          <w:color w:val="808080"/>
          <w:sz w:val="22"/>
          <w:szCs w:val="22"/>
        </w:rPr>
        <w:t xml:space="preserve">Basé sur l'exécution du fichier Power_MDE_CKDev_Benin.do</w:t>
      </w:r>
    </w:p>
    <w:p>
      <w:pPr>
        <w:pStyle w:val="Heading1"/>
        <w:spacing w:after="150" w:before="300"/>
      </w:pPr>
      <w:r>
        <w:t xml:space="preserve">1. Verdict sur l'exécution</w:t>
      </w:r>
    </w:p>
    <w:p>
      <w:pPr>
        <w:spacing w:after="120"/>
      </w:pPr>
      <w:r>
        <w:t xml:space="preserve">Le do-file s'est exécuté du début à la fin sans erreur Stata. La correction apportée au bloc 7 (retrait de l'option power() en trop dans l'appel « power twoproportions ») a résolu le problème rencontré précédemment (r(198)). Les 9 blocs ont produit leurs résultats : 5 tableaux de puissance/MDE, les résultats du contraste mère/père, un graphique de sensibilité (PNG) et un classeur Excel récapitulatif.</w:t>
      </w:r>
    </w:p>
    <w:p>
      <w:pPr>
        <w:spacing w:after="120"/>
      </w:pPr>
      <w:r>
        <w:t xml:space="preserve">Le fichier est donc fonctionnellement correct. La section 3 de ce document propose toutefois plusieurs ajustements de forme pour que le journal (.log) et les résultats soient plus faciles à relire et à présenter au PI.</w:t>
      </w:r>
    </w:p>
    <w:p>
      <w:pPr>
        <w:pStyle w:val="Heading1"/>
        <w:spacing w:after="150" w:before="300"/>
      </w:pPr>
      <w:r>
        <w:t xml:space="preserve">2. Interprétation des résultats obtenus</w:t>
      </w:r>
    </w:p>
    <w:p>
      <w:pPr>
        <w:pStyle w:val="Heading2"/>
        <w:spacing w:after="100" w:before="200"/>
      </w:pPr>
      <w:r>
        <w:t xml:space="preserve">2.1 Effets principaux (T1 vs Contrôle, T2 vs Contrôle) — Tableau 1</w:t>
      </w:r>
    </w:p>
    <w:p>
      <w:pPr>
        <w:spacing w:after="120"/>
      </w:pPr>
      <w:r>
        <w:t xml:space="preserve">Avec le design prévu (50 écoles par bras, 30 filles par école, puissance 80 %, seuil 5 %), le plus petit effet détectable dépend fortement de l'hypothèse retenue pour la corrélation intra-école (ICC)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rPr>
          <w:tblHeader/>
        </w:trPr>
        <w:tc>
          <w:tcPr>
            <w:tcW w:type="dxa" w:w="3100"/>
            <w:shd w:fill="1F3864" w:val="clear"/>
            <w:tcMar>
              <w:top w:type="dxa" w:w="80"/>
              <w:left w:type="dxa" w:w="100"/>
              <w:bottom w:type="dxa" w:w="80"/>
              <w:right w:type="dxa" w:w="100"/>
            </w:tcMar>
          </w:tcPr>
          <w:p>
            <w:r>
              <w:rPr>
                <w:b/>
                <w:bCs/>
                <w:color w:val="FFFFFF"/>
                <w:sz w:val="20"/>
                <w:szCs w:val="20"/>
              </w:rPr>
              <w:t xml:space="preserve">ICC</w:t>
            </w:r>
          </w:p>
        </w:tc>
        <w:tc>
          <w:tcPr>
            <w:tcW w:type="dxa" w:w="3100"/>
            <w:shd w:fill="1F3864" w:val="clear"/>
            <w:tcMar>
              <w:top w:type="dxa" w:w="80"/>
              <w:left w:type="dxa" w:w="100"/>
              <w:bottom w:type="dxa" w:w="80"/>
              <w:right w:type="dxa" w:w="100"/>
            </w:tcMar>
          </w:tcPr>
          <w:p>
            <w:r>
              <w:rPr>
                <w:b/>
                <w:bCs/>
                <w:color w:val="FFFFFF"/>
                <w:sz w:val="20"/>
                <w:szCs w:val="20"/>
              </w:rPr>
              <w:t xml:space="preserve">MDE (écarts-types)</w:t>
            </w:r>
          </w:p>
        </w:tc>
        <w:tc>
          <w:tcPr>
            <w:tcW w:type="dxa" w:w="3150"/>
            <w:shd w:fill="1F3864" w:val="clear"/>
            <w:tcMar>
              <w:top w:type="dxa" w:w="80"/>
              <w:left w:type="dxa" w:w="100"/>
              <w:bottom w:type="dxa" w:w="80"/>
              <w:right w:type="dxa" w:w="100"/>
            </w:tcMar>
          </w:tcPr>
          <w:p>
            <w:r>
              <w:rPr>
                <w:b/>
                <w:bCs/>
                <w:color w:val="FFFFFF"/>
                <w:sz w:val="20"/>
                <w:szCs w:val="20"/>
              </w:rPr>
              <w:t xml:space="preserve">N total (filles)</w:t>
            </w:r>
          </w:p>
        </w:tc>
      </w:tr>
      <w:tr>
        <w:tc>
          <w:tcPr>
            <w:tcW w:type="dxa" w:w="3100"/>
            <w:tcMar>
              <w:top w:type="dxa" w:w="80"/>
              <w:left w:type="dxa" w:w="100"/>
              <w:bottom w:type="dxa" w:w="80"/>
              <w:right w:type="dxa" w:w="100"/>
            </w:tcMar>
          </w:tcPr>
          <w:p>
            <w:r>
              <w:rPr>
                <w:b w:val="false"/>
                <w:bCs w:val="false"/>
                <w:color w:val="000000"/>
                <w:sz w:val="20"/>
                <w:szCs w:val="20"/>
              </w:rPr>
              <w:t xml:space="preserve">0,05</w:t>
            </w:r>
          </w:p>
        </w:tc>
        <w:tc>
          <w:tcPr>
            <w:tcW w:type="dxa" w:w="3100"/>
            <w:tcMar>
              <w:top w:type="dxa" w:w="80"/>
              <w:left w:type="dxa" w:w="100"/>
              <w:bottom w:type="dxa" w:w="80"/>
              <w:right w:type="dxa" w:w="100"/>
            </w:tcMar>
          </w:tcPr>
          <w:p>
            <w:r>
              <w:rPr>
                <w:b w:val="false"/>
                <w:bCs w:val="false"/>
                <w:color w:val="000000"/>
                <w:sz w:val="20"/>
                <w:szCs w:val="20"/>
              </w:rPr>
              <w:t xml:space="preserve">0,160</w:t>
            </w:r>
          </w:p>
        </w:tc>
        <w:tc>
          <w:tcPr>
            <w:tcW w:type="dxa" w:w="3150"/>
            <w:tcMar>
              <w:top w:type="dxa" w:w="80"/>
              <w:left w:type="dxa" w:w="100"/>
              <w:bottom w:type="dxa" w:w="80"/>
              <w:right w:type="dxa" w:w="100"/>
            </w:tcMar>
          </w:tcPr>
          <w:p>
            <w:r>
              <w:rPr>
                <w:b w:val="false"/>
                <w:bCs w:val="false"/>
                <w:color w:val="000000"/>
                <w:sz w:val="20"/>
                <w:szCs w:val="20"/>
              </w:rPr>
              <w:t xml:space="preserve">3 000</w:t>
            </w:r>
          </w:p>
        </w:tc>
      </w:tr>
      <w:tr>
        <w:tc>
          <w:tcPr>
            <w:tcW w:type="dxa" w:w="3100"/>
            <w:tcMar>
              <w:top w:type="dxa" w:w="80"/>
              <w:left w:type="dxa" w:w="100"/>
              <w:bottom w:type="dxa" w:w="80"/>
              <w:right w:type="dxa" w:w="100"/>
            </w:tcMar>
          </w:tcPr>
          <w:p>
            <w:r>
              <w:rPr>
                <w:b w:val="false"/>
                <w:bCs w:val="false"/>
                <w:color w:val="000000"/>
                <w:sz w:val="20"/>
                <w:szCs w:val="20"/>
              </w:rPr>
              <w:t xml:space="preserve">0,10</w:t>
            </w:r>
          </w:p>
        </w:tc>
        <w:tc>
          <w:tcPr>
            <w:tcW w:type="dxa" w:w="3100"/>
            <w:tcMar>
              <w:top w:type="dxa" w:w="80"/>
              <w:left w:type="dxa" w:w="100"/>
              <w:bottom w:type="dxa" w:w="80"/>
              <w:right w:type="dxa" w:w="100"/>
            </w:tcMar>
          </w:tcPr>
          <w:p>
            <w:r>
              <w:rPr>
                <w:b w:val="false"/>
                <w:bCs w:val="false"/>
                <w:color w:val="000000"/>
                <w:sz w:val="20"/>
                <w:szCs w:val="20"/>
              </w:rPr>
              <w:t xml:space="preserve">0,202</w:t>
            </w:r>
          </w:p>
        </w:tc>
        <w:tc>
          <w:tcPr>
            <w:tcW w:type="dxa" w:w="3150"/>
            <w:tcMar>
              <w:top w:type="dxa" w:w="80"/>
              <w:left w:type="dxa" w:w="100"/>
              <w:bottom w:type="dxa" w:w="80"/>
              <w:right w:type="dxa" w:w="100"/>
            </w:tcMar>
          </w:tcPr>
          <w:p>
            <w:r>
              <w:rPr>
                <w:b w:val="false"/>
                <w:bCs w:val="false"/>
                <w:color w:val="000000"/>
                <w:sz w:val="20"/>
                <w:szCs w:val="20"/>
              </w:rPr>
              <w:t xml:space="preserve">3 000</w:t>
            </w:r>
          </w:p>
        </w:tc>
      </w:tr>
      <w:tr>
        <w:tc>
          <w:tcPr>
            <w:tcW w:type="dxa" w:w="3100"/>
            <w:tcMar>
              <w:top w:type="dxa" w:w="80"/>
              <w:left w:type="dxa" w:w="100"/>
              <w:bottom w:type="dxa" w:w="80"/>
              <w:right w:type="dxa" w:w="100"/>
            </w:tcMar>
          </w:tcPr>
          <w:p>
            <w:r>
              <w:rPr>
                <w:b w:val="false"/>
                <w:bCs w:val="false"/>
                <w:color w:val="000000"/>
                <w:sz w:val="20"/>
                <w:szCs w:val="20"/>
              </w:rPr>
              <w:t xml:space="preserve">0,15</w:t>
            </w:r>
          </w:p>
        </w:tc>
        <w:tc>
          <w:tcPr>
            <w:tcW w:type="dxa" w:w="3100"/>
            <w:tcMar>
              <w:top w:type="dxa" w:w="80"/>
              <w:left w:type="dxa" w:w="100"/>
              <w:bottom w:type="dxa" w:w="80"/>
              <w:right w:type="dxa" w:w="100"/>
            </w:tcMar>
          </w:tcPr>
          <w:p>
            <w:r>
              <w:rPr>
                <w:b w:val="false"/>
                <w:bCs w:val="false"/>
                <w:color w:val="000000"/>
                <w:sz w:val="20"/>
                <w:szCs w:val="20"/>
              </w:rPr>
              <w:t xml:space="preserve">0,237</w:t>
            </w:r>
          </w:p>
        </w:tc>
        <w:tc>
          <w:tcPr>
            <w:tcW w:type="dxa" w:w="3150"/>
            <w:tcMar>
              <w:top w:type="dxa" w:w="80"/>
              <w:left w:type="dxa" w:w="100"/>
              <w:bottom w:type="dxa" w:w="80"/>
              <w:right w:type="dxa" w:w="100"/>
            </w:tcMar>
          </w:tcPr>
          <w:p>
            <w:r>
              <w:rPr>
                <w:b w:val="false"/>
                <w:bCs w:val="false"/>
                <w:color w:val="000000"/>
                <w:sz w:val="20"/>
                <w:szCs w:val="20"/>
              </w:rPr>
              <w:t xml:space="preserve">3 000</w:t>
            </w:r>
          </w:p>
        </w:tc>
      </w:tr>
      <w:tr>
        <w:tc>
          <w:tcPr>
            <w:tcW w:type="dxa" w:w="3100"/>
            <w:tcMar>
              <w:top w:type="dxa" w:w="80"/>
              <w:left w:type="dxa" w:w="100"/>
              <w:bottom w:type="dxa" w:w="80"/>
              <w:right w:type="dxa" w:w="100"/>
            </w:tcMar>
          </w:tcPr>
          <w:p>
            <w:r>
              <w:rPr>
                <w:b w:val="false"/>
                <w:bCs w:val="false"/>
                <w:color w:val="000000"/>
                <w:sz w:val="20"/>
                <w:szCs w:val="20"/>
              </w:rPr>
              <w:t xml:space="preserve">0,20</w:t>
            </w:r>
          </w:p>
        </w:tc>
        <w:tc>
          <w:tcPr>
            <w:tcW w:type="dxa" w:w="3100"/>
            <w:tcMar>
              <w:top w:type="dxa" w:w="80"/>
              <w:left w:type="dxa" w:w="100"/>
              <w:bottom w:type="dxa" w:w="80"/>
              <w:right w:type="dxa" w:w="100"/>
            </w:tcMar>
          </w:tcPr>
          <w:p>
            <w:r>
              <w:rPr>
                <w:b w:val="false"/>
                <w:bCs w:val="false"/>
                <w:color w:val="000000"/>
                <w:sz w:val="20"/>
                <w:szCs w:val="20"/>
              </w:rPr>
              <w:t xml:space="preserve">0,267</w:t>
            </w:r>
          </w:p>
        </w:tc>
        <w:tc>
          <w:tcPr>
            <w:tcW w:type="dxa" w:w="3150"/>
            <w:tcMar>
              <w:top w:type="dxa" w:w="80"/>
              <w:left w:type="dxa" w:w="100"/>
              <w:bottom w:type="dxa" w:w="80"/>
              <w:right w:type="dxa" w:w="100"/>
            </w:tcMar>
          </w:tcPr>
          <w:p>
            <w:r>
              <w:rPr>
                <w:b w:val="false"/>
                <w:bCs w:val="false"/>
                <w:color w:val="000000"/>
                <w:sz w:val="20"/>
                <w:szCs w:val="20"/>
              </w:rPr>
              <w:t xml:space="preserve">3 000</w:t>
            </w:r>
          </w:p>
        </w:tc>
      </w:tr>
    </w:tbl>
    <w:p>
      <w:pPr>
        <w:spacing w:after="120"/>
      </w:pPr>
      <w:r>
        <w:t xml:space="preserve">Avec l'hypothèse centrale (ICC = 0,10), l'étude peut détecter un effet d'au moins 0,20 écart-type pour chacune des deux comparaisons principales (Salience vs Contrôle, ou Salience+Mise en œuvre vs Contrôle). C'est un effet modéré, cohérent avec ce qui est généralement visé dans ce type d'intervention comportementale à faible coût.</w:t>
      </w:r>
    </w:p>
    <w:p>
      <w:pPr>
        <w:pStyle w:val="Heading2"/>
        <w:spacing w:after="100" w:before="200"/>
      </w:pPr>
      <w:r>
        <w:t xml:space="preserve">2.2 Nombre d'écoles nécessaires pour un effet cible — Tableau 2</w:t>
      </w:r>
    </w:p>
    <w:p>
      <w:pPr>
        <w:spacing w:after="120"/>
      </w:pPr>
      <w:r>
        <w:t xml:space="preserve">Ce tableau permet de vérifier si les 150 écoles prévues (50/bras) suffisent pour différents effets cibles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333"/>
        <w:gridCol w:w="2333"/>
        <w:gridCol w:w="2334"/>
      </w:tblGrid>
      <w:tr>
        <w:trPr>
          <w:tblHeader/>
        </w:trPr>
        <w:tc>
          <w:tcPr>
            <w:tcW w:type="dxa" w:w="2350"/>
            <w:shd w:fill="1F3864" w:val="clear"/>
            <w:tcMar>
              <w:top w:type="dxa" w:w="80"/>
              <w:left w:type="dxa" w:w="100"/>
              <w:bottom w:type="dxa" w:w="80"/>
              <w:right w:type="dxa" w:w="100"/>
            </w:tcMar>
          </w:tcPr>
          <w:p>
            <w:r>
              <w:rPr>
                <w:b/>
                <w:bCs/>
                <w:color w:val="FFFFFF"/>
                <w:sz w:val="20"/>
                <w:szCs w:val="20"/>
              </w:rPr>
              <w:t xml:space="preserve">ICC \ Effet cible</w:t>
            </w:r>
          </w:p>
        </w:tc>
        <w:tc>
          <w:tcPr>
            <w:tcW w:type="dxa" w:w="2333"/>
            <w:shd w:fill="1F3864" w:val="clear"/>
            <w:tcMar>
              <w:top w:type="dxa" w:w="80"/>
              <w:left w:type="dxa" w:w="100"/>
              <w:bottom w:type="dxa" w:w="80"/>
              <w:right w:type="dxa" w:w="100"/>
            </w:tcMar>
          </w:tcPr>
          <w:p>
            <w:r>
              <w:rPr>
                <w:b/>
                <w:bCs/>
                <w:color w:val="FFFFFF"/>
                <w:sz w:val="20"/>
                <w:szCs w:val="20"/>
              </w:rPr>
              <w:t xml:space="preserve">0,15 SD</w:t>
            </w:r>
          </w:p>
        </w:tc>
        <w:tc>
          <w:tcPr>
            <w:tcW w:type="dxa" w:w="2333"/>
            <w:shd w:fill="1F3864" w:val="clear"/>
            <w:tcMar>
              <w:top w:type="dxa" w:w="80"/>
              <w:left w:type="dxa" w:w="100"/>
              <w:bottom w:type="dxa" w:w="80"/>
              <w:right w:type="dxa" w:w="100"/>
            </w:tcMar>
          </w:tcPr>
          <w:p>
            <w:r>
              <w:rPr>
                <w:b/>
                <w:bCs/>
                <w:color w:val="FFFFFF"/>
                <w:sz w:val="20"/>
                <w:szCs w:val="20"/>
              </w:rPr>
              <w:t xml:space="preserve">0,20 SD</w:t>
            </w:r>
          </w:p>
        </w:tc>
        <w:tc>
          <w:tcPr>
            <w:tcW w:type="dxa" w:w="2334"/>
            <w:shd w:fill="1F3864" w:val="clear"/>
            <w:tcMar>
              <w:top w:type="dxa" w:w="80"/>
              <w:left w:type="dxa" w:w="100"/>
              <w:bottom w:type="dxa" w:w="80"/>
              <w:right w:type="dxa" w:w="100"/>
            </w:tcMar>
          </w:tcPr>
          <w:p>
            <w:r>
              <w:rPr>
                <w:b/>
                <w:bCs/>
                <w:color w:val="FFFFFF"/>
                <w:sz w:val="20"/>
                <w:szCs w:val="20"/>
              </w:rPr>
              <w:t xml:space="preserve">0,25 SD</w:t>
            </w:r>
          </w:p>
        </w:tc>
        <w:tc>
          <w:tcPr>
            <w:shd w:fill="1F3864" w:val="clear"/>
            <w:tcMar>
              <w:top w:type="dxa" w:w="80"/>
              <w:left w:type="dxa" w:w="100"/>
              <w:bottom w:type="dxa" w:w="80"/>
              <w:right w:type="dxa" w:w="100"/>
            </w:tcMar>
          </w:tcPr>
          <w:p>
            <w:r>
              <w:rPr>
                <w:b/>
                <w:bCs/>
                <w:color w:val="FFFFFF"/>
                <w:sz w:val="20"/>
                <w:szCs w:val="20"/>
              </w:rPr>
              <w:t xml:space="preserve">0,30 SD</w:t>
            </w:r>
          </w:p>
        </w:tc>
      </w:tr>
      <w:tr>
        <w:tc>
          <w:tcPr>
            <w:tcW w:type="dxa" w:w="2350"/>
            <w:tcMar>
              <w:top w:type="dxa" w:w="80"/>
              <w:left w:type="dxa" w:w="100"/>
              <w:bottom w:type="dxa" w:w="80"/>
              <w:right w:type="dxa" w:w="100"/>
            </w:tcMar>
          </w:tcPr>
          <w:p>
            <w:r>
              <w:rPr>
                <w:b w:val="false"/>
                <w:bCs w:val="false"/>
                <w:color w:val="000000"/>
                <w:sz w:val="20"/>
                <w:szCs w:val="20"/>
              </w:rPr>
              <w:t xml:space="preserve">0,05</w:t>
            </w:r>
          </w:p>
        </w:tc>
        <w:tc>
          <w:tcPr>
            <w:tcW w:type="dxa" w:w="2333"/>
            <w:tcMar>
              <w:top w:type="dxa" w:w="80"/>
              <w:left w:type="dxa" w:w="100"/>
              <w:bottom w:type="dxa" w:w="80"/>
              <w:right w:type="dxa" w:w="100"/>
            </w:tcMar>
          </w:tcPr>
          <w:p>
            <w:r>
              <w:rPr>
                <w:b w:val="false"/>
                <w:bCs w:val="false"/>
                <w:color w:val="000000"/>
                <w:sz w:val="20"/>
                <w:szCs w:val="20"/>
              </w:rPr>
              <w:t xml:space="preserve">57</w:t>
            </w:r>
          </w:p>
        </w:tc>
        <w:tc>
          <w:tcPr>
            <w:tcW w:type="dxa" w:w="2333"/>
            <w:tcMar>
              <w:top w:type="dxa" w:w="80"/>
              <w:left w:type="dxa" w:w="100"/>
              <w:bottom w:type="dxa" w:w="80"/>
              <w:right w:type="dxa" w:w="100"/>
            </w:tcMar>
          </w:tcPr>
          <w:p>
            <w:r>
              <w:rPr>
                <w:b w:val="false"/>
                <w:bCs w:val="false"/>
                <w:color w:val="000000"/>
                <w:sz w:val="20"/>
                <w:szCs w:val="20"/>
              </w:rPr>
              <w:t xml:space="preserve">33</w:t>
            </w:r>
          </w:p>
        </w:tc>
        <w:tc>
          <w:tcPr>
            <w:tcW w:type="dxa" w:w="2334"/>
            <w:tcMar>
              <w:top w:type="dxa" w:w="80"/>
              <w:left w:type="dxa" w:w="100"/>
              <w:bottom w:type="dxa" w:w="80"/>
              <w:right w:type="dxa" w:w="100"/>
            </w:tcMar>
          </w:tcPr>
          <w:p>
            <w:r>
              <w:rPr>
                <w:b w:val="false"/>
                <w:bCs w:val="false"/>
                <w:color w:val="000000"/>
                <w:sz w:val="20"/>
                <w:szCs w:val="20"/>
              </w:rPr>
              <w:t xml:space="preserve">21</w:t>
            </w:r>
          </w:p>
        </w:tc>
        <w:tc>
          <w:tcPr>
            <w:tcMar>
              <w:top w:type="dxa" w:w="80"/>
              <w:left w:type="dxa" w:w="100"/>
              <w:bottom w:type="dxa" w:w="80"/>
              <w:right w:type="dxa" w:w="100"/>
            </w:tcMar>
          </w:tcPr>
          <w:p>
            <w:r>
              <w:rPr>
                <w:b w:val="false"/>
                <w:bCs w:val="false"/>
                <w:color w:val="000000"/>
                <w:sz w:val="20"/>
                <w:szCs w:val="20"/>
              </w:rPr>
              <w:t xml:space="preserve">15</w:t>
            </w:r>
          </w:p>
        </w:tc>
      </w:tr>
      <w:tr>
        <w:tc>
          <w:tcPr>
            <w:tcW w:type="dxa" w:w="2350"/>
            <w:tcMar>
              <w:top w:type="dxa" w:w="80"/>
              <w:left w:type="dxa" w:w="100"/>
              <w:bottom w:type="dxa" w:w="80"/>
              <w:right w:type="dxa" w:w="100"/>
            </w:tcMar>
          </w:tcPr>
          <w:p>
            <w:r>
              <w:rPr>
                <w:b w:val="false"/>
                <w:bCs w:val="false"/>
                <w:color w:val="000000"/>
                <w:sz w:val="20"/>
                <w:szCs w:val="20"/>
              </w:rPr>
              <w:t xml:space="preserve">0,10</w:t>
            </w:r>
          </w:p>
        </w:tc>
        <w:tc>
          <w:tcPr>
            <w:tcW w:type="dxa" w:w="2333"/>
            <w:tcMar>
              <w:top w:type="dxa" w:w="80"/>
              <w:left w:type="dxa" w:w="100"/>
              <w:bottom w:type="dxa" w:w="80"/>
              <w:right w:type="dxa" w:w="100"/>
            </w:tcMar>
          </w:tcPr>
          <w:p>
            <w:r>
              <w:rPr>
                <w:b w:val="false"/>
                <w:bCs w:val="false"/>
                <w:color w:val="000000"/>
                <w:sz w:val="20"/>
                <w:szCs w:val="20"/>
              </w:rPr>
              <w:t xml:space="preserve">91</w:t>
            </w:r>
          </w:p>
        </w:tc>
        <w:tc>
          <w:tcPr>
            <w:tcW w:type="dxa" w:w="2333"/>
            <w:tcMar>
              <w:top w:type="dxa" w:w="80"/>
              <w:left w:type="dxa" w:w="100"/>
              <w:bottom w:type="dxa" w:w="80"/>
              <w:right w:type="dxa" w:w="100"/>
            </w:tcMar>
          </w:tcPr>
          <w:p>
            <w:r>
              <w:rPr>
                <w:b w:val="false"/>
                <w:bCs w:val="false"/>
                <w:color w:val="000000"/>
                <w:sz w:val="20"/>
                <w:szCs w:val="20"/>
              </w:rPr>
              <w:t xml:space="preserve">52</w:t>
            </w:r>
          </w:p>
        </w:tc>
        <w:tc>
          <w:tcPr>
            <w:tcW w:type="dxa" w:w="2334"/>
            <w:tcMar>
              <w:top w:type="dxa" w:w="80"/>
              <w:left w:type="dxa" w:w="100"/>
              <w:bottom w:type="dxa" w:w="80"/>
              <w:right w:type="dxa" w:w="100"/>
            </w:tcMar>
          </w:tcPr>
          <w:p>
            <w:r>
              <w:rPr>
                <w:b w:val="false"/>
                <w:bCs w:val="false"/>
                <w:color w:val="000000"/>
                <w:sz w:val="20"/>
                <w:szCs w:val="20"/>
              </w:rPr>
              <w:t xml:space="preserve">33</w:t>
            </w:r>
          </w:p>
        </w:tc>
        <w:tc>
          <w:tcPr>
            <w:tcMar>
              <w:top w:type="dxa" w:w="80"/>
              <w:left w:type="dxa" w:w="100"/>
              <w:bottom w:type="dxa" w:w="80"/>
              <w:right w:type="dxa" w:w="100"/>
            </w:tcMar>
          </w:tcPr>
          <w:p>
            <w:r>
              <w:rPr>
                <w:b w:val="false"/>
                <w:bCs w:val="false"/>
                <w:color w:val="000000"/>
                <w:sz w:val="20"/>
                <w:szCs w:val="20"/>
              </w:rPr>
              <w:t xml:space="preserve">23</w:t>
            </w:r>
          </w:p>
        </w:tc>
      </w:tr>
      <w:tr>
        <w:tc>
          <w:tcPr>
            <w:tcW w:type="dxa" w:w="2350"/>
            <w:tcMar>
              <w:top w:type="dxa" w:w="80"/>
              <w:left w:type="dxa" w:w="100"/>
              <w:bottom w:type="dxa" w:w="80"/>
              <w:right w:type="dxa" w:w="100"/>
            </w:tcMar>
          </w:tcPr>
          <w:p>
            <w:r>
              <w:rPr>
                <w:b w:val="false"/>
                <w:bCs w:val="false"/>
                <w:color w:val="000000"/>
                <w:sz w:val="20"/>
                <w:szCs w:val="20"/>
              </w:rPr>
              <w:t xml:space="preserve">0,15</w:t>
            </w:r>
          </w:p>
        </w:tc>
        <w:tc>
          <w:tcPr>
            <w:tcW w:type="dxa" w:w="2333"/>
            <w:tcMar>
              <w:top w:type="dxa" w:w="80"/>
              <w:left w:type="dxa" w:w="100"/>
              <w:bottom w:type="dxa" w:w="80"/>
              <w:right w:type="dxa" w:w="100"/>
            </w:tcMar>
          </w:tcPr>
          <w:p>
            <w:r>
              <w:rPr>
                <w:b w:val="false"/>
                <w:bCs w:val="false"/>
                <w:color w:val="000000"/>
                <w:sz w:val="20"/>
                <w:szCs w:val="20"/>
              </w:rPr>
              <w:t xml:space="preserve">125</w:t>
            </w:r>
          </w:p>
        </w:tc>
        <w:tc>
          <w:tcPr>
            <w:tcW w:type="dxa" w:w="2333"/>
            <w:tcMar>
              <w:top w:type="dxa" w:w="80"/>
              <w:left w:type="dxa" w:w="100"/>
              <w:bottom w:type="dxa" w:w="80"/>
              <w:right w:type="dxa" w:w="100"/>
            </w:tcMar>
          </w:tcPr>
          <w:p>
            <w:r>
              <w:rPr>
                <w:b w:val="false"/>
                <w:bCs w:val="false"/>
                <w:color w:val="000000"/>
                <w:sz w:val="20"/>
                <w:szCs w:val="20"/>
              </w:rPr>
              <w:t xml:space="preserve">70</w:t>
            </w:r>
          </w:p>
        </w:tc>
        <w:tc>
          <w:tcPr>
            <w:tcW w:type="dxa" w:w="2334"/>
            <w:tcMar>
              <w:top w:type="dxa" w:w="80"/>
              <w:left w:type="dxa" w:w="100"/>
              <w:bottom w:type="dxa" w:w="80"/>
              <w:right w:type="dxa" w:w="100"/>
            </w:tcMar>
          </w:tcPr>
          <w:p>
            <w:r>
              <w:rPr>
                <w:b w:val="false"/>
                <w:bCs w:val="false"/>
                <w:color w:val="000000"/>
                <w:sz w:val="20"/>
                <w:szCs w:val="20"/>
              </w:rPr>
              <w:t xml:space="preserve">45</w:t>
            </w:r>
          </w:p>
        </w:tc>
        <w:tc>
          <w:tcPr>
            <w:tcMar>
              <w:top w:type="dxa" w:w="80"/>
              <w:left w:type="dxa" w:w="100"/>
              <w:bottom w:type="dxa" w:w="80"/>
              <w:right w:type="dxa" w:w="100"/>
            </w:tcMar>
          </w:tcPr>
          <w:p>
            <w:r>
              <w:rPr>
                <w:b w:val="false"/>
                <w:bCs w:val="false"/>
                <w:color w:val="000000"/>
                <w:sz w:val="20"/>
                <w:szCs w:val="20"/>
              </w:rPr>
              <w:t xml:space="preserve">32</w:t>
            </w:r>
          </w:p>
        </w:tc>
      </w:tr>
      <w:tr>
        <w:tc>
          <w:tcPr>
            <w:tcW w:type="dxa" w:w="2350"/>
            <w:tcMar>
              <w:top w:type="dxa" w:w="80"/>
              <w:left w:type="dxa" w:w="100"/>
              <w:bottom w:type="dxa" w:w="80"/>
              <w:right w:type="dxa" w:w="100"/>
            </w:tcMar>
          </w:tcPr>
          <w:p>
            <w:r>
              <w:rPr>
                <w:b w:val="false"/>
                <w:bCs w:val="false"/>
                <w:color w:val="000000"/>
                <w:sz w:val="20"/>
                <w:szCs w:val="20"/>
              </w:rPr>
              <w:t xml:space="preserve">0,20</w:t>
            </w:r>
          </w:p>
        </w:tc>
        <w:tc>
          <w:tcPr>
            <w:tcW w:type="dxa" w:w="2333"/>
            <w:tcMar>
              <w:top w:type="dxa" w:w="80"/>
              <w:left w:type="dxa" w:w="100"/>
              <w:bottom w:type="dxa" w:w="80"/>
              <w:right w:type="dxa" w:w="100"/>
            </w:tcMar>
          </w:tcPr>
          <w:p>
            <w:r>
              <w:rPr>
                <w:b w:val="false"/>
                <w:bCs w:val="false"/>
                <w:color w:val="000000"/>
                <w:sz w:val="20"/>
                <w:szCs w:val="20"/>
              </w:rPr>
              <w:t xml:space="preserve">159</w:t>
            </w:r>
          </w:p>
        </w:tc>
        <w:tc>
          <w:tcPr>
            <w:tcW w:type="dxa" w:w="2333"/>
            <w:tcMar>
              <w:top w:type="dxa" w:w="80"/>
              <w:left w:type="dxa" w:w="100"/>
              <w:bottom w:type="dxa" w:w="80"/>
              <w:right w:type="dxa" w:w="100"/>
            </w:tcMar>
          </w:tcPr>
          <w:p>
            <w:r>
              <w:rPr>
                <w:b w:val="false"/>
                <w:bCs w:val="false"/>
                <w:color w:val="000000"/>
                <w:sz w:val="20"/>
                <w:szCs w:val="20"/>
              </w:rPr>
              <w:t xml:space="preserve">89</w:t>
            </w:r>
          </w:p>
        </w:tc>
        <w:tc>
          <w:tcPr>
            <w:tcW w:type="dxa" w:w="2334"/>
            <w:tcMar>
              <w:top w:type="dxa" w:w="80"/>
              <w:left w:type="dxa" w:w="100"/>
              <w:bottom w:type="dxa" w:w="80"/>
              <w:right w:type="dxa" w:w="100"/>
            </w:tcMar>
          </w:tcPr>
          <w:p>
            <w:r>
              <w:rPr>
                <w:b w:val="false"/>
                <w:bCs w:val="false"/>
                <w:color w:val="000000"/>
                <w:sz w:val="20"/>
                <w:szCs w:val="20"/>
              </w:rPr>
              <w:t xml:space="preserve">57</w:t>
            </w:r>
          </w:p>
        </w:tc>
        <w:tc>
          <w:tcPr>
            <w:tcMar>
              <w:top w:type="dxa" w:w="80"/>
              <w:left w:type="dxa" w:w="100"/>
              <w:bottom w:type="dxa" w:w="80"/>
              <w:right w:type="dxa" w:w="100"/>
            </w:tcMar>
          </w:tcPr>
          <w:p>
            <w:r>
              <w:rPr>
                <w:b w:val="false"/>
                <w:bCs w:val="false"/>
                <w:color w:val="000000"/>
                <w:sz w:val="20"/>
                <w:szCs w:val="20"/>
              </w:rPr>
              <w:t xml:space="preserve">40</w:t>
            </w:r>
          </w:p>
        </w:tc>
      </w:tr>
    </w:tbl>
    <w:p>
      <w:pPr>
        <w:spacing w:after="120"/>
      </w:pPr>
      <w:r>
        <w:t xml:space="preserve">Lecture : nombre d'écoles nécessaires PAR BRAS. Avec 50 écoles par bras (design actuel) et une ICC de 0,10, l'étude est correctement dimensionnée pour un effet de 0,20 SD (52 écoles requises, proche des 50 prévues), mais serait sous-dimensionnée pour détecter un effet plus fin de 0,15 SD (91 écoles seraient nécessaires). Si l'ICC réelle s'avère plus élevée (0,15 ou 0,20), le design actuel ne permettra de détecter que des effets assez larges (0,25 à 0,30 SD).</w:t>
      </w:r>
    </w:p>
    <w:p>
      <w:pPr>
        <w:pStyle w:val="Heading2"/>
        <w:spacing w:after="100" w:before="200"/>
      </w:pPr>
      <w:r>
        <w:t xml:space="preserve">2.3 Gain apporté par une covariable de baseline — Tableau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rPr>
          <w:tblHeader/>
        </w:trPr>
        <w:tc>
          <w:tcPr>
            <w:tcW w:type="dxa" w:w="3100"/>
            <w:shd w:fill="1F3864" w:val="clear"/>
            <w:tcMar>
              <w:top w:type="dxa" w:w="80"/>
              <w:left w:type="dxa" w:w="100"/>
              <w:bottom w:type="dxa" w:w="80"/>
              <w:right w:type="dxa" w:w="100"/>
            </w:tcMar>
          </w:tcPr>
          <w:p>
            <w:r>
              <w:rPr>
                <w:b/>
                <w:bCs/>
                <w:color w:val="FFFFFF"/>
                <w:sz w:val="20"/>
                <w:szCs w:val="20"/>
              </w:rPr>
              <w:t xml:space="preserve">R² baseline</w:t>
            </w:r>
          </w:p>
        </w:tc>
        <w:tc>
          <w:tcPr>
            <w:tcW w:type="dxa" w:w="3100"/>
            <w:shd w:fill="1F3864" w:val="clear"/>
            <w:tcMar>
              <w:top w:type="dxa" w:w="80"/>
              <w:left w:type="dxa" w:w="100"/>
              <w:bottom w:type="dxa" w:w="80"/>
              <w:right w:type="dxa" w:w="100"/>
            </w:tcMar>
          </w:tcPr>
          <w:p>
            <w:r>
              <w:rPr>
                <w:b/>
                <w:bCs/>
                <w:color w:val="FFFFFF"/>
                <w:sz w:val="20"/>
                <w:szCs w:val="20"/>
              </w:rPr>
              <w:t xml:space="preserve">MDE (SD)</w:t>
            </w:r>
          </w:p>
        </w:tc>
        <w:tc>
          <w:tcPr>
            <w:tcW w:type="dxa" w:w="3150"/>
            <w:shd w:fill="1F3864" w:val="clear"/>
            <w:tcMar>
              <w:top w:type="dxa" w:w="80"/>
              <w:left w:type="dxa" w:w="100"/>
              <w:bottom w:type="dxa" w:w="80"/>
              <w:right w:type="dxa" w:w="100"/>
            </w:tcMar>
          </w:tcPr>
          <w:p>
            <w:r>
              <w:rPr>
                <w:b/>
                <w:bCs/>
                <w:color w:val="FFFFFF"/>
                <w:sz w:val="20"/>
                <w:szCs w:val="20"/>
              </w:rPr>
              <w:t xml:space="preserve">Écart-type résiduel</w:t>
            </w:r>
          </w:p>
        </w:tc>
      </w:tr>
      <w:tr>
        <w:tc>
          <w:tcPr>
            <w:tcW w:type="dxa" w:w="3100"/>
            <w:tcMar>
              <w:top w:type="dxa" w:w="80"/>
              <w:left w:type="dxa" w:w="100"/>
              <w:bottom w:type="dxa" w:w="80"/>
              <w:right w:type="dxa" w:w="100"/>
            </w:tcMar>
          </w:tcPr>
          <w:p>
            <w:r>
              <w:rPr>
                <w:b w:val="false"/>
                <w:bCs w:val="false"/>
                <w:color w:val="000000"/>
                <w:sz w:val="20"/>
                <w:szCs w:val="20"/>
              </w:rPr>
              <w:t xml:space="preserve">0 (aucune covariable)</w:t>
            </w:r>
          </w:p>
        </w:tc>
        <w:tc>
          <w:tcPr>
            <w:tcW w:type="dxa" w:w="3100"/>
            <w:tcMar>
              <w:top w:type="dxa" w:w="80"/>
              <w:left w:type="dxa" w:w="100"/>
              <w:bottom w:type="dxa" w:w="80"/>
              <w:right w:type="dxa" w:w="100"/>
            </w:tcMar>
          </w:tcPr>
          <w:p>
            <w:r>
              <w:rPr>
                <w:b w:val="false"/>
                <w:bCs w:val="false"/>
                <w:color w:val="000000"/>
                <w:sz w:val="20"/>
                <w:szCs w:val="20"/>
              </w:rPr>
              <w:t xml:space="preserve">0,202</w:t>
            </w:r>
          </w:p>
        </w:tc>
        <w:tc>
          <w:tcPr>
            <w:tcW w:type="dxa" w:w="3150"/>
            <w:tcMar>
              <w:top w:type="dxa" w:w="80"/>
              <w:left w:type="dxa" w:w="100"/>
              <w:bottom w:type="dxa" w:w="80"/>
              <w:right w:type="dxa" w:w="100"/>
            </w:tcMar>
          </w:tcPr>
          <w:p>
            <w:r>
              <w:rPr>
                <w:b w:val="false"/>
                <w:bCs w:val="false"/>
                <w:color w:val="000000"/>
                <w:sz w:val="20"/>
                <w:szCs w:val="20"/>
              </w:rPr>
              <w:t xml:space="preserve">1,000</w:t>
            </w:r>
          </w:p>
        </w:tc>
      </w:tr>
      <w:tr>
        <w:tc>
          <w:tcPr>
            <w:tcW w:type="dxa" w:w="3100"/>
            <w:tcMar>
              <w:top w:type="dxa" w:w="80"/>
              <w:left w:type="dxa" w:w="100"/>
              <w:bottom w:type="dxa" w:w="80"/>
              <w:right w:type="dxa" w:w="100"/>
            </w:tcMar>
          </w:tcPr>
          <w:p>
            <w:r>
              <w:rPr>
                <w:b w:val="false"/>
                <w:bCs w:val="false"/>
                <w:color w:val="000000"/>
                <w:sz w:val="20"/>
                <w:szCs w:val="20"/>
              </w:rPr>
              <w:t xml:space="preserve">0,10</w:t>
            </w:r>
          </w:p>
        </w:tc>
        <w:tc>
          <w:tcPr>
            <w:tcW w:type="dxa" w:w="3100"/>
            <w:tcMar>
              <w:top w:type="dxa" w:w="80"/>
              <w:left w:type="dxa" w:w="100"/>
              <w:bottom w:type="dxa" w:w="80"/>
              <w:right w:type="dxa" w:w="100"/>
            </w:tcMar>
          </w:tcPr>
          <w:p>
            <w:r>
              <w:rPr>
                <w:b w:val="false"/>
                <w:bCs w:val="false"/>
                <w:color w:val="000000"/>
                <w:sz w:val="20"/>
                <w:szCs w:val="20"/>
              </w:rPr>
              <w:t xml:space="preserve">0,192</w:t>
            </w:r>
          </w:p>
        </w:tc>
        <w:tc>
          <w:tcPr>
            <w:tcW w:type="dxa" w:w="3150"/>
            <w:tcMar>
              <w:top w:type="dxa" w:w="80"/>
              <w:left w:type="dxa" w:w="100"/>
              <w:bottom w:type="dxa" w:w="80"/>
              <w:right w:type="dxa" w:w="100"/>
            </w:tcMar>
          </w:tcPr>
          <w:p>
            <w:r>
              <w:rPr>
                <w:b w:val="false"/>
                <w:bCs w:val="false"/>
                <w:color w:val="000000"/>
                <w:sz w:val="20"/>
                <w:szCs w:val="20"/>
              </w:rPr>
              <w:t xml:space="preserve">0,949</w:t>
            </w:r>
          </w:p>
        </w:tc>
      </w:tr>
      <w:tr>
        <w:tc>
          <w:tcPr>
            <w:tcW w:type="dxa" w:w="3100"/>
            <w:tcMar>
              <w:top w:type="dxa" w:w="80"/>
              <w:left w:type="dxa" w:w="100"/>
              <w:bottom w:type="dxa" w:w="80"/>
              <w:right w:type="dxa" w:w="100"/>
            </w:tcMar>
          </w:tcPr>
          <w:p>
            <w:r>
              <w:rPr>
                <w:b w:val="false"/>
                <w:bCs w:val="false"/>
                <w:color w:val="000000"/>
                <w:sz w:val="20"/>
                <w:szCs w:val="20"/>
              </w:rPr>
              <w:t xml:space="preserve">0,20</w:t>
            </w:r>
          </w:p>
        </w:tc>
        <w:tc>
          <w:tcPr>
            <w:tcW w:type="dxa" w:w="3100"/>
            <w:tcMar>
              <w:top w:type="dxa" w:w="80"/>
              <w:left w:type="dxa" w:w="100"/>
              <w:bottom w:type="dxa" w:w="80"/>
              <w:right w:type="dxa" w:w="100"/>
            </w:tcMar>
          </w:tcPr>
          <w:p>
            <w:r>
              <w:rPr>
                <w:b w:val="false"/>
                <w:bCs w:val="false"/>
                <w:color w:val="000000"/>
                <w:sz w:val="20"/>
                <w:szCs w:val="20"/>
              </w:rPr>
              <w:t xml:space="preserve">0,181</w:t>
            </w:r>
          </w:p>
        </w:tc>
        <w:tc>
          <w:tcPr>
            <w:tcW w:type="dxa" w:w="3150"/>
            <w:tcMar>
              <w:top w:type="dxa" w:w="80"/>
              <w:left w:type="dxa" w:w="100"/>
              <w:bottom w:type="dxa" w:w="80"/>
              <w:right w:type="dxa" w:w="100"/>
            </w:tcMar>
          </w:tcPr>
          <w:p>
            <w:r>
              <w:rPr>
                <w:b w:val="false"/>
                <w:bCs w:val="false"/>
                <w:color w:val="000000"/>
                <w:sz w:val="20"/>
                <w:szCs w:val="20"/>
              </w:rPr>
              <w:t xml:space="preserve">0,894</w:t>
            </w:r>
          </w:p>
        </w:tc>
      </w:tr>
      <w:tr>
        <w:tc>
          <w:tcPr>
            <w:tcW w:type="dxa" w:w="3100"/>
            <w:tcMar>
              <w:top w:type="dxa" w:w="80"/>
              <w:left w:type="dxa" w:w="100"/>
              <w:bottom w:type="dxa" w:w="80"/>
              <w:right w:type="dxa" w:w="100"/>
            </w:tcMar>
          </w:tcPr>
          <w:p>
            <w:r>
              <w:rPr>
                <w:b w:val="false"/>
                <w:bCs w:val="false"/>
                <w:color w:val="000000"/>
                <w:sz w:val="20"/>
                <w:szCs w:val="20"/>
              </w:rPr>
              <w:t xml:space="preserve">0,30</w:t>
            </w:r>
          </w:p>
        </w:tc>
        <w:tc>
          <w:tcPr>
            <w:tcW w:type="dxa" w:w="3100"/>
            <w:tcMar>
              <w:top w:type="dxa" w:w="80"/>
              <w:left w:type="dxa" w:w="100"/>
              <w:bottom w:type="dxa" w:w="80"/>
              <w:right w:type="dxa" w:w="100"/>
            </w:tcMar>
          </w:tcPr>
          <w:p>
            <w:r>
              <w:rPr>
                <w:b w:val="false"/>
                <w:bCs w:val="false"/>
                <w:color w:val="000000"/>
                <w:sz w:val="20"/>
                <w:szCs w:val="20"/>
              </w:rPr>
              <w:t xml:space="preserve">0,169</w:t>
            </w:r>
          </w:p>
        </w:tc>
        <w:tc>
          <w:tcPr>
            <w:tcW w:type="dxa" w:w="3150"/>
            <w:tcMar>
              <w:top w:type="dxa" w:w="80"/>
              <w:left w:type="dxa" w:w="100"/>
              <w:bottom w:type="dxa" w:w="80"/>
              <w:right w:type="dxa" w:w="100"/>
            </w:tcMar>
          </w:tcPr>
          <w:p>
            <w:r>
              <w:rPr>
                <w:b w:val="false"/>
                <w:bCs w:val="false"/>
                <w:color w:val="000000"/>
                <w:sz w:val="20"/>
                <w:szCs w:val="20"/>
              </w:rPr>
              <w:t xml:space="preserve">0,837</w:t>
            </w:r>
          </w:p>
        </w:tc>
      </w:tr>
      <w:tr>
        <w:tc>
          <w:tcPr>
            <w:tcW w:type="dxa" w:w="3100"/>
            <w:tcMar>
              <w:top w:type="dxa" w:w="80"/>
              <w:left w:type="dxa" w:w="100"/>
              <w:bottom w:type="dxa" w:w="80"/>
              <w:right w:type="dxa" w:w="100"/>
            </w:tcMar>
          </w:tcPr>
          <w:p>
            <w:r>
              <w:rPr>
                <w:b w:val="false"/>
                <w:bCs w:val="false"/>
                <w:color w:val="000000"/>
                <w:sz w:val="20"/>
                <w:szCs w:val="20"/>
              </w:rPr>
              <w:t xml:space="preserve">0,40</w:t>
            </w:r>
          </w:p>
        </w:tc>
        <w:tc>
          <w:tcPr>
            <w:tcW w:type="dxa" w:w="3100"/>
            <w:tcMar>
              <w:top w:type="dxa" w:w="80"/>
              <w:left w:type="dxa" w:w="100"/>
              <w:bottom w:type="dxa" w:w="80"/>
              <w:right w:type="dxa" w:w="100"/>
            </w:tcMar>
          </w:tcPr>
          <w:p>
            <w:r>
              <w:rPr>
                <w:b w:val="false"/>
                <w:bCs w:val="false"/>
                <w:color w:val="000000"/>
                <w:sz w:val="20"/>
                <w:szCs w:val="20"/>
              </w:rPr>
              <w:t xml:space="preserve">0,156</w:t>
            </w:r>
          </w:p>
        </w:tc>
        <w:tc>
          <w:tcPr>
            <w:tcW w:type="dxa" w:w="3150"/>
            <w:tcMar>
              <w:top w:type="dxa" w:w="80"/>
              <w:left w:type="dxa" w:w="100"/>
              <w:bottom w:type="dxa" w:w="80"/>
              <w:right w:type="dxa" w:w="100"/>
            </w:tcMar>
          </w:tcPr>
          <w:p>
            <w:r>
              <w:rPr>
                <w:b w:val="false"/>
                <w:bCs w:val="false"/>
                <w:color w:val="000000"/>
                <w:sz w:val="20"/>
                <w:szCs w:val="20"/>
              </w:rPr>
              <w:t xml:space="preserve">0,775</w:t>
            </w:r>
          </w:p>
        </w:tc>
      </w:tr>
    </w:tbl>
    <w:p>
      <w:pPr>
        <w:spacing w:after="120"/>
      </w:pPr>
      <w:r>
        <w:t xml:space="preserve">Contrôler pour une mesure de baseline améliore la précision de façon progressive mais modeste : avec un R² de 0,30 (plausible pour ce type de données), le MDE passe de 0,202 à 0,169 SD, soit un gain d'environ 16 %. Ce gain justifie de collecter un baseline complet avant le lancement.</w:t>
      </w:r>
    </w:p>
    <w:p>
      <w:pPr>
        <w:pStyle w:val="Heading2"/>
        <w:spacing w:after="100" w:before="200"/>
      </w:pPr>
      <w:r>
        <w:t xml:space="preserve">2.4 Effet de l'attrition attendue — Tableau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rPr>
          <w:tblHeader/>
        </w:trPr>
        <w:tc>
          <w:tcPr>
            <w:tcW w:type="dxa" w:w="3100"/>
            <w:shd w:fill="1F3864" w:val="clear"/>
            <w:tcMar>
              <w:top w:type="dxa" w:w="80"/>
              <w:left w:type="dxa" w:w="100"/>
              <w:bottom w:type="dxa" w:w="80"/>
              <w:right w:type="dxa" w:w="100"/>
            </w:tcMar>
          </w:tcPr>
          <w:p>
            <w:r>
              <w:rPr>
                <w:b/>
                <w:bCs/>
                <w:color w:val="FFFFFF"/>
                <w:sz w:val="20"/>
                <w:szCs w:val="20"/>
              </w:rPr>
              <w:t xml:space="preserve">Taux d'attrition</w:t>
            </w:r>
          </w:p>
        </w:tc>
        <w:tc>
          <w:tcPr>
            <w:tcW w:type="dxa" w:w="3100"/>
            <w:shd w:fill="1F3864" w:val="clear"/>
            <w:tcMar>
              <w:top w:type="dxa" w:w="80"/>
              <w:left w:type="dxa" w:w="100"/>
              <w:bottom w:type="dxa" w:w="80"/>
              <w:right w:type="dxa" w:w="100"/>
            </w:tcMar>
          </w:tcPr>
          <w:p>
            <w:r>
              <w:rPr>
                <w:b/>
                <w:bCs/>
                <w:color w:val="FFFFFF"/>
                <w:sz w:val="20"/>
                <w:szCs w:val="20"/>
              </w:rPr>
              <w:t xml:space="preserve">Filles retenues / école</w:t>
            </w:r>
          </w:p>
        </w:tc>
        <w:tc>
          <w:tcPr>
            <w:tcW w:type="dxa" w:w="3150"/>
            <w:shd w:fill="1F3864" w:val="clear"/>
            <w:tcMar>
              <w:top w:type="dxa" w:w="80"/>
              <w:left w:type="dxa" w:w="100"/>
              <w:bottom w:type="dxa" w:w="80"/>
              <w:right w:type="dxa" w:w="100"/>
            </w:tcMar>
          </w:tcPr>
          <w:p>
            <w:r>
              <w:rPr>
                <w:b/>
                <w:bCs/>
                <w:color w:val="FFFFFF"/>
                <w:sz w:val="20"/>
                <w:szCs w:val="20"/>
              </w:rPr>
              <w:t xml:space="preserve">MDE (SD)</w:t>
            </w:r>
          </w:p>
        </w:tc>
      </w:tr>
      <w:tr>
        <w:tc>
          <w:tcPr>
            <w:tcW w:type="dxa" w:w="3100"/>
            <w:tcMar>
              <w:top w:type="dxa" w:w="80"/>
              <w:left w:type="dxa" w:w="100"/>
              <w:bottom w:type="dxa" w:w="80"/>
              <w:right w:type="dxa" w:w="100"/>
            </w:tcMar>
          </w:tcPr>
          <w:p>
            <w:r>
              <w:rPr>
                <w:b w:val="false"/>
                <w:bCs w:val="false"/>
                <w:color w:val="000000"/>
                <w:sz w:val="20"/>
                <w:szCs w:val="20"/>
              </w:rPr>
              <w:t xml:space="preserve">5 %</w:t>
            </w:r>
          </w:p>
        </w:tc>
        <w:tc>
          <w:tcPr>
            <w:tcW w:type="dxa" w:w="3100"/>
            <w:tcMar>
              <w:top w:type="dxa" w:w="80"/>
              <w:left w:type="dxa" w:w="100"/>
              <w:bottom w:type="dxa" w:w="80"/>
              <w:right w:type="dxa" w:w="100"/>
            </w:tcMar>
          </w:tcPr>
          <w:p>
            <w:r>
              <w:rPr>
                <w:b w:val="false"/>
                <w:bCs w:val="false"/>
                <w:color w:val="000000"/>
                <w:sz w:val="20"/>
                <w:szCs w:val="20"/>
              </w:rPr>
              <w:t xml:space="preserve">28,5</w:t>
            </w:r>
          </w:p>
        </w:tc>
        <w:tc>
          <w:tcPr>
            <w:tcW w:type="dxa" w:w="3150"/>
            <w:tcMar>
              <w:top w:type="dxa" w:w="80"/>
              <w:left w:type="dxa" w:w="100"/>
              <w:bottom w:type="dxa" w:w="80"/>
              <w:right w:type="dxa" w:w="100"/>
            </w:tcMar>
          </w:tcPr>
          <w:p>
            <w:r>
              <w:rPr>
                <w:b w:val="false"/>
                <w:bCs w:val="false"/>
                <w:color w:val="000000"/>
                <w:sz w:val="20"/>
                <w:szCs w:val="20"/>
              </w:rPr>
              <w:t xml:space="preserve">0,203</w:t>
            </w:r>
          </w:p>
        </w:tc>
      </w:tr>
      <w:tr>
        <w:tc>
          <w:tcPr>
            <w:tcW w:type="dxa" w:w="3100"/>
            <w:tcMar>
              <w:top w:type="dxa" w:w="80"/>
              <w:left w:type="dxa" w:w="100"/>
              <w:bottom w:type="dxa" w:w="80"/>
              <w:right w:type="dxa" w:w="100"/>
            </w:tcMar>
          </w:tcPr>
          <w:p>
            <w:r>
              <w:rPr>
                <w:b w:val="false"/>
                <w:bCs w:val="false"/>
                <w:color w:val="000000"/>
                <w:sz w:val="20"/>
                <w:szCs w:val="20"/>
              </w:rPr>
              <w:t xml:space="preserve">10 %</w:t>
            </w:r>
          </w:p>
        </w:tc>
        <w:tc>
          <w:tcPr>
            <w:tcW w:type="dxa" w:w="3100"/>
            <w:tcMar>
              <w:top w:type="dxa" w:w="80"/>
              <w:left w:type="dxa" w:w="100"/>
              <w:bottom w:type="dxa" w:w="80"/>
              <w:right w:type="dxa" w:w="100"/>
            </w:tcMar>
          </w:tcPr>
          <w:p>
            <w:r>
              <w:rPr>
                <w:b w:val="false"/>
                <w:bCs w:val="false"/>
                <w:color w:val="000000"/>
                <w:sz w:val="20"/>
                <w:szCs w:val="20"/>
              </w:rPr>
              <w:t xml:space="preserve">27</w:t>
            </w:r>
          </w:p>
        </w:tc>
        <w:tc>
          <w:tcPr>
            <w:tcW w:type="dxa" w:w="3150"/>
            <w:tcMar>
              <w:top w:type="dxa" w:w="80"/>
              <w:left w:type="dxa" w:w="100"/>
              <w:bottom w:type="dxa" w:w="80"/>
              <w:right w:type="dxa" w:w="100"/>
            </w:tcMar>
          </w:tcPr>
          <w:p>
            <w:r>
              <w:rPr>
                <w:b w:val="false"/>
                <w:bCs w:val="false"/>
                <w:color w:val="000000"/>
                <w:sz w:val="20"/>
                <w:szCs w:val="20"/>
              </w:rPr>
              <w:t xml:space="preserve">0,205</w:t>
            </w:r>
          </w:p>
        </w:tc>
      </w:tr>
      <w:tr>
        <w:tc>
          <w:tcPr>
            <w:tcW w:type="dxa" w:w="3100"/>
            <w:tcMar>
              <w:top w:type="dxa" w:w="80"/>
              <w:left w:type="dxa" w:w="100"/>
              <w:bottom w:type="dxa" w:w="80"/>
              <w:right w:type="dxa" w:w="100"/>
            </w:tcMar>
          </w:tcPr>
          <w:p>
            <w:r>
              <w:rPr>
                <w:b w:val="false"/>
                <w:bCs w:val="false"/>
                <w:color w:val="000000"/>
                <w:sz w:val="20"/>
                <w:szCs w:val="20"/>
              </w:rPr>
              <w:t xml:space="preserve">15 %</w:t>
            </w:r>
          </w:p>
        </w:tc>
        <w:tc>
          <w:tcPr>
            <w:tcW w:type="dxa" w:w="3100"/>
            <w:tcMar>
              <w:top w:type="dxa" w:w="80"/>
              <w:left w:type="dxa" w:w="100"/>
              <w:bottom w:type="dxa" w:w="80"/>
              <w:right w:type="dxa" w:w="100"/>
            </w:tcMar>
          </w:tcPr>
          <w:p>
            <w:r>
              <w:rPr>
                <w:b w:val="false"/>
                <w:bCs w:val="false"/>
                <w:color w:val="000000"/>
                <w:sz w:val="20"/>
                <w:szCs w:val="20"/>
              </w:rPr>
              <w:t xml:space="preserve">25,5</w:t>
            </w:r>
          </w:p>
        </w:tc>
        <w:tc>
          <w:tcPr>
            <w:tcW w:type="dxa" w:w="3150"/>
            <w:tcMar>
              <w:top w:type="dxa" w:w="80"/>
              <w:left w:type="dxa" w:w="100"/>
              <w:bottom w:type="dxa" w:w="80"/>
              <w:right w:type="dxa" w:w="100"/>
            </w:tcMar>
          </w:tcPr>
          <w:p>
            <w:r>
              <w:rPr>
                <w:b w:val="false"/>
                <w:bCs w:val="false"/>
                <w:color w:val="000000"/>
                <w:sz w:val="20"/>
                <w:szCs w:val="20"/>
              </w:rPr>
              <w:t xml:space="preserve">0,206</w:t>
            </w:r>
          </w:p>
        </w:tc>
      </w:tr>
      <w:tr>
        <w:tc>
          <w:tcPr>
            <w:tcW w:type="dxa" w:w="3100"/>
            <w:tcMar>
              <w:top w:type="dxa" w:w="80"/>
              <w:left w:type="dxa" w:w="100"/>
              <w:bottom w:type="dxa" w:w="80"/>
              <w:right w:type="dxa" w:w="100"/>
            </w:tcMar>
          </w:tcPr>
          <w:p>
            <w:r>
              <w:rPr>
                <w:b w:val="false"/>
                <w:bCs w:val="false"/>
                <w:color w:val="000000"/>
                <w:sz w:val="20"/>
                <w:szCs w:val="20"/>
              </w:rPr>
              <w:t xml:space="preserve">20 %</w:t>
            </w:r>
          </w:p>
        </w:tc>
        <w:tc>
          <w:tcPr>
            <w:tcW w:type="dxa" w:w="3100"/>
            <w:tcMar>
              <w:top w:type="dxa" w:w="80"/>
              <w:left w:type="dxa" w:w="100"/>
              <w:bottom w:type="dxa" w:w="80"/>
              <w:right w:type="dxa" w:w="100"/>
            </w:tcMar>
          </w:tcPr>
          <w:p>
            <w:r>
              <w:rPr>
                <w:b w:val="false"/>
                <w:bCs w:val="false"/>
                <w:color w:val="000000"/>
                <w:sz w:val="20"/>
                <w:szCs w:val="20"/>
              </w:rPr>
              <w:t xml:space="preserve">24</w:t>
            </w:r>
          </w:p>
        </w:tc>
        <w:tc>
          <w:tcPr>
            <w:tcW w:type="dxa" w:w="3150"/>
            <w:tcMar>
              <w:top w:type="dxa" w:w="80"/>
              <w:left w:type="dxa" w:w="100"/>
              <w:bottom w:type="dxa" w:w="80"/>
              <w:right w:type="dxa" w:w="100"/>
            </w:tcMar>
          </w:tcPr>
          <w:p>
            <w:r>
              <w:rPr>
                <w:b w:val="false"/>
                <w:bCs w:val="false"/>
                <w:color w:val="000000"/>
                <w:sz w:val="20"/>
                <w:szCs w:val="20"/>
              </w:rPr>
              <w:t xml:space="preserve">0,208</w:t>
            </w:r>
          </w:p>
        </w:tc>
      </w:tr>
    </w:tbl>
    <w:p>
      <w:pPr>
        <w:spacing w:after="120"/>
      </w:pPr>
      <w:r>
        <w:t xml:space="preserve">L'attrition a un effet limité sur le MDE dans la plage testée (0,202 à 0,208 SD, soit une dégradation de moins de 3 %). Le design est donc raisonnablement robuste à une attrition modérée (jusqu'à 20 %), tant qu'elle ne diffère pas systématiquement entre bras (voir section 11.6 du guide projet).</w:t>
      </w:r>
    </w:p>
    <w:p>
      <w:pPr>
        <w:pStyle w:val="Heading2"/>
        <w:spacing w:after="100" w:before="200"/>
      </w:pPr>
      <w:r>
        <w:t xml:space="preserve">2.5 Contraste secondaire mère vs père</w:t>
      </w:r>
    </w:p>
    <w:p>
      <w:pPr>
        <w:pStyle w:val="ListParagraph"/>
        <w:numPr>
          <w:ilvl w:val="0"/>
          <w:numId w:val="1"/>
        </w:numPr>
        <w:spacing w:after="60"/>
      </w:pPr>
      <w:r>
        <w:rPr>
          <w:b/>
          <w:bCs/>
        </w:rPr>
        <w:t xml:space="preserve">Au sein d'un seul bras traité (25 vs 25 écoles) : </w:t>
      </w:r>
      <w:r>
        <w:t xml:space="preserve">MDE = 0,286 SD</w:t>
      </w:r>
    </w:p>
    <w:p>
      <w:pPr>
        <w:pStyle w:val="ListParagraph"/>
        <w:numPr>
          <w:ilvl w:val="0"/>
          <w:numId w:val="1"/>
        </w:numPr>
        <w:spacing w:after="60"/>
      </w:pPr>
      <w:r>
        <w:rPr>
          <w:b/>
          <w:bCs/>
        </w:rPr>
        <w:t xml:space="preserve">En poolant les deux bras traités (50 vs 50 écoles) : </w:t>
      </w:r>
      <w:r>
        <w:t xml:space="preserve">MDE = 0,202 SD</w:t>
      </w:r>
    </w:p>
    <w:p>
      <w:pPr>
        <w:spacing w:after="120"/>
      </w:pPr>
      <w:r>
        <w:t xml:space="preserve">Comme anticipé, le contraste mère/père est nettement moins puissant lorsqu'il est testé à l'intérieur d'un seul bras (0,286 SD) : il faudrait un effet presque 40 % plus grand pour être détecté, comparé aux comparaisons principales. En revanche, poolé sur les deux bras traités, il retrouve la même puissance que les comparaisons principales (0,202 SD). Ce point doit être présenté clairement au PI : les analyses mère vs père spécifiques à un seul bras (T1-mère vs T1-père, ou T2-mère vs T2-père) ne pourront parler que d'effets relativement larges.</w:t>
      </w:r>
    </w:p>
    <w:p>
      <w:pPr>
        <w:pStyle w:val="Heading2"/>
        <w:spacing w:after="100" w:before="200"/>
      </w:pPr>
      <w:r>
        <w:t xml:space="preserve">2.6 Résultat binaire (ex. créneau d'étude protégé) — Tableau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00"/>
              <w:bottom w:type="dxa" w:w="80"/>
              <w:right w:type="dxa" w:w="100"/>
            </w:tcMar>
          </w:tcPr>
          <w:p>
            <w:r>
              <w:rPr>
                <w:b/>
                <w:bCs/>
                <w:color w:val="FFFFFF"/>
                <w:sz w:val="20"/>
                <w:szCs w:val="20"/>
              </w:rPr>
              <w:t xml:space="preserve">Effet supposé</w:t>
            </w:r>
          </w:p>
        </w:tc>
        <w:tc>
          <w:tcPr>
            <w:tcW w:type="dxa" w:w="4675"/>
            <w:shd w:fill="1F3864" w:val="clear"/>
            <w:tcMar>
              <w:top w:type="dxa" w:w="80"/>
              <w:left w:type="dxa" w:w="100"/>
              <w:bottom w:type="dxa" w:w="80"/>
              <w:right w:type="dxa" w:w="100"/>
            </w:tcMar>
          </w:tcPr>
          <w:p>
            <w:r>
              <w:rPr>
                <w:b/>
                <w:bCs/>
                <w:color w:val="FFFFFF"/>
                <w:sz w:val="20"/>
                <w:szCs w:val="20"/>
              </w:rPr>
              <w:t xml:space="preserve">Puissance atteinte</w:t>
            </w:r>
          </w:p>
        </w:tc>
      </w:tr>
      <w:tr>
        <w:tc>
          <w:tcPr>
            <w:tcW w:type="dxa" w:w="4675"/>
            <w:tcMar>
              <w:top w:type="dxa" w:w="80"/>
              <w:left w:type="dxa" w:w="100"/>
              <w:bottom w:type="dxa" w:w="80"/>
              <w:right w:type="dxa" w:w="100"/>
            </w:tcMar>
          </w:tcPr>
          <w:p>
            <w:r>
              <w:rPr>
                <w:b w:val="false"/>
                <w:bCs w:val="false"/>
                <w:color w:val="000000"/>
                <w:sz w:val="20"/>
                <w:szCs w:val="20"/>
              </w:rPr>
              <w:t xml:space="preserve">10 points de %</w:t>
            </w:r>
          </w:p>
        </w:tc>
        <w:tc>
          <w:tcPr>
            <w:tcW w:type="dxa" w:w="4675"/>
            <w:tcMar>
              <w:top w:type="dxa" w:w="80"/>
              <w:left w:type="dxa" w:w="100"/>
              <w:bottom w:type="dxa" w:w="80"/>
              <w:right w:type="dxa" w:w="100"/>
            </w:tcMar>
          </w:tcPr>
          <w:p>
            <w:r>
              <w:rPr>
                <w:b w:val="false"/>
                <w:bCs w:val="false"/>
                <w:color w:val="000000"/>
                <w:sz w:val="20"/>
                <w:szCs w:val="20"/>
              </w:rPr>
              <w:t xml:space="preserve">83,0 %</w:t>
            </w:r>
          </w:p>
        </w:tc>
      </w:tr>
      <w:tr>
        <w:tc>
          <w:tcPr>
            <w:tcW w:type="dxa" w:w="4675"/>
            <w:tcMar>
              <w:top w:type="dxa" w:w="80"/>
              <w:left w:type="dxa" w:w="100"/>
              <w:bottom w:type="dxa" w:w="80"/>
              <w:right w:type="dxa" w:w="100"/>
            </w:tcMar>
          </w:tcPr>
          <w:p>
            <w:r>
              <w:rPr>
                <w:b w:val="false"/>
                <w:bCs w:val="false"/>
                <w:color w:val="000000"/>
                <w:sz w:val="20"/>
                <w:szCs w:val="20"/>
              </w:rPr>
              <w:t xml:space="preserve">15 points de %</w:t>
            </w:r>
          </w:p>
        </w:tc>
        <w:tc>
          <w:tcPr>
            <w:tcW w:type="dxa" w:w="4675"/>
            <w:tcMar>
              <w:top w:type="dxa" w:w="80"/>
              <w:left w:type="dxa" w:w="100"/>
              <w:bottom w:type="dxa" w:w="80"/>
              <w:right w:type="dxa" w:w="100"/>
            </w:tcMar>
          </w:tcPr>
          <w:p>
            <w:r>
              <w:rPr>
                <w:b w:val="false"/>
                <w:bCs w:val="false"/>
                <w:color w:val="000000"/>
                <w:sz w:val="20"/>
                <w:szCs w:val="20"/>
              </w:rPr>
              <w:t xml:space="preserve">99,1 %</w:t>
            </w:r>
          </w:p>
        </w:tc>
      </w:tr>
      <w:tr>
        <w:tc>
          <w:tcPr>
            <w:tcW w:type="dxa" w:w="4675"/>
            <w:tcMar>
              <w:top w:type="dxa" w:w="80"/>
              <w:left w:type="dxa" w:w="100"/>
              <w:bottom w:type="dxa" w:w="80"/>
              <w:right w:type="dxa" w:w="100"/>
            </w:tcMar>
          </w:tcPr>
          <w:p>
            <w:r>
              <w:rPr>
                <w:b w:val="false"/>
                <w:bCs w:val="false"/>
                <w:color w:val="000000"/>
                <w:sz w:val="20"/>
                <w:szCs w:val="20"/>
              </w:rPr>
              <w:t xml:space="preserve">20 points de %</w:t>
            </w:r>
          </w:p>
        </w:tc>
        <w:tc>
          <w:tcPr>
            <w:tcW w:type="dxa" w:w="4675"/>
            <w:tcMar>
              <w:top w:type="dxa" w:w="80"/>
              <w:left w:type="dxa" w:w="100"/>
              <w:bottom w:type="dxa" w:w="80"/>
              <w:right w:type="dxa" w:w="100"/>
            </w:tcMar>
          </w:tcPr>
          <w:p>
            <w:r>
              <w:rPr>
                <w:b w:val="false"/>
                <w:bCs w:val="false"/>
                <w:color w:val="000000"/>
                <w:sz w:val="20"/>
                <w:szCs w:val="20"/>
              </w:rPr>
              <w:t xml:space="preserve">≈ 100,0 %</w:t>
            </w:r>
          </w:p>
        </w:tc>
      </w:tr>
    </w:tbl>
    <w:p>
      <w:pPr>
        <w:spacing w:after="120"/>
      </w:pPr>
      <w:r>
        <w:t xml:space="preserve">Pour un indicateur binaire avec une proportion de référence de 30 %, le design a déjà une puissance suffisante (&gt; 80 %) pour détecter un écart d'au moins 10 points de pourcentage entre bras. C'est une bonne nouvelle : les indicateurs binaires du dictionnaire de résultats (Annexe C du guide projet) sont bien couverts par l'échantillon prévu.</w:t>
      </w:r>
    </w:p>
    <w:p>
      <w:pPr>
        <w:pStyle w:val="Heading1"/>
        <w:spacing w:after="150" w:before="300"/>
      </w:pPr>
      <w:r>
        <w:t xml:space="preserve">3. Ajustements recommandés avant soumission</w:t>
      </w:r>
    </w:p>
    <w:p>
      <w:pPr>
        <w:spacing w:after="120"/>
      </w:pPr>
      <w:r>
        <w:t xml:space="preserve">Le do-file est fonctionnellement prêt : aucune correction de fond n'est nécessaire. Les points ci-dessous concernent uniquement la forme et la lisibilité, pour un rendu « propre » à présenter au PI ou à joindre au protocole.</w:t>
      </w:r>
    </w:p>
    <w:p>
      <w:pPr>
        <w:pStyle w:val="Heading2"/>
        <w:spacing w:after="100" w:before="200"/>
      </w:pPr>
      <w:r>
        <w:t xml:space="preserve">3.1 Prioritaires</w:t>
      </w:r>
    </w:p>
    <w:p>
      <w:pPr>
        <w:pStyle w:val="ListParagraph"/>
        <w:numPr>
          <w:ilvl w:val="0"/>
          <w:numId w:val="1"/>
        </w:numPr>
        <w:spacing w:after="90"/>
      </w:pPr>
      <w:r>
        <w:rPr>
          <w:b/>
          <w:bCs/>
          <w:color w:val="833C00"/>
        </w:rPr>
        <w:t xml:space="preserve">[Prioritaire] </w:t>
      </w:r>
      <w:r>
        <w:t xml:space="preserve">Remplacer « di as error » par « di as result » (ou « as text ») pour tous les messages informatifs (headline results, notes). « as error » affiche le texte en rouge et peut laisser croire à tort qu'il y a une erreur, alors qu'il s'agit de résultats normaux.</w:t>
      </w:r>
    </w:p>
    <w:p>
      <w:pPr>
        <w:pStyle w:val="ListParagraph"/>
        <w:numPr>
          <w:ilvl w:val="0"/>
          <w:numId w:val="1"/>
        </w:numPr>
        <w:spacing w:after="90"/>
      </w:pPr>
      <w:r>
        <w:rPr>
          <w:b/>
          <w:bCs/>
          <w:color w:val="833C00"/>
        </w:rPr>
        <w:t xml:space="preserve">[Prioritaire] </w:t>
      </w:r>
      <w:r>
        <w:t xml:space="preserve">Ajouter le préfixe « quietly » devant les appels « power » à l'intérieur des boucles (blocs 2, 3, 4, 5 et 8). Actuellement, chaque itération affiche un tableau complet dans le journal, ce qui produit un .log de plusieurs dizaines de pages difficile à relire. Seuls les résultats « headline » (hors boucle) doivent rester visibles en clair.</w:t>
      </w:r>
    </w:p>
    <w:p>
      <w:pPr>
        <w:pStyle w:val="Heading2"/>
        <w:spacing w:after="100" w:before="200"/>
      </w:pPr>
      <w:r>
        <w:t xml:space="preserve">3.2 Recommandés</w:t>
      </w:r>
    </w:p>
    <w:p>
      <w:pPr>
        <w:pStyle w:val="ListParagraph"/>
        <w:numPr>
          <w:ilvl w:val="0"/>
          <w:numId w:val="1"/>
        </w:numPr>
        <w:spacing w:after="90"/>
      </w:pPr>
      <w:r>
        <w:rPr>
          <w:b/>
          <w:bCs/>
          <w:color w:val="808080"/>
        </w:rPr>
        <w:t xml:space="preserve">[Recommandé] </w:t>
      </w:r>
      <w:r>
        <w:t xml:space="preserve">Arrondir les valeurs avant de les stocker dans les matrices (ex. « round(r(delta),0.001) » au lieu de « r(delta) » brut) pour éviter des tableaux avec un nombre excessif de décimales (ex. 0,20202494 au lieu de 0,202).</w:t>
      </w:r>
    </w:p>
    <w:p>
      <w:pPr>
        <w:pStyle w:val="ListParagraph"/>
        <w:numPr>
          <w:ilvl w:val="0"/>
          <w:numId w:val="1"/>
        </w:numPr>
        <w:spacing w:after="90"/>
      </w:pPr>
      <w:r>
        <w:rPr>
          <w:b/>
          <w:bCs/>
          <w:color w:val="808080"/>
        </w:rPr>
        <w:t xml:space="preserve">[Recommandé] </w:t>
      </w:r>
      <w:r>
        <w:t xml:space="preserve">Arrondir le nombre de filles effectives après attrition (« m1_eff ») à l'entier le plus proche (ex. « round(...) » ou « ceil(...) ») : un chiffre comme 28,5 filles par école n'a pas de sens concret sur le terrain.</w:t>
      </w:r>
    </w:p>
    <w:p>
      <w:pPr>
        <w:pStyle w:val="ListParagraph"/>
        <w:numPr>
          <w:ilvl w:val="0"/>
          <w:numId w:val="1"/>
        </w:numPr>
        <w:spacing w:after="90"/>
      </w:pPr>
      <w:r>
        <w:rPr>
          <w:b/>
          <w:bCs/>
          <w:color w:val="808080"/>
        </w:rPr>
        <w:t xml:space="preserve">[Recommandé] </w:t>
      </w:r>
      <w:r>
        <w:t xml:space="preserve">Ajouter des noms de lignes explicites aux matrices (« matrix rownames ») plutôt que les libellés génériques r1, r2, r3…, pour que les tableaux soient lisibles sans avoir à se référer au script.</w:t>
      </w:r>
    </w:p>
    <w:p>
      <w:pPr>
        <w:pStyle w:val="ListParagraph"/>
        <w:numPr>
          <w:ilvl w:val="0"/>
          <w:numId w:val="1"/>
        </w:numPr>
        <w:spacing w:after="90"/>
      </w:pPr>
      <w:r>
        <w:rPr>
          <w:b/>
          <w:bCs/>
          <w:color w:val="808080"/>
        </w:rPr>
        <w:t xml:space="preserve">[Recommandé] </w:t>
      </w:r>
      <w:r>
        <w:t xml:space="preserve">Appliquer un format numérique (« putexcel ..., nformat(0.000) ») lors de l'export Excel, pour limiter l'affichage à 2 ou 3 décimales dans le classeur final.</w:t>
      </w:r>
    </w:p>
    <w:p>
      <w:pPr>
        <w:pStyle w:val="Heading2"/>
        <w:spacing w:after="100" w:before="200"/>
      </w:pPr>
      <w:r>
        <w:t xml:space="preserve">3.3 Facultatifs</w:t>
      </w:r>
    </w:p>
    <w:p>
      <w:pPr>
        <w:pStyle w:val="ListParagraph"/>
        <w:numPr>
          <w:ilvl w:val="0"/>
          <w:numId w:val="1"/>
        </w:numPr>
        <w:spacing w:after="90"/>
      </w:pPr>
      <w:r>
        <w:rPr>
          <w:b/>
          <w:bCs/>
          <w:color w:val="808080"/>
        </w:rPr>
        <w:t xml:space="preserve">[Facultatif] </w:t>
      </w:r>
      <w:r>
        <w:t xml:space="preserve">Vérifier visuellement le graphique PNG exporté (couleurs, légende, textes) avant de l'inclure dans un rapport destiné au PI ou aux bailleurs.</w:t>
      </w:r>
    </w:p>
    <w:p>
      <w:pPr>
        <w:pStyle w:val="ListParagraph"/>
        <w:numPr>
          <w:ilvl w:val="0"/>
          <w:numId w:val="1"/>
        </w:numPr>
        <w:spacing w:after="90"/>
      </w:pPr>
      <w:r>
        <w:rPr>
          <w:b/>
          <w:bCs/>
          <w:color w:val="808080"/>
        </w:rPr>
        <w:t xml:space="preserve">[Facultatif] </w:t>
      </w:r>
      <w:r>
        <w:t xml:space="preserve">Retirer ou utiliser le scalaire « n_arms » (actuellement défini mais non réutilisé dans les calculs) pour éviter tout code mort.</w:t>
      </w:r>
    </w:p>
    <w:p>
      <w:pPr>
        <w:pStyle w:val="ListParagraph"/>
        <w:numPr>
          <w:ilvl w:val="0"/>
          <w:numId w:val="1"/>
        </w:numPr>
        <w:spacing w:after="90"/>
      </w:pPr>
      <w:r>
        <w:rPr>
          <w:b/>
          <w:bCs/>
          <w:color w:val="808080"/>
        </w:rPr>
        <w:t xml:space="preserve">[Facultatif] </w:t>
      </w:r>
      <w:r>
        <w:t xml:space="preserve">Ajouter une courte section « résumé exécutif » à la toute fin du .log, qui n'affiche que les chiffres clés (MDE principal, MDE mère/père, écoles nécessaires), pour une lecture rapide sans dérouler tout le journal.</w:t>
      </w:r>
    </w:p>
    <w:p>
      <w:pPr>
        <w:pStyle w:val="Heading1"/>
        <w:spacing w:after="150" w:before="300"/>
      </w:pPr>
      <w:r>
        <w:t xml:space="preserve">4. Conclusion</w:t>
      </w:r>
    </w:p>
    <w:p>
      <w:pPr>
        <w:spacing w:after="120"/>
      </w:pPr>
      <w:r>
        <w:t xml:space="preserve">Le script calcule correctement tous les indicateurs prévus et ne contient plus d'erreur d'exécution. Les résultats montrent un design globalement bien dimensionné (MDE d'environ 0,20 SD pour les comparaisons principales sous l'hypothèse centrale d'ICC), mais avec deux points de vigilance à signaler au PI : la sensibilité du MDE à l'ICC réelle (encore inconnue), et la puissance plus limitée du contraste mère/père lorsqu'il est testé séparément par bras. Les ajustements de la section 3 sont des améliorations de présentation ; ils peuvent être appliqués rapidement avant l'envoi final du fichier.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2026-08-18T11:53:07.607Z</dcterms:created>
  <dcterms:modified xsi:type="dcterms:W3CDTF">2026-08-18T11:53:07.621Z</dcterms:modified>
</cp:coreProperties>
</file>

<file path=docProps/custom.xml><?xml version="1.0" encoding="utf-8"?>
<Properties xmlns="http://schemas.openxmlformats.org/officeDocument/2006/custom-properties" xmlns:vt="http://schemas.openxmlformats.org/officeDocument/2006/docPropsVTypes"/>
</file>