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CKDev — Bénin</w:t>
      </w:r>
    </w:p>
    <w:p>
      <w:pPr>
        <w:spacing w:after="40"/>
      </w:pPr>
      <w:r>
        <w:rPr>
          <w:b/>
          <w:bCs/>
          <w:color w:val="1F3864"/>
          <w:sz w:val="40"/>
          <w:szCs w:val="40"/>
        </w:rPr>
        <w:t xml:space="preserve">Note d'accompagnement du script de calcul de puissance</w:t>
      </w:r>
    </w:p>
    <w:p>
      <w:pPr>
        <w:spacing w:after="300"/>
      </w:pPr>
      <w:r>
        <w:rPr>
          <w:i/>
          <w:iCs/>
          <w:color w:val="808080"/>
          <w:sz w:val="22"/>
          <w:szCs w:val="22"/>
        </w:rPr>
        <w:t xml:space="preserve">Fichier associé : Power_MDE_CKDev_Benin.do</w:t>
      </w:r>
    </w:p>
    <w:p>
      <w:pPr>
        <w:pStyle w:val="Heading1"/>
        <w:spacing w:after="150" w:before="300"/>
      </w:pPr>
      <w:r>
        <w:t xml:space="preserve">1. Objectif de ce document</w:t>
      </w:r>
    </w:p>
    <w:p>
      <w:pPr>
        <w:spacing w:after="120"/>
      </w:pPr>
      <w:r>
        <w:t xml:space="preserve">Ce document explique, de façon simple et directe, ce que fait le script Stata « Power_MDE_CKDev_Benin.do », comment l'utiliser, et comment lire ses résultats. Il s'adresse à toute personne de l'équipe CKDev qui doit exécuter le script, en vérifier les paramètres, ou présenter ses résultats au PI.</w:t>
      </w:r>
    </w:p>
    <w:p>
      <w:pPr>
        <w:spacing w:after="120"/>
      </w:pPr>
      <w:r>
        <w:t xml:space="preserve">Le script calcule la taille d'échantillon, la puissance statistique et l'effet minimal détectable (MDE, Minimum Detectable Effect) pour l'essai contrôlé randomisé décrit dans le Guide Projet CKDev. Il s'appuie sur la ressource J-PAL « Calculs de puissance » et sur le dépôt GitHub J-PAL/Sample_Size_and_Power.</w:t>
      </w:r>
    </w:p>
    <w:p>
      <w:pPr>
        <w:pStyle w:val="Heading1"/>
        <w:spacing w:after="150" w:before="300"/>
      </w:pPr>
      <w:r>
        <w:t xml:space="preserve">2. Rappel du design de l'étude</w:t>
      </w:r>
    </w:p>
    <w:p>
      <w:pPr>
        <w:spacing w:after="120"/>
      </w:pPr>
      <w:r>
        <w:t xml:space="preserve">Le script est construit autour des caractéristiques suivantes du projet :</w:t>
      </w:r>
    </w:p>
    <w:p>
      <w:pPr>
        <w:pStyle w:val="ListParagraph"/>
        <w:numPr>
          <w:ilvl w:val="0"/>
          <w:numId w:val="1"/>
        </w:numPr>
        <w:spacing w:after="60"/>
      </w:pPr>
      <w:r>
        <w:rPr>
          <w:b/>
          <w:bCs/>
        </w:rPr>
        <w:t xml:space="preserve">Unité de randomisation : </w:t>
      </w:r>
      <w:r>
        <w:t xml:space="preserve">l'école (150 écoles au total)</w:t>
      </w:r>
    </w:p>
    <w:p>
      <w:pPr>
        <w:pStyle w:val="ListParagraph"/>
        <w:numPr>
          <w:ilvl w:val="0"/>
          <w:numId w:val="1"/>
        </w:numPr>
        <w:spacing w:after="60"/>
      </w:pPr>
      <w:r>
        <w:rPr>
          <w:b/>
          <w:bCs/>
        </w:rPr>
        <w:t xml:space="preserve">Bras de traitement : </w:t>
      </w:r>
      <w:r>
        <w:t xml:space="preserve">3 bras — Contrôle, T1 « Salience », T2 « Salience + Mise en œuvre » — soit 50 écoles par bras</w:t>
      </w:r>
    </w:p>
    <w:p>
      <w:pPr>
        <w:pStyle w:val="ListParagraph"/>
        <w:numPr>
          <w:ilvl w:val="0"/>
          <w:numId w:val="1"/>
        </w:numPr>
        <w:spacing w:after="60"/>
      </w:pPr>
      <w:r>
        <w:rPr>
          <w:b/>
          <w:bCs/>
        </w:rPr>
        <w:t xml:space="preserve">Unité d'observation : </w:t>
      </w:r>
      <w:r>
        <w:t xml:space="preserve">la fille scolarisée (30 filles par école : 15 en 6ème et 15 en 5ème)</w:t>
      </w:r>
    </w:p>
    <w:p>
      <w:pPr>
        <w:pStyle w:val="ListParagraph"/>
        <w:numPr>
          <w:ilvl w:val="0"/>
          <w:numId w:val="1"/>
        </w:numPr>
        <w:spacing w:after="60"/>
      </w:pPr>
      <w:r>
        <w:rPr>
          <w:b/>
          <w:bCs/>
        </w:rPr>
        <w:t xml:space="preserve">Randomisation secondaire : </w:t>
      </w:r>
      <w:r>
        <w:t xml:space="preserve">dans les bras T1 et T2, un second tirage détermine si le parent ciblé est la mère ou le père, au niveau de l'école</w:t>
      </w:r>
    </w:p>
    <w:p>
      <w:pPr>
        <w:pStyle w:val="ListParagraph"/>
        <w:numPr>
          <w:ilvl w:val="0"/>
          <w:numId w:val="1"/>
        </w:numPr>
        <w:spacing w:after="60"/>
      </w:pPr>
      <w:r>
        <w:rPr>
          <w:b/>
          <w:bCs/>
        </w:rPr>
        <w:t xml:space="preserve">Erreurs standards : </w:t>
      </w:r>
      <w:r>
        <w:t xml:space="preserve">regroupées (clusterisées) au niveau de l'école, car le traitement est assigné à ce niveau</w:t>
      </w:r>
    </w:p>
    <w:p>
      <w:pPr>
        <w:pStyle w:val="Heading1"/>
        <w:spacing w:after="150" w:before="300"/>
      </w:pPr>
      <w:r>
        <w:t xml:space="preserve">3. Pourquoi ces calculs sont nécessaires</w:t>
      </w:r>
    </w:p>
    <w:p>
      <w:pPr>
        <w:spacing w:after="120"/>
      </w:pPr>
      <w:r>
        <w:t xml:space="preserve">Avant le lancement du terrain, il faut vérifier que l'échantillon prévu (150 écoles) est suffisant pour détecter des effets réalistes, et documenter cette justification pour le PI et les bailleurs. Le script répond à trois questions :</w:t>
      </w:r>
    </w:p>
    <w:p>
      <w:pPr>
        <w:pStyle w:val="ListParagraph"/>
        <w:numPr>
          <w:ilvl w:val="0"/>
          <w:numId w:val="1"/>
        </w:numPr>
        <w:spacing w:after="60"/>
      </w:pPr>
      <w:r>
        <w:t xml:space="preserve">Avec 150 écoles, quel est le plus petit effet que l'étude peut détecter de façon fiable (MDE) ?</w:t>
      </w:r>
    </w:p>
    <w:p>
      <w:pPr>
        <w:pStyle w:val="ListParagraph"/>
        <w:numPr>
          <w:ilvl w:val="0"/>
          <w:numId w:val="1"/>
        </w:numPr>
        <w:spacing w:after="60"/>
      </w:pPr>
      <w:r>
        <w:t xml:space="preserve">Combien d'écoles faudrait-il pour détecter un effet cible donné (ex. 0,20 écart-type) ?</w:t>
      </w:r>
    </w:p>
    <w:p>
      <w:pPr>
        <w:pStyle w:val="ListParagraph"/>
        <w:numPr>
          <w:ilvl w:val="0"/>
          <w:numId w:val="1"/>
        </w:numPr>
        <w:spacing w:after="60"/>
      </w:pPr>
      <w:r>
        <w:t xml:space="preserve">Comment ces réponses changent-elles selon des hypothèses raisonnables (corrélation intra-école, attrition, covariables) ?</w:t>
      </w:r>
    </w:p>
    <w:p>
      <w:pPr>
        <w:pStyle w:val="Heading1"/>
        <w:spacing w:after="150" w:before="300"/>
      </w:pPr>
      <w:r>
        <w:t xml:space="preserve">4. Structure du script : les 9 blocs</w:t>
      </w:r>
    </w:p>
    <w:p>
      <w:pPr>
        <w:spacing w:after="120"/>
      </w:pPr>
      <w:r>
        <w:t xml:space="preserve">Le script est organisé en blocs indépendants, numérotés de 0 à 9. Chaque bloc peut être exécuté seul après le bloc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350"/>
      </w:tblGrid>
      <w:tr>
        <w:trPr>
          <w:tblHeader/>
        </w:trPr>
        <w:tc>
          <w:tcPr>
            <w:tcW w:type="dxa" w:w="700"/>
            <w:shd w:fill="1F3864" w:val="clear"/>
            <w:tcMar>
              <w:top w:type="dxa" w:w="80"/>
              <w:left w:type="dxa" w:w="100"/>
              <w:bottom w:type="dxa" w:w="80"/>
              <w:right w:type="dxa" w:w="100"/>
            </w:tcMar>
          </w:tcPr>
          <w:p>
            <w:r>
              <w:rPr>
                <w:b/>
                <w:bCs/>
                <w:color w:val="FFFFFF"/>
                <w:sz w:val="20"/>
                <w:szCs w:val="20"/>
              </w:rPr>
              <w:t xml:space="preserve">Bloc</w:t>
            </w:r>
          </w:p>
        </w:tc>
        <w:tc>
          <w:tcPr>
            <w:tcW w:type="dxa" w:w="6300"/>
            <w:shd w:fill="1F3864" w:val="clear"/>
            <w:tcMar>
              <w:top w:type="dxa" w:w="80"/>
              <w:left w:type="dxa" w:w="100"/>
              <w:bottom w:type="dxa" w:w="80"/>
              <w:right w:type="dxa" w:w="100"/>
            </w:tcMar>
          </w:tcPr>
          <w:p>
            <w:r>
              <w:rPr>
                <w:b/>
                <w:bCs/>
                <w:color w:val="FFFFFF"/>
                <w:sz w:val="20"/>
                <w:szCs w:val="20"/>
              </w:rPr>
              <w:t xml:space="preserve">Contenu</w:t>
            </w:r>
          </w:p>
        </w:tc>
        <w:tc>
          <w:tcPr>
            <w:tcW w:type="dxa" w:w="2350"/>
            <w:shd w:fill="1F3864" w:val="clear"/>
            <w:tcMar>
              <w:top w:type="dxa" w:w="80"/>
              <w:left w:type="dxa" w:w="100"/>
              <w:bottom w:type="dxa" w:w="80"/>
              <w:right w:type="dxa" w:w="100"/>
            </w:tcMar>
          </w:tcPr>
          <w:p>
            <w:r>
              <w:rPr>
                <w:b/>
                <w:bCs/>
                <w:color w:val="FFFFFF"/>
                <w:sz w:val="20"/>
                <w:szCs w:val="20"/>
              </w:rPr>
              <w:t xml:space="preserve">Résultat produit</w:t>
            </w:r>
          </w:p>
        </w:tc>
      </w:tr>
      <w:tr>
        <w:tc>
          <w:tcPr>
            <w:tcW w:type="dxa" w:w="700"/>
            <w:tcMar>
              <w:top w:type="dxa" w:w="80"/>
              <w:left w:type="dxa" w:w="100"/>
              <w:bottom w:type="dxa" w:w="80"/>
              <w:right w:type="dxa" w:w="100"/>
            </w:tcMar>
          </w:tcPr>
          <w:p>
            <w:r>
              <w:rPr>
                <w:b w:val="false"/>
                <w:bCs w:val="false"/>
                <w:color w:val="000000"/>
                <w:sz w:val="20"/>
                <w:szCs w:val="20"/>
              </w:rPr>
              <w:t xml:space="preserve">0</w:t>
            </w:r>
          </w:p>
        </w:tc>
        <w:tc>
          <w:tcPr>
            <w:tcW w:type="dxa" w:w="6300"/>
            <w:tcMar>
              <w:top w:type="dxa" w:w="80"/>
              <w:left w:type="dxa" w:w="100"/>
              <w:bottom w:type="dxa" w:w="80"/>
              <w:right w:type="dxa" w:w="100"/>
            </w:tcMar>
          </w:tcPr>
          <w:p>
            <w:r>
              <w:rPr>
                <w:b w:val="false"/>
                <w:bCs w:val="false"/>
                <w:color w:val="000000"/>
                <w:sz w:val="20"/>
                <w:szCs w:val="20"/>
              </w:rPr>
              <w:t xml:space="preserve">Préparation (housekeeping), pas de données de terrain nécessaires à ce stade</w:t>
            </w:r>
          </w:p>
        </w:tc>
        <w:tc>
          <w:tcPr>
            <w:tcW w:type="dxa" w:w="2350"/>
            <w:tcMar>
              <w:top w:type="dxa" w:w="80"/>
              <w:left w:type="dxa" w:w="100"/>
              <w:bottom w:type="dxa" w:w="80"/>
              <w:right w:type="dxa" w:w="100"/>
            </w:tcMar>
          </w:tcPr>
          <w:p>
            <w:r>
              <w:rPr>
                <w:b w:val="false"/>
                <w:bCs w:val="false"/>
                <w:color w:val="000000"/>
                <w:sz w:val="20"/>
                <w:szCs w:val="20"/>
              </w:rPr>
              <w:t xml:space="preserve">Fichier journal (.log)</w:t>
            </w:r>
          </w:p>
        </w:tc>
      </w:tr>
      <w:tr>
        <w:tc>
          <w:tcPr>
            <w:tcW w:type="dxa" w:w="700"/>
            <w:tcMar>
              <w:top w:type="dxa" w:w="80"/>
              <w:left w:type="dxa" w:w="100"/>
              <w:bottom w:type="dxa" w:w="80"/>
              <w:right w:type="dxa" w:w="100"/>
            </w:tcMar>
          </w:tcPr>
          <w:p>
            <w:r>
              <w:rPr>
                <w:b w:val="false"/>
                <w:bCs w:val="false"/>
                <w:color w:val="000000"/>
                <w:sz w:val="20"/>
                <w:szCs w:val="20"/>
              </w:rPr>
              <w:t xml:space="preserve">1</w:t>
            </w:r>
          </w:p>
        </w:tc>
        <w:tc>
          <w:tcPr>
            <w:tcW w:type="dxa" w:w="6300"/>
            <w:tcMar>
              <w:top w:type="dxa" w:w="80"/>
              <w:left w:type="dxa" w:w="100"/>
              <w:bottom w:type="dxa" w:w="80"/>
              <w:right w:type="dxa" w:w="100"/>
            </w:tcMar>
          </w:tcPr>
          <w:p>
            <w:r>
              <w:rPr>
                <w:b w:val="false"/>
                <w:bCs w:val="false"/>
                <w:color w:val="000000"/>
                <w:sz w:val="20"/>
                <w:szCs w:val="20"/>
              </w:rPr>
              <w:t xml:space="preserve">Paramètres du design : 150 écoles, 50/bras, 30 filles/école, alpha, puissance cible</w:t>
            </w:r>
          </w:p>
        </w:tc>
        <w:tc>
          <w:tcPr>
            <w:tcW w:type="dxa" w:w="2350"/>
            <w:tcMar>
              <w:top w:type="dxa" w:w="80"/>
              <w:left w:type="dxa" w:w="100"/>
              <w:bottom w:type="dxa" w:w="80"/>
              <w:right w:type="dxa" w:w="100"/>
            </w:tcMar>
          </w:tcPr>
          <w:p>
            <w:r>
              <w:rPr>
                <w:b w:val="false"/>
                <w:bCs w:val="false"/>
                <w:color w:val="000000"/>
                <w:sz w:val="20"/>
                <w:szCs w:val="20"/>
              </w:rPr>
              <w:t xml:space="preserve">Scalaires réutilisés dans tout le script</w:t>
            </w:r>
          </w:p>
        </w:tc>
      </w:tr>
      <w:tr>
        <w:tc>
          <w:tcPr>
            <w:tcW w:type="dxa" w:w="700"/>
            <w:tcMar>
              <w:top w:type="dxa" w:w="80"/>
              <w:left w:type="dxa" w:w="100"/>
              <w:bottom w:type="dxa" w:w="80"/>
              <w:right w:type="dxa" w:w="100"/>
            </w:tcMar>
          </w:tcPr>
          <w:p>
            <w:r>
              <w:rPr>
                <w:b w:val="false"/>
                <w:bCs w:val="false"/>
                <w:color w:val="000000"/>
                <w:sz w:val="20"/>
                <w:szCs w:val="20"/>
              </w:rPr>
              <w:t xml:space="preserve">2</w:t>
            </w:r>
          </w:p>
        </w:tc>
        <w:tc>
          <w:tcPr>
            <w:tcW w:type="dxa" w:w="6300"/>
            <w:tcMar>
              <w:top w:type="dxa" w:w="80"/>
              <w:left w:type="dxa" w:w="100"/>
              <w:bottom w:type="dxa" w:w="80"/>
              <w:right w:type="dxa" w:w="100"/>
            </w:tcMar>
          </w:tcPr>
          <w:p>
            <w:r>
              <w:rPr>
                <w:b w:val="false"/>
                <w:bCs w:val="false"/>
                <w:color w:val="000000"/>
                <w:sz w:val="20"/>
                <w:szCs w:val="20"/>
              </w:rPr>
              <w:t xml:space="preserve">MDE des effets principaux (T1 vs Contrôle, T2 vs Contrôle)</w:t>
            </w:r>
          </w:p>
        </w:tc>
        <w:tc>
          <w:tcPr>
            <w:tcW w:type="dxa" w:w="2350"/>
            <w:tcMar>
              <w:top w:type="dxa" w:w="80"/>
              <w:left w:type="dxa" w:w="100"/>
              <w:bottom w:type="dxa" w:w="80"/>
              <w:right w:type="dxa" w:w="100"/>
            </w:tcMar>
          </w:tcPr>
          <w:p>
            <w:r>
              <w:rPr>
                <w:b w:val="false"/>
                <w:bCs w:val="false"/>
                <w:color w:val="000000"/>
                <w:sz w:val="20"/>
                <w:szCs w:val="20"/>
              </w:rPr>
              <w:t xml:space="preserve">Tableau 1 : MDE selon l'ICC</w:t>
            </w:r>
          </w:p>
        </w:tc>
      </w:tr>
      <w:tr>
        <w:tc>
          <w:tcPr>
            <w:tcW w:type="dxa" w:w="700"/>
            <w:tcMar>
              <w:top w:type="dxa" w:w="80"/>
              <w:left w:type="dxa" w:w="100"/>
              <w:bottom w:type="dxa" w:w="80"/>
              <w:right w:type="dxa" w:w="100"/>
            </w:tcMar>
          </w:tcPr>
          <w:p>
            <w:r>
              <w:rPr>
                <w:b w:val="false"/>
                <w:bCs w:val="false"/>
                <w:color w:val="000000"/>
                <w:sz w:val="20"/>
                <w:szCs w:val="20"/>
              </w:rPr>
              <w:t xml:space="preserve">3</w:t>
            </w:r>
          </w:p>
        </w:tc>
        <w:tc>
          <w:tcPr>
            <w:tcW w:type="dxa" w:w="6300"/>
            <w:tcMar>
              <w:top w:type="dxa" w:w="80"/>
              <w:left w:type="dxa" w:w="100"/>
              <w:bottom w:type="dxa" w:w="80"/>
              <w:right w:type="dxa" w:w="100"/>
            </w:tcMar>
          </w:tcPr>
          <w:p>
            <w:r>
              <w:rPr>
                <w:b w:val="false"/>
                <w:bCs w:val="false"/>
                <w:color w:val="000000"/>
                <w:sz w:val="20"/>
                <w:szCs w:val="20"/>
              </w:rPr>
              <w:t xml:space="preserve">Nombre d'écoles nécessaires pour détecter un effet cible</w:t>
            </w:r>
          </w:p>
        </w:tc>
        <w:tc>
          <w:tcPr>
            <w:tcW w:type="dxa" w:w="2350"/>
            <w:tcMar>
              <w:top w:type="dxa" w:w="80"/>
              <w:left w:type="dxa" w:w="100"/>
              <w:bottom w:type="dxa" w:w="80"/>
              <w:right w:type="dxa" w:w="100"/>
            </w:tcMar>
          </w:tcPr>
          <w:p>
            <w:r>
              <w:rPr>
                <w:b w:val="false"/>
                <w:bCs w:val="false"/>
                <w:color w:val="000000"/>
                <w:sz w:val="20"/>
                <w:szCs w:val="20"/>
              </w:rPr>
              <w:t xml:space="preserve">Tableau 2 : écoles requises par bras</w:t>
            </w:r>
          </w:p>
        </w:tc>
      </w:tr>
      <w:tr>
        <w:tc>
          <w:tcPr>
            <w:tcW w:type="dxa" w:w="700"/>
            <w:tcMar>
              <w:top w:type="dxa" w:w="80"/>
              <w:left w:type="dxa" w:w="100"/>
              <w:bottom w:type="dxa" w:w="80"/>
              <w:right w:type="dxa" w:w="100"/>
            </w:tcMar>
          </w:tcPr>
          <w:p>
            <w:r>
              <w:rPr>
                <w:b w:val="false"/>
                <w:bCs w:val="false"/>
                <w:color w:val="000000"/>
                <w:sz w:val="20"/>
                <w:szCs w:val="20"/>
              </w:rPr>
              <w:t xml:space="preserve">4</w:t>
            </w:r>
          </w:p>
        </w:tc>
        <w:tc>
          <w:tcPr>
            <w:tcW w:type="dxa" w:w="6300"/>
            <w:tcMar>
              <w:top w:type="dxa" w:w="80"/>
              <w:left w:type="dxa" w:w="100"/>
              <w:bottom w:type="dxa" w:w="80"/>
              <w:right w:type="dxa" w:w="100"/>
            </w:tcMar>
          </w:tcPr>
          <w:p>
            <w:r>
              <w:rPr>
                <w:b w:val="false"/>
                <w:bCs w:val="false"/>
                <w:color w:val="000000"/>
                <w:sz w:val="20"/>
                <w:szCs w:val="20"/>
              </w:rPr>
              <w:t xml:space="preserve">Gain de précision apporté par une covariable de baseline (ANCOVA)</w:t>
            </w:r>
          </w:p>
        </w:tc>
        <w:tc>
          <w:tcPr>
            <w:tcW w:type="dxa" w:w="2350"/>
            <w:tcMar>
              <w:top w:type="dxa" w:w="80"/>
              <w:left w:type="dxa" w:w="100"/>
              <w:bottom w:type="dxa" w:w="80"/>
              <w:right w:type="dxa" w:w="100"/>
            </w:tcMar>
          </w:tcPr>
          <w:p>
            <w:r>
              <w:rPr>
                <w:b w:val="false"/>
                <w:bCs w:val="false"/>
                <w:color w:val="000000"/>
                <w:sz w:val="20"/>
                <w:szCs w:val="20"/>
              </w:rPr>
              <w:t xml:space="preserve">Tableau 3 : MDE selon le R²</w:t>
            </w:r>
          </w:p>
        </w:tc>
      </w:tr>
      <w:tr>
        <w:tc>
          <w:tcPr>
            <w:tcW w:type="dxa" w:w="700"/>
            <w:tcMar>
              <w:top w:type="dxa" w:w="80"/>
              <w:left w:type="dxa" w:w="100"/>
              <w:bottom w:type="dxa" w:w="80"/>
              <w:right w:type="dxa" w:w="100"/>
            </w:tcMar>
          </w:tcPr>
          <w:p>
            <w:r>
              <w:rPr>
                <w:b w:val="false"/>
                <w:bCs w:val="false"/>
                <w:color w:val="000000"/>
                <w:sz w:val="20"/>
                <w:szCs w:val="20"/>
              </w:rPr>
              <w:t xml:space="preserve">5</w:t>
            </w:r>
          </w:p>
        </w:tc>
        <w:tc>
          <w:tcPr>
            <w:tcW w:type="dxa" w:w="6300"/>
            <w:tcMar>
              <w:top w:type="dxa" w:w="80"/>
              <w:left w:type="dxa" w:w="100"/>
              <w:bottom w:type="dxa" w:w="80"/>
              <w:right w:type="dxa" w:w="100"/>
            </w:tcMar>
          </w:tcPr>
          <w:p>
            <w:r>
              <w:rPr>
                <w:b w:val="false"/>
                <w:bCs w:val="false"/>
                <w:color w:val="000000"/>
                <w:sz w:val="20"/>
                <w:szCs w:val="20"/>
              </w:rPr>
              <w:t xml:space="preserve">Effet de l'attrition attendue à l'endline</w:t>
            </w:r>
          </w:p>
        </w:tc>
        <w:tc>
          <w:tcPr>
            <w:tcW w:type="dxa" w:w="2350"/>
            <w:tcMar>
              <w:top w:type="dxa" w:w="80"/>
              <w:left w:type="dxa" w:w="100"/>
              <w:bottom w:type="dxa" w:w="80"/>
              <w:right w:type="dxa" w:w="100"/>
            </w:tcMar>
          </w:tcPr>
          <w:p>
            <w:r>
              <w:rPr>
                <w:b w:val="false"/>
                <w:bCs w:val="false"/>
                <w:color w:val="000000"/>
                <w:sz w:val="20"/>
                <w:szCs w:val="20"/>
              </w:rPr>
              <w:t xml:space="preserve">Tableau 4 : MDE selon le taux d'attrition</w:t>
            </w:r>
          </w:p>
        </w:tc>
      </w:tr>
      <w:tr>
        <w:tc>
          <w:tcPr>
            <w:tcW w:type="dxa" w:w="700"/>
            <w:tcMar>
              <w:top w:type="dxa" w:w="80"/>
              <w:left w:type="dxa" w:w="100"/>
              <w:bottom w:type="dxa" w:w="80"/>
              <w:right w:type="dxa" w:w="100"/>
            </w:tcMar>
          </w:tcPr>
          <w:p>
            <w:r>
              <w:rPr>
                <w:b w:val="false"/>
                <w:bCs w:val="false"/>
                <w:color w:val="000000"/>
                <w:sz w:val="20"/>
                <w:szCs w:val="20"/>
              </w:rPr>
              <w:t xml:space="preserve">6</w:t>
            </w:r>
          </w:p>
        </w:tc>
        <w:tc>
          <w:tcPr>
            <w:tcW w:type="dxa" w:w="6300"/>
            <w:tcMar>
              <w:top w:type="dxa" w:w="80"/>
              <w:left w:type="dxa" w:w="100"/>
              <w:bottom w:type="dxa" w:w="80"/>
              <w:right w:type="dxa" w:w="100"/>
            </w:tcMar>
          </w:tcPr>
          <w:p>
            <w:r>
              <w:rPr>
                <w:b w:val="false"/>
                <w:bCs w:val="false"/>
                <w:color w:val="000000"/>
                <w:sz w:val="20"/>
                <w:szCs w:val="20"/>
              </w:rPr>
              <w:t xml:space="preserve">Puissance du contraste secondaire mère vs père (au sein des bras traités)</w:t>
            </w:r>
          </w:p>
        </w:tc>
        <w:tc>
          <w:tcPr>
            <w:tcW w:type="dxa" w:w="2350"/>
            <w:tcMar>
              <w:top w:type="dxa" w:w="80"/>
              <w:left w:type="dxa" w:w="100"/>
              <w:bottom w:type="dxa" w:w="80"/>
              <w:right w:type="dxa" w:w="100"/>
            </w:tcMar>
          </w:tcPr>
          <w:p>
            <w:r>
              <w:rPr>
                <w:b w:val="false"/>
                <w:bCs w:val="false"/>
                <w:color w:val="000000"/>
                <w:sz w:val="20"/>
                <w:szCs w:val="20"/>
              </w:rPr>
              <w:t xml:space="preserve">MDE pour ce contraste, isolé et poolé</w:t>
            </w:r>
          </w:p>
        </w:tc>
      </w:tr>
      <w:tr>
        <w:tc>
          <w:tcPr>
            <w:tcW w:type="dxa" w:w="700"/>
            <w:tcMar>
              <w:top w:type="dxa" w:w="80"/>
              <w:left w:type="dxa" w:w="100"/>
              <w:bottom w:type="dxa" w:w="80"/>
              <w:right w:type="dxa" w:w="100"/>
            </w:tcMar>
          </w:tcPr>
          <w:p>
            <w:r>
              <w:rPr>
                <w:b w:val="false"/>
                <w:bCs w:val="false"/>
                <w:color w:val="000000"/>
                <w:sz w:val="20"/>
                <w:szCs w:val="20"/>
              </w:rPr>
              <w:t xml:space="preserve">7</w:t>
            </w:r>
          </w:p>
        </w:tc>
        <w:tc>
          <w:tcPr>
            <w:tcW w:type="dxa" w:w="6300"/>
            <w:tcMar>
              <w:top w:type="dxa" w:w="80"/>
              <w:left w:type="dxa" w:w="100"/>
              <w:bottom w:type="dxa" w:w="80"/>
              <w:right w:type="dxa" w:w="100"/>
            </w:tcMar>
          </w:tcPr>
          <w:p>
            <w:r>
              <w:rPr>
                <w:b w:val="false"/>
                <w:bCs w:val="false"/>
                <w:color w:val="000000"/>
                <w:sz w:val="20"/>
                <w:szCs w:val="20"/>
              </w:rPr>
              <w:t xml:space="preserve">Puissance pour un résultat binaire (ex. créneau d'étude protégé)</w:t>
            </w:r>
          </w:p>
        </w:tc>
        <w:tc>
          <w:tcPr>
            <w:tcW w:type="dxa" w:w="2350"/>
            <w:tcMar>
              <w:top w:type="dxa" w:w="80"/>
              <w:left w:type="dxa" w:w="100"/>
              <w:bottom w:type="dxa" w:w="80"/>
              <w:right w:type="dxa" w:w="100"/>
            </w:tcMar>
          </w:tcPr>
          <w:p>
            <w:r>
              <w:rPr>
                <w:b w:val="false"/>
                <w:bCs w:val="false"/>
                <w:color w:val="000000"/>
                <w:sz w:val="20"/>
                <w:szCs w:val="20"/>
              </w:rPr>
              <w:t xml:space="preserve">Tableau 5 : puissance selon l'effet attendu</w:t>
            </w:r>
          </w:p>
        </w:tc>
      </w:tr>
      <w:tr>
        <w:tc>
          <w:tcPr>
            <w:tcW w:type="dxa" w:w="700"/>
            <w:tcMar>
              <w:top w:type="dxa" w:w="80"/>
              <w:left w:type="dxa" w:w="100"/>
              <w:bottom w:type="dxa" w:w="80"/>
              <w:right w:type="dxa" w:w="100"/>
            </w:tcMar>
          </w:tcPr>
          <w:p>
            <w:r>
              <w:rPr>
                <w:b w:val="false"/>
                <w:bCs w:val="false"/>
                <w:color w:val="000000"/>
                <w:sz w:val="20"/>
                <w:szCs w:val="20"/>
              </w:rPr>
              <w:t xml:space="preserve">8</w:t>
            </w:r>
          </w:p>
        </w:tc>
        <w:tc>
          <w:tcPr>
            <w:tcW w:type="dxa" w:w="6300"/>
            <w:tcMar>
              <w:top w:type="dxa" w:w="80"/>
              <w:left w:type="dxa" w:w="100"/>
              <w:bottom w:type="dxa" w:w="80"/>
              <w:right w:type="dxa" w:w="100"/>
            </w:tcMar>
          </w:tcPr>
          <w:p>
            <w:r>
              <w:rPr>
                <w:b w:val="false"/>
                <w:bCs w:val="false"/>
                <w:color w:val="000000"/>
                <w:sz w:val="20"/>
                <w:szCs w:val="20"/>
              </w:rPr>
              <w:t xml:space="preserve">Graphique de sensibilité du MDE (nombre d'écoles × ICC)</w:t>
            </w:r>
          </w:p>
        </w:tc>
        <w:tc>
          <w:tcPr>
            <w:tcW w:type="dxa" w:w="2350"/>
            <w:tcMar>
              <w:top w:type="dxa" w:w="80"/>
              <w:left w:type="dxa" w:w="100"/>
              <w:bottom w:type="dxa" w:w="80"/>
              <w:right w:type="dxa" w:w="100"/>
            </w:tcMar>
          </w:tcPr>
          <w:p>
            <w:r>
              <w:rPr>
                <w:b w:val="false"/>
                <w:bCs w:val="false"/>
                <w:color w:val="000000"/>
                <w:sz w:val="20"/>
                <w:szCs w:val="20"/>
              </w:rPr>
              <w:t xml:space="preserve">Graphique PNG</w:t>
            </w:r>
          </w:p>
        </w:tc>
      </w:tr>
      <w:tr>
        <w:tc>
          <w:tcPr>
            <w:tcW w:type="dxa" w:w="700"/>
            <w:tcMar>
              <w:top w:type="dxa" w:w="80"/>
              <w:left w:type="dxa" w:w="100"/>
              <w:bottom w:type="dxa" w:w="80"/>
              <w:right w:type="dxa" w:w="100"/>
            </w:tcMar>
          </w:tcPr>
          <w:p>
            <w:r>
              <w:rPr>
                <w:b w:val="false"/>
                <w:bCs w:val="false"/>
                <w:color w:val="000000"/>
                <w:sz w:val="20"/>
                <w:szCs w:val="20"/>
              </w:rPr>
              <w:t xml:space="preserve">9</w:t>
            </w:r>
          </w:p>
        </w:tc>
        <w:tc>
          <w:tcPr>
            <w:tcW w:type="dxa" w:w="6300"/>
            <w:tcMar>
              <w:top w:type="dxa" w:w="80"/>
              <w:left w:type="dxa" w:w="100"/>
              <w:bottom w:type="dxa" w:w="80"/>
              <w:right w:type="dxa" w:w="100"/>
            </w:tcMar>
          </w:tcPr>
          <w:p>
            <w:r>
              <w:rPr>
                <w:b w:val="false"/>
                <w:bCs w:val="false"/>
                <w:color w:val="000000"/>
                <w:sz w:val="20"/>
                <w:szCs w:val="20"/>
              </w:rPr>
              <w:t xml:space="preserve">Export de toutes les tables</w:t>
            </w:r>
          </w:p>
        </w:tc>
        <w:tc>
          <w:tcPr>
            <w:tcW w:type="dxa" w:w="2350"/>
            <w:tcMar>
              <w:top w:type="dxa" w:w="80"/>
              <w:left w:type="dxa" w:w="100"/>
              <w:bottom w:type="dxa" w:w="80"/>
              <w:right w:type="dxa" w:w="100"/>
            </w:tcMar>
          </w:tcPr>
          <w:p>
            <w:r>
              <w:rPr>
                <w:b w:val="false"/>
                <w:bCs w:val="false"/>
                <w:color w:val="000000"/>
                <w:sz w:val="20"/>
                <w:szCs w:val="20"/>
              </w:rPr>
              <w:t xml:space="preserve">Classeur Excel</w:t>
            </w:r>
          </w:p>
        </w:tc>
      </w:tr>
    </w:tbl>
    <w:p>
      <w:pPr>
        <w:pStyle w:val="Heading1"/>
        <w:spacing w:after="150" w:before="300"/>
      </w:pPr>
      <w:r>
        <w:t xml:space="preserve">5. Paramètres à vérifier avant de lancer le script</w:t>
      </w:r>
    </w:p>
    <w:p>
      <w:pPr>
        <w:spacing w:after="120"/>
      </w:pPr>
      <w:r>
        <w:t xml:space="preserve">Chaque paramètre marqué « SPECIFY » dans le script doit être relu avant exécution. Les plus importants sont résumés ci-dessous.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Paramètre</w:t>
            </w:r>
          </w:p>
        </w:tc>
        <w:tc>
          <w:tcPr>
            <w:tcW w:type="dxa" w:w="3500"/>
            <w:shd w:fill="1F3864" w:val="clear"/>
            <w:tcMar>
              <w:top w:type="dxa" w:w="80"/>
              <w:left w:type="dxa" w:w="100"/>
              <w:bottom w:type="dxa" w:w="80"/>
              <w:right w:type="dxa" w:w="100"/>
            </w:tcMar>
          </w:tcPr>
          <w:p>
            <w:r>
              <w:rPr>
                <w:b/>
                <w:bCs/>
                <w:color w:val="FFFFFF"/>
                <w:sz w:val="20"/>
                <w:szCs w:val="20"/>
              </w:rPr>
              <w:t xml:space="preserve">Valeur par défaut dans le script</w:t>
            </w:r>
          </w:p>
        </w:tc>
        <w:tc>
          <w:tcPr>
            <w:tcW w:type="dxa" w:w="3250"/>
            <w:shd w:fill="1F3864" w:val="clear"/>
            <w:tcMar>
              <w:top w:type="dxa" w:w="80"/>
              <w:left w:type="dxa" w:w="100"/>
              <w:bottom w:type="dxa" w:w="80"/>
              <w:right w:type="dxa" w:w="100"/>
            </w:tcMar>
          </w:tcPr>
          <w:p>
            <w:r>
              <w:rPr>
                <w:b/>
                <w:bCs/>
                <w:color w:val="FFFFFF"/>
                <w:sz w:val="20"/>
                <w:szCs w:val="20"/>
              </w:rPr>
              <w:t xml:space="preserve">À faire</w:t>
            </w:r>
          </w:p>
        </w:tc>
      </w:tr>
      <w:tr>
        <w:tc>
          <w:tcPr>
            <w:tcW w:type="dxa" w:w="2600"/>
            <w:tcMar>
              <w:top w:type="dxa" w:w="80"/>
              <w:left w:type="dxa" w:w="100"/>
              <w:bottom w:type="dxa" w:w="80"/>
              <w:right w:type="dxa" w:w="100"/>
            </w:tcMar>
          </w:tcPr>
          <w:p>
            <w:r>
              <w:rPr>
                <w:b w:val="false"/>
                <w:bCs w:val="false"/>
                <w:color w:val="000000"/>
                <w:sz w:val="20"/>
                <w:szCs w:val="20"/>
              </w:rPr>
              <w:t xml:space="preserve">Nombre d'écoles par bras</w:t>
            </w:r>
          </w:p>
        </w:tc>
        <w:tc>
          <w:tcPr>
            <w:tcW w:type="dxa" w:w="3500"/>
            <w:tcMar>
              <w:top w:type="dxa" w:w="80"/>
              <w:left w:type="dxa" w:w="100"/>
              <w:bottom w:type="dxa" w:w="80"/>
              <w:right w:type="dxa" w:w="100"/>
            </w:tcMar>
          </w:tcPr>
          <w:p>
            <w:r>
              <w:rPr>
                <w:b w:val="false"/>
                <w:bCs w:val="false"/>
                <w:color w:val="000000"/>
                <w:sz w:val="20"/>
                <w:szCs w:val="20"/>
              </w:rPr>
              <w:t xml:space="preserve">50</w:t>
            </w:r>
          </w:p>
        </w:tc>
        <w:tc>
          <w:tcPr>
            <w:tcW w:type="dxa" w:w="3250"/>
            <w:tcMar>
              <w:top w:type="dxa" w:w="80"/>
              <w:left w:type="dxa" w:w="100"/>
              <w:bottom w:type="dxa" w:w="80"/>
              <w:right w:type="dxa" w:w="100"/>
            </w:tcMar>
          </w:tcPr>
          <w:p>
            <w:r>
              <w:rPr>
                <w:b w:val="false"/>
                <w:bCs w:val="false"/>
                <w:color w:val="000000"/>
                <w:sz w:val="20"/>
                <w:szCs w:val="20"/>
              </w:rPr>
              <w:t xml:space="preserve">Confirmer avec la liste finale des écoles (section 6 du guide projet)</w:t>
            </w:r>
          </w:p>
        </w:tc>
      </w:tr>
      <w:tr>
        <w:tc>
          <w:tcPr>
            <w:tcW w:type="dxa" w:w="2600"/>
            <w:tcMar>
              <w:top w:type="dxa" w:w="80"/>
              <w:left w:type="dxa" w:w="100"/>
              <w:bottom w:type="dxa" w:w="80"/>
              <w:right w:type="dxa" w:w="100"/>
            </w:tcMar>
          </w:tcPr>
          <w:p>
            <w:r>
              <w:rPr>
                <w:b w:val="false"/>
                <w:bCs w:val="false"/>
                <w:color w:val="000000"/>
                <w:sz w:val="20"/>
                <w:szCs w:val="20"/>
              </w:rPr>
              <w:t xml:space="preserve">Filles par école</w:t>
            </w:r>
          </w:p>
        </w:tc>
        <w:tc>
          <w:tcPr>
            <w:tcW w:type="dxa" w:w="3500"/>
            <w:tcMar>
              <w:top w:type="dxa" w:w="80"/>
              <w:left w:type="dxa" w:w="100"/>
              <w:bottom w:type="dxa" w:w="80"/>
              <w:right w:type="dxa" w:w="100"/>
            </w:tcMar>
          </w:tcPr>
          <w:p>
            <w:r>
              <w:rPr>
                <w:b w:val="false"/>
                <w:bCs w:val="false"/>
                <w:color w:val="000000"/>
                <w:sz w:val="20"/>
                <w:szCs w:val="20"/>
              </w:rPr>
              <w:t xml:space="preserve">30 (15 + 15)</w:t>
            </w:r>
          </w:p>
        </w:tc>
        <w:tc>
          <w:tcPr>
            <w:tcW w:type="dxa" w:w="3250"/>
            <w:tcMar>
              <w:top w:type="dxa" w:w="80"/>
              <w:left w:type="dxa" w:w="100"/>
              <w:bottom w:type="dxa" w:w="80"/>
              <w:right w:type="dxa" w:w="100"/>
            </w:tcMar>
          </w:tcPr>
          <w:p>
            <w:r>
              <w:rPr>
                <w:b w:val="false"/>
                <w:bCs w:val="false"/>
                <w:color w:val="000000"/>
                <w:sz w:val="20"/>
                <w:szCs w:val="20"/>
              </w:rPr>
              <w:t xml:space="preserve">Confirmer une fois les effectifs réels connus par école</w:t>
            </w:r>
          </w:p>
        </w:tc>
      </w:tr>
      <w:tr>
        <w:tc>
          <w:tcPr>
            <w:tcW w:type="dxa" w:w="2600"/>
            <w:tcMar>
              <w:top w:type="dxa" w:w="80"/>
              <w:left w:type="dxa" w:w="100"/>
              <w:bottom w:type="dxa" w:w="80"/>
              <w:right w:type="dxa" w:w="100"/>
            </w:tcMar>
          </w:tcPr>
          <w:p>
            <w:r>
              <w:rPr>
                <w:b w:val="false"/>
                <w:bCs w:val="false"/>
                <w:color w:val="000000"/>
                <w:sz w:val="20"/>
                <w:szCs w:val="20"/>
              </w:rPr>
              <w:t xml:space="preserve">Puissance cible</w:t>
            </w:r>
          </w:p>
        </w:tc>
        <w:tc>
          <w:tcPr>
            <w:tcW w:type="dxa" w:w="3500"/>
            <w:tcMar>
              <w:top w:type="dxa" w:w="80"/>
              <w:left w:type="dxa" w:w="100"/>
              <w:bottom w:type="dxa" w:w="80"/>
              <w:right w:type="dxa" w:w="100"/>
            </w:tcMar>
          </w:tcPr>
          <w:p>
            <w:r>
              <w:rPr>
                <w:b w:val="false"/>
                <w:bCs w:val="false"/>
                <w:color w:val="000000"/>
                <w:sz w:val="20"/>
                <w:szCs w:val="20"/>
              </w:rPr>
              <w:t xml:space="preserve">0,80</w:t>
            </w:r>
          </w:p>
        </w:tc>
        <w:tc>
          <w:tcPr>
            <w:tcW w:type="dxa" w:w="3250"/>
            <w:tcMar>
              <w:top w:type="dxa" w:w="80"/>
              <w:left w:type="dxa" w:w="100"/>
              <w:bottom w:type="dxa" w:w="80"/>
              <w:right w:type="dxa" w:w="100"/>
            </w:tcMar>
          </w:tcPr>
          <w:p>
            <w:r>
              <w:rPr>
                <w:b w:val="false"/>
                <w:bCs w:val="false"/>
                <w:color w:val="000000"/>
                <w:sz w:val="20"/>
                <w:szCs w:val="20"/>
              </w:rPr>
              <w:t xml:space="preserve">Standard ; à ajuster seulement si le PI le demande</w:t>
            </w:r>
          </w:p>
        </w:tc>
      </w:tr>
      <w:tr>
        <w:tc>
          <w:tcPr>
            <w:tcW w:type="dxa" w:w="2600"/>
            <w:tcMar>
              <w:top w:type="dxa" w:w="80"/>
              <w:left w:type="dxa" w:w="100"/>
              <w:bottom w:type="dxa" w:w="80"/>
              <w:right w:type="dxa" w:w="100"/>
            </w:tcMar>
          </w:tcPr>
          <w:p>
            <w:r>
              <w:rPr>
                <w:b w:val="false"/>
                <w:bCs w:val="false"/>
                <w:color w:val="000000"/>
                <w:sz w:val="20"/>
                <w:szCs w:val="20"/>
              </w:rPr>
              <w:t xml:space="preserve">Seuil de significativité (alpha)</w:t>
            </w:r>
          </w:p>
        </w:tc>
        <w:tc>
          <w:tcPr>
            <w:tcW w:type="dxa" w:w="3500"/>
            <w:tcMar>
              <w:top w:type="dxa" w:w="80"/>
              <w:left w:type="dxa" w:w="100"/>
              <w:bottom w:type="dxa" w:w="80"/>
              <w:right w:type="dxa" w:w="100"/>
            </w:tcMar>
          </w:tcPr>
          <w:p>
            <w:r>
              <w:rPr>
                <w:b w:val="false"/>
                <w:bCs w:val="false"/>
                <w:color w:val="000000"/>
                <w:sz w:val="20"/>
                <w:szCs w:val="20"/>
              </w:rPr>
              <w:t xml:space="preserve">0,05</w:t>
            </w:r>
          </w:p>
        </w:tc>
        <w:tc>
          <w:tcPr>
            <w:tcW w:type="dxa" w:w="3250"/>
            <w:tcMar>
              <w:top w:type="dxa" w:w="80"/>
              <w:left w:type="dxa" w:w="100"/>
              <w:bottom w:type="dxa" w:w="80"/>
              <w:right w:type="dxa" w:w="100"/>
            </w:tcMar>
          </w:tcPr>
          <w:p>
            <w:r>
              <w:rPr>
                <w:b w:val="false"/>
                <w:bCs w:val="false"/>
                <w:color w:val="000000"/>
                <w:sz w:val="20"/>
                <w:szCs w:val="20"/>
              </w:rPr>
              <w:t xml:space="preserve">Standard ; à ajuster seulement si le PI le demande</w:t>
            </w:r>
          </w:p>
        </w:tc>
      </w:tr>
      <w:tr>
        <w:tc>
          <w:tcPr>
            <w:tcW w:type="dxa" w:w="2600"/>
            <w:tcMar>
              <w:top w:type="dxa" w:w="80"/>
              <w:left w:type="dxa" w:w="100"/>
              <w:bottom w:type="dxa" w:w="80"/>
              <w:right w:type="dxa" w:w="100"/>
            </w:tcMar>
          </w:tcPr>
          <w:p>
            <w:r>
              <w:rPr>
                <w:b w:val="false"/>
                <w:bCs w:val="false"/>
                <w:color w:val="000000"/>
                <w:sz w:val="20"/>
                <w:szCs w:val="20"/>
              </w:rPr>
              <w:t xml:space="preserve">Corrélation intra-école (ICC)</w:t>
            </w:r>
          </w:p>
        </w:tc>
        <w:tc>
          <w:tcPr>
            <w:tcW w:type="dxa" w:w="3500"/>
            <w:tcMar>
              <w:top w:type="dxa" w:w="80"/>
              <w:left w:type="dxa" w:w="100"/>
              <w:bottom w:type="dxa" w:w="80"/>
              <w:right w:type="dxa" w:w="100"/>
            </w:tcMar>
          </w:tcPr>
          <w:p>
            <w:r>
              <w:rPr>
                <w:b w:val="false"/>
                <w:bCs w:val="false"/>
                <w:color w:val="000000"/>
                <w:sz w:val="20"/>
                <w:szCs w:val="20"/>
              </w:rPr>
              <w:t xml:space="preserve">Plage testée : 0,05 à 0,20 (valeur centrale : 0,10)</w:t>
            </w:r>
          </w:p>
        </w:tc>
        <w:tc>
          <w:tcPr>
            <w:tcW w:type="dxa" w:w="3250"/>
            <w:tcMar>
              <w:top w:type="dxa" w:w="80"/>
              <w:left w:type="dxa" w:w="100"/>
              <w:bottom w:type="dxa" w:w="80"/>
              <w:right w:type="dxa" w:w="100"/>
            </w:tcMar>
          </w:tcPr>
          <w:p>
            <w:r>
              <w:rPr>
                <w:b w:val="false"/>
                <w:bCs w:val="false"/>
                <w:color w:val="000000"/>
                <w:sz w:val="20"/>
                <w:szCs w:val="20"/>
              </w:rPr>
              <w:t xml:space="preserve">Remplacer par la vraie valeur dès qu'un baseline existe (commande « loneway »)</w:t>
            </w:r>
          </w:p>
        </w:tc>
      </w:tr>
      <w:tr>
        <w:tc>
          <w:tcPr>
            <w:tcW w:type="dxa" w:w="2600"/>
            <w:tcMar>
              <w:top w:type="dxa" w:w="80"/>
              <w:left w:type="dxa" w:w="100"/>
              <w:bottom w:type="dxa" w:w="80"/>
              <w:right w:type="dxa" w:w="100"/>
            </w:tcMar>
          </w:tcPr>
          <w:p>
            <w:r>
              <w:rPr>
                <w:b w:val="false"/>
                <w:bCs w:val="false"/>
                <w:color w:val="000000"/>
                <w:sz w:val="20"/>
                <w:szCs w:val="20"/>
              </w:rPr>
              <w:t xml:space="preserve">Taux d'attrition attendu</w:t>
            </w:r>
          </w:p>
        </w:tc>
        <w:tc>
          <w:tcPr>
            <w:tcW w:type="dxa" w:w="3500"/>
            <w:tcMar>
              <w:top w:type="dxa" w:w="80"/>
              <w:left w:type="dxa" w:w="100"/>
              <w:bottom w:type="dxa" w:w="80"/>
              <w:right w:type="dxa" w:w="100"/>
            </w:tcMar>
          </w:tcPr>
          <w:p>
            <w:r>
              <w:rPr>
                <w:b w:val="false"/>
                <w:bCs w:val="false"/>
                <w:color w:val="000000"/>
                <w:sz w:val="20"/>
                <w:szCs w:val="20"/>
              </w:rPr>
              <w:t xml:space="preserve">Plage testée : 5 % à 20 %</w:t>
            </w:r>
          </w:p>
        </w:tc>
        <w:tc>
          <w:tcPr>
            <w:tcW w:type="dxa" w:w="3250"/>
            <w:tcMar>
              <w:top w:type="dxa" w:w="80"/>
              <w:left w:type="dxa" w:w="100"/>
              <w:bottom w:type="dxa" w:w="80"/>
              <w:right w:type="dxa" w:w="100"/>
            </w:tcMar>
          </w:tcPr>
          <w:p>
            <w:r>
              <w:rPr>
                <w:b w:val="false"/>
                <w:bCs w:val="false"/>
                <w:color w:val="000000"/>
                <w:sz w:val="20"/>
                <w:szCs w:val="20"/>
              </w:rPr>
              <w:t xml:space="preserve">Ajuster selon l'expérience de terrain de CKDev dans des contextes similaires</w:t>
            </w:r>
          </w:p>
        </w:tc>
      </w:tr>
      <w:tr>
        <w:tc>
          <w:tcPr>
            <w:tcW w:type="dxa" w:w="2600"/>
            <w:tcMar>
              <w:top w:type="dxa" w:w="80"/>
              <w:left w:type="dxa" w:w="100"/>
              <w:bottom w:type="dxa" w:w="80"/>
              <w:right w:type="dxa" w:w="100"/>
            </w:tcMar>
          </w:tcPr>
          <w:p>
            <w:r>
              <w:rPr>
                <w:b w:val="false"/>
                <w:bCs w:val="false"/>
                <w:color w:val="000000"/>
                <w:sz w:val="20"/>
                <w:szCs w:val="20"/>
              </w:rPr>
              <w:t xml:space="preserve">R² des covariables de baseline</w:t>
            </w:r>
          </w:p>
        </w:tc>
        <w:tc>
          <w:tcPr>
            <w:tcW w:type="dxa" w:w="3500"/>
            <w:tcMar>
              <w:top w:type="dxa" w:w="80"/>
              <w:left w:type="dxa" w:w="100"/>
              <w:bottom w:type="dxa" w:w="80"/>
              <w:right w:type="dxa" w:w="100"/>
            </w:tcMar>
          </w:tcPr>
          <w:p>
            <w:r>
              <w:rPr>
                <w:b w:val="false"/>
                <w:bCs w:val="false"/>
                <w:color w:val="000000"/>
                <w:sz w:val="20"/>
                <w:szCs w:val="20"/>
              </w:rPr>
              <w:t xml:space="preserve">Plage testée : 0 à 0,40</w:t>
            </w:r>
          </w:p>
        </w:tc>
        <w:tc>
          <w:tcPr>
            <w:tcW w:type="dxa" w:w="3250"/>
            <w:tcMar>
              <w:top w:type="dxa" w:w="80"/>
              <w:left w:type="dxa" w:w="100"/>
              <w:bottom w:type="dxa" w:w="80"/>
              <w:right w:type="dxa" w:w="100"/>
            </w:tcMar>
          </w:tcPr>
          <w:p>
            <w:r>
              <w:rPr>
                <w:b w:val="false"/>
                <w:bCs w:val="false"/>
                <w:color w:val="000000"/>
                <w:sz w:val="20"/>
                <w:szCs w:val="20"/>
              </w:rPr>
              <w:t xml:space="preserve">Remplacer par le R² réel une fois le baseline collecté</w:t>
            </w:r>
          </w:p>
        </w:tc>
      </w:tr>
    </w:tbl>
    <w:p>
      <w:pPr>
        <w:pStyle w:val="Heading1"/>
        <w:spacing w:after="150" w:before="300"/>
      </w:pPr>
      <w:r>
        <w:t xml:space="preserve">6. Comment exécuter le script</w:t>
      </w:r>
    </w:p>
    <w:p>
      <w:pPr>
        <w:pStyle w:val="ListParagraph"/>
        <w:numPr>
          <w:ilvl w:val="0"/>
          <w:numId w:val="1"/>
        </w:numPr>
        <w:spacing w:after="80"/>
      </w:pPr>
      <w:r>
        <w:t xml:space="preserve">Ouvrir Stata (version 17 ou plus récente).</w:t>
      </w:r>
    </w:p>
    <w:p>
      <w:pPr>
        <w:pStyle w:val="ListParagraph"/>
        <w:numPr>
          <w:ilvl w:val="0"/>
          <w:numId w:val="1"/>
        </w:numPr>
        <w:spacing w:after="60"/>
      </w:pPr>
      <w:r>
        <w:t xml:space="preserve">Ouvrir le fichier Power_MDE_CKDev_Benin.do.</w:t>
      </w:r>
    </w:p>
    <w:p>
      <w:pPr>
        <w:pStyle w:val="ListParagraph"/>
        <w:numPr>
          <w:ilvl w:val="0"/>
          <w:numId w:val="1"/>
        </w:numPr>
        <w:spacing w:after="60"/>
      </w:pPr>
      <w:r>
        <w:t xml:space="preserve">Vérifier et adapter les lignes marquées « SPECIFY » (section 5 ci-dessus).</w:t>
      </w:r>
    </w:p>
    <w:p>
      <w:pPr>
        <w:pStyle w:val="ListParagraph"/>
        <w:numPr>
          <w:ilvl w:val="0"/>
          <w:numId w:val="1"/>
        </w:numPr>
        <w:spacing w:after="60"/>
      </w:pPr>
      <w:r>
        <w:t xml:space="preserve">Définir le dossier de travail (ligne « cd ”” » en haut du fichier).</w:t>
      </w:r>
    </w:p>
    <w:p>
      <w:pPr>
        <w:pStyle w:val="ListParagraph"/>
        <w:numPr>
          <w:ilvl w:val="0"/>
          <w:numId w:val="1"/>
        </w:numPr>
        <w:spacing w:after="60"/>
      </w:pPr>
      <w:r>
        <w:t xml:space="preserve">Exécuter le fichier en entier (do Power_MDE_CKDev_Benin.do), ou bloc par bloc pour explorer un résultat précis.</w:t>
      </w:r>
    </w:p>
    <w:p>
      <w:pPr>
        <w:pStyle w:val="ListParagraph"/>
        <w:numPr>
          <w:ilvl w:val="0"/>
          <w:numId w:val="1"/>
        </w:numPr>
        <w:spacing w:after="60"/>
      </w:pPr>
      <w:r>
        <w:t xml:space="preserve">Consulter les résultats dans la fenêtre Stata, dans le fichier .log, dans le graphique PNG, et dans le classeur Excel généré.</w:t>
      </w:r>
    </w:p>
    <w:p>
      <w:pPr>
        <w:pStyle w:val="Heading1"/>
        <w:spacing w:after="150" w:before="300"/>
      </w:pPr>
      <w:r>
        <w:t xml:space="preserve">7. Lecture des résultats</w:t>
      </w:r>
    </w:p>
    <w:p>
      <w:pPr>
        <w:pStyle w:val="Heading2"/>
        <w:spacing w:after="100" w:before="200"/>
      </w:pPr>
      <w:r>
        <w:t xml:space="preserve">7.1 Le MDE (effet minimal détectable)</w:t>
      </w:r>
    </w:p>
    <w:p>
      <w:pPr>
        <w:spacing w:after="120"/>
      </w:pPr>
      <w:r>
        <w:t xml:space="preserve">Le MDE est exprimé en écarts-types de la variable de résultat, car aucune donnée de baseline n'existe encore pour ce projet. Un MDE de 0,20, par exemple, signifie que le design peut détecter de façon fiable un effet du traitement d'au moins 0,20 écart-type de la variable étudiée (ex. minutes d'étude, minutes de repos).</w:t>
      </w:r>
    </w:p>
    <w:p>
      <w:pPr>
        <w:pStyle w:val="Heading2"/>
        <w:spacing w:after="100" w:before="200"/>
      </w:pPr>
      <w:r>
        <w:t xml:space="preserve">7.2 Le contraste mère vs père</w:t>
      </w:r>
    </w:p>
    <w:p>
      <w:pPr>
        <w:spacing w:after="120"/>
      </w:pPr>
      <w:r>
        <w:t xml:space="preserve">Ce contraste (bloc 6) repose sur moins d'écoles que les comparaisons principales, puisqu'il n'utilise que les écoles déjà assignées aux bras traités. Son MDE est donc plus élevé : l'étude peut détecter des effets sur les comparaisons principales plus petits que sur ce contraste secondaire. Ce point doit être signalé explicitement au PI.</w:t>
      </w:r>
    </w:p>
    <w:p>
      <w:pPr>
        <w:pStyle w:val="Heading2"/>
        <w:spacing w:after="100" w:before="200"/>
      </w:pPr>
      <w:r>
        <w:t xml:space="preserve">7.3 Les tableaux de sensibilité</w:t>
      </w:r>
    </w:p>
    <w:p>
      <w:pPr>
        <w:spacing w:after="120"/>
      </w:pPr>
      <w:r>
        <w:t xml:space="preserve">Les tableaux 1 à 5 et le graphique du bloc 8 ne donnent pas un seul chiffre, mais une plage de résultats selon des hypothèses raisonnables (ICC, attrition, covariables). Cette présentation évite de s'appuyer sur une seule hypothèse incertaine et permet de montrer la robustesse — ou la fragilité — du design actuel.</w:t>
      </w:r>
    </w:p>
    <w:p>
      <w:pPr>
        <w:pStyle w:val="Heading1"/>
        <w:spacing w:after="150" w:before="300"/>
      </w:pPr>
      <w:r>
        <w:t xml:space="preserve">8. Point technique corrigé dans le bloc 7</w:t>
      </w:r>
    </w:p>
    <w:p>
      <w:pPr>
        <w:spacing w:after="120"/>
      </w:pPr>
      <w:r>
        <w:t xml:space="preserve">Une erreur Stata (« too many arguments specified with effect-size determination », r(198)) apparaissait initialement dans le bloc 7 (résultat binaire). La cause : la commande « power twoproportions » recevait en même temps trois éléments fixés — la taille d'échantillon (k1, m1), l'effet attendu (p_control, p_treat) et une puissance cible (power) — alors qu'un seul élément peut rester inconnu à la fois (c'est cet élément que Stata calcule).</w:t>
      </w:r>
    </w:p>
    <w:p>
      <w:pPr>
        <w:spacing w:after="120"/>
      </w:pPr>
      <w:r>
        <w:t xml:space="preserve">Correction apportée : l'option power() a été retirée de cet appel. Puisque l'échantillon (k1, m1) et l'effet attendu sont déjà fixés par le design, ce bloc calcule désormais la puissance atteinte (colonne « Achieved_power » du Tableau 5), à comparer visuellement à la cible de 0,80. Les autres blocs (2, 3 et 6) suivaient déjà la bonne logique et n'ont pas été modifiés.</w:t>
      </w:r>
    </w:p>
    <w:p>
      <w:pPr>
        <w:pStyle w:val="Heading1"/>
        <w:spacing w:after="150" w:before="300"/>
      </w:pPr>
      <w:r>
        <w:t xml:space="preserve">9. Limites et points de vigilance</w:t>
      </w:r>
    </w:p>
    <w:p>
      <w:pPr>
        <w:pStyle w:val="ListParagraph"/>
        <w:numPr>
          <w:ilvl w:val="0"/>
          <w:numId w:val="1"/>
        </w:numPr>
        <w:spacing w:after="60"/>
      </w:pPr>
      <w:r>
        <w:t xml:space="preserve">Aucune donnée de baseline ou pilote n'existe encore : tous les calculs utilisent un écart-type standardisé (sd = 1) et une plage d'hypothèses sur l'ICC, plutôt qu'une valeur unique observée.</w:t>
      </w:r>
    </w:p>
    <w:p>
      <w:pPr>
        <w:pStyle w:val="ListParagraph"/>
        <w:numPr>
          <w:ilvl w:val="0"/>
          <w:numId w:val="1"/>
        </w:numPr>
        <w:spacing w:after="60"/>
      </w:pPr>
      <w:r>
        <w:t xml:space="preserve">Dès que des données de baseline seront disponibles, il faudra remplacer les hypothèses par les valeurs réellement estimées (ICC via « loneway », R² via une régression « regress ») et relancer le script.</w:t>
      </w:r>
    </w:p>
    <w:p>
      <w:pPr>
        <w:pStyle w:val="ListParagraph"/>
        <w:numPr>
          <w:ilvl w:val="0"/>
          <w:numId w:val="1"/>
        </w:numPr>
        <w:spacing w:after="60"/>
      </w:pPr>
      <w:r>
        <w:t xml:space="preserve">Le script ne modélise pas explicitement les strates commune × taille d'école mentionnées dans le guide projet ; leur effet est approché par le gain de précision d'une covariable (bloc 4). Une stratification effective devrait légèrement améliorer la précision par rapport aux chiffres présentés.</w:t>
      </w:r>
    </w:p>
    <w:p>
      <w:pPr>
        <w:pStyle w:val="ListParagraph"/>
        <w:numPr>
          <w:ilvl w:val="0"/>
          <w:numId w:val="1"/>
        </w:numPr>
        <w:spacing w:after="60"/>
      </w:pPr>
      <w:r>
        <w:t xml:space="preserve">Les hypothèses d'attrition et d'ICC sont des plages plausibles issues de la littérature sur des études similaires, pas des valeurs mesurées sur le terrain de ce projet.</w:t>
      </w:r>
    </w:p>
    <w:p>
      <w:pPr>
        <w:pStyle w:val="Heading1"/>
        <w:spacing w:after="150" w:before="300"/>
      </w:pPr>
      <w:r>
        <w:t xml:space="preserve">10. Prochaines étapes recommandées</w:t>
      </w:r>
    </w:p>
    <w:p>
      <w:pPr>
        <w:pStyle w:val="ListParagraph"/>
        <w:numPr>
          <w:ilvl w:val="0"/>
          <w:numId w:val="1"/>
        </w:numPr>
        <w:spacing w:after="60"/>
      </w:pPr>
      <w:r>
        <w:t xml:space="preserve">Valider avec le PI les paramètres marqués « SPECIFY » (section 5).</w:t>
      </w:r>
    </w:p>
    <w:p>
      <w:pPr>
        <w:pStyle w:val="ListParagraph"/>
        <w:numPr>
          <w:ilvl w:val="0"/>
          <w:numId w:val="1"/>
        </w:numPr>
        <w:spacing w:after="60"/>
      </w:pPr>
      <w:r>
        <w:t xml:space="preserve">Dès que possible, collecter des données de baseline ou pilotes pour remplacer les hypothèses d'ICC et de R² par des valeurs réelles.</w:t>
      </w:r>
    </w:p>
    <w:p>
      <w:pPr>
        <w:pStyle w:val="ListParagraph"/>
        <w:numPr>
          <w:ilvl w:val="0"/>
          <w:numId w:val="1"/>
        </w:numPr>
        <w:spacing w:after="60"/>
      </w:pPr>
      <w:r>
        <w:t xml:space="preserve">Réexécuter le script avec ces valeurs réelles avant de finaliser la taille d'échantillon.</w:t>
      </w:r>
    </w:p>
    <w:p>
      <w:pPr>
        <w:pStyle w:val="ListParagraph"/>
        <w:numPr>
          <w:ilvl w:val="0"/>
          <w:numId w:val="1"/>
        </w:numPr>
        <w:spacing w:after="60"/>
      </w:pPr>
      <w:r>
        <w:t xml:space="preserve">Conserver le classeur Excel et le graphique produits comme pièces justificatives dans le protocole final (section 15 du guide projet, « Livrables attendus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2026-08-18T11:41:03.058Z</dcterms:created>
  <dcterms:modified xsi:type="dcterms:W3CDTF">2026-08-18T11:41:03.070Z</dcterms:modified>
</cp:coreProperties>
</file>

<file path=docProps/custom.xml><?xml version="1.0" encoding="utf-8"?>
<Properties xmlns="http://schemas.openxmlformats.org/officeDocument/2006/custom-properties" xmlns:vt="http://schemas.openxmlformats.org/officeDocument/2006/docPropsVTypes"/>
</file>