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4.png" ContentType="image/png"/>
  <Override PartName="/word/media/rId2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生物医学文献进展</w:t>
      </w:r>
    </w:p>
    <w:p>
      <w:pPr>
        <w:pStyle w:val="Author"/>
      </w:pPr>
      <w:r>
        <w:t xml:space="preserve">wisGens</w:t>
      </w:r>
    </w:p>
    <w:p>
      <w:pPr>
        <w:pStyle w:val="Date"/>
      </w:pPr>
      <w:r>
        <w:t xml:space="preserve">2022/11/3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0" w:name="简介"/>
    <w:p>
      <w:pPr>
        <w:pStyle w:val="Heading1"/>
      </w:pPr>
      <w:r>
        <w:t xml:space="preserve">1. 简介</w:t>
      </w:r>
    </w:p>
    <w:p>
      <w:pPr>
        <w:pStyle w:val="FirstParagraph"/>
      </w:pPr>
      <w:r>
        <w:t xml:space="preserve">文献阅读、翻译、总结，以便系统从科研文献中提取新思路、新知识、提升科学能力。</w:t>
      </w:r>
    </w:p>
    <w:bookmarkEnd w:id="20"/>
    <w:bookmarkStart w:id="42" w:name="t细胞耗竭中的代谢和表观遗传调控变化"/>
    <w:p>
      <w:pPr>
        <w:pStyle w:val="Heading1"/>
      </w:pPr>
      <w:r>
        <w:t xml:space="preserve">2. T细胞耗竭中的代谢和表观遗传调控变化</w:t>
      </w:r>
    </w:p>
    <w:p>
      <w:pPr>
        <w:pStyle w:val="FirstParagraph"/>
      </w:pPr>
      <w:r>
        <w:t xml:space="preserve">目前的免疫疗法通过增强宿主免疫在癌细胞消除和病毒清除方面的能力，产生了显著的临床效果。然而，在长时间接触抗原后，CD8+ T 细胞会分化成一种特殊的分化状态，称为 T 细胞耗竭，这是慢性病毒感染和肿瘤发展过程中抗病毒和抗肿瘤免疫的主要障碍之一。越来越多的证据表明，耗竭的 T 细胞会出现代谢不足，信号级联和表观遗传发生改变，这会抑制效应免疫并导致对免疫检查点阻断疗法的反应不佳。代谢压力如何影响 T 细胞耗竭仍不清楚；因此，在这篇综述中，我们总结了当前关于 T 细胞耗竭如何发生的知识，并讨论了代谢不足和长期应激反应如何影响信号级联和表观遗传重编程，从而通过专门的分化编程将 T 细胞锁定在耗竭状态。</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141694"/>
                  <wp:effectExtent b="0" l="0" r="0" t="0"/>
                  <wp:docPr descr="" title="" id="22" name="Picture"/>
                  <a:graphic>
                    <a:graphicData uri="http://schemas.openxmlformats.org/drawingml/2006/picture">
                      <pic:pic>
                        <pic:nvPicPr>
                          <pic:cNvPr descr="./images/Features%20of%20T-cell%20exhaustion%20and%20epigenetic%20reprogramming.png" id="23" name="Picture"/>
                          <pic:cNvPicPr>
                            <a:picLocks noChangeArrowheads="1" noChangeAspect="1"/>
                          </pic:cNvPicPr>
                        </pic:nvPicPr>
                        <pic:blipFill>
                          <a:blip r:embed="rId21"/>
                          <a:stretch>
                            <a:fillRect/>
                          </a:stretch>
                        </pic:blipFill>
                        <pic:spPr bwMode="auto">
                          <a:xfrm>
                            <a:off x="0" y="0"/>
                            <a:ext cx="5334000" cy="4141694"/>
                          </a:xfrm>
                          <a:prstGeom prst="rect">
                            <a:avLst/>
                          </a:prstGeom>
                          <a:noFill/>
                          <a:ln w="9525">
                            <a:noFill/>
                            <a:headEnd/>
                            <a:tailEnd/>
                          </a:ln>
                        </pic:spPr>
                      </pic:pic>
                    </a:graphicData>
                  </a:graphic>
                </wp:inline>
              </w:drawing>
            </w:r>
          </w:p>
          <w:p>
            <w:pPr>
              <w:jc w:val="center"/>
            </w:pPr>
            <w:pPr>
              <w:jc w:val="start"/>
              <w:spacing w:before="200"/>
              <w:pStyle w:val="ImageCaption"/>
            </w:pPr>
            <w:r>
              <w:t xml:space="preserve">T细胞耗竭的表观遗传重编程特征</w:t>
            </w:r>
          </w:p>
        </w:tc>
      </w:tr>
    </w:tbl>
    <w:bookmarkStart w:id="30" w:name="section"/>
    <w:p>
      <w:pPr>
        <w:pStyle w:val="Heading2"/>
      </w:pPr>
      <w:r>
        <w:t xml:space="preserve">2.1</w:t>
      </w: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36706"/>
                  <wp:effectExtent b="0" l="0" r="0" t="0"/>
                  <wp:docPr descr="" title="" id="25" name="Picture"/>
                  <a:graphic>
                    <a:graphicData uri="http://schemas.openxmlformats.org/drawingml/2006/picture">
                      <pic:pic>
                        <pic:nvPicPr>
                          <pic:cNvPr descr="./images/Environmental%20challenges%20skew%20T-cell%20differentiation%20and%20exhaustion.png" id="26" name="Picture"/>
                          <pic:cNvPicPr>
                            <a:picLocks noChangeArrowheads="1" noChangeAspect="1"/>
                          </pic:cNvPicPr>
                        </pic:nvPicPr>
                        <pic:blipFill>
                          <a:blip r:embed="rId24"/>
                          <a:stretch>
                            <a:fillRect/>
                          </a:stretch>
                        </pic:blipFill>
                        <pic:spPr bwMode="auto">
                          <a:xfrm>
                            <a:off x="0" y="0"/>
                            <a:ext cx="5334000" cy="3236706"/>
                          </a:xfrm>
                          <a:prstGeom prst="rect">
                            <a:avLst/>
                          </a:prstGeom>
                          <a:noFill/>
                          <a:ln w="9525">
                            <a:noFill/>
                            <a:headEnd/>
                            <a:tailEnd/>
                          </a:ln>
                        </pic:spPr>
                      </pic:pic>
                    </a:graphicData>
                  </a:graphic>
                </wp:inline>
              </w:drawing>
            </w:r>
          </w:p>
          <w:p>
            <w:pPr>
              <w:jc w:val="center"/>
            </w:pPr>
            <w:pPr>
              <w:jc w:val="start"/>
              <w:spacing w:before="200"/>
              <w:pStyle w:val="ImageCaption"/>
            </w:pPr>
            <w:r>
              <w:t xml:space="preserve">环境因素影响T细胞分化和耗竭</w:t>
            </w:r>
          </w:p>
        </w:tc>
      </w:tr>
    </w:tbl>
    <w:bookmarkStart w:id="27" w:name="肿瘤微环境免疫调节细胞促进t细胞耗竭"/>
    <w:p>
      <w:pPr>
        <w:pStyle w:val="Heading3"/>
      </w:pPr>
      <w:r>
        <w:t xml:space="preserve">2.1.1 肿瘤微环境免疫调节细胞促进T细胞耗竭</w:t>
      </w:r>
    </w:p>
    <w:bookmarkEnd w:id="27"/>
    <w:bookmarkStart w:id="28" w:name="营养缺氧影响t细胞功能"/>
    <w:p>
      <w:pPr>
        <w:pStyle w:val="Heading3"/>
      </w:pPr>
      <w:r>
        <w:t xml:space="preserve">2.1.2 营养缺氧影响T细胞功能</w:t>
      </w:r>
    </w:p>
    <w:bookmarkEnd w:id="28"/>
    <w:bookmarkStart w:id="29" w:name="有害代谢物影响t细胞增殖"/>
    <w:p>
      <w:pPr>
        <w:pStyle w:val="Heading3"/>
      </w:pPr>
      <w:r>
        <w:t xml:space="preserve">2.1.3 有害代谢物影响T细胞增殖</w:t>
      </w:r>
    </w:p>
    <w:bookmarkEnd w:id="29"/>
    <w:bookmarkEnd w:id="30"/>
    <w:bookmarkStart w:id="34" w:name="t细胞耗竭中的表观重编程"/>
    <w:p>
      <w:pPr>
        <w:pStyle w:val="Heading2"/>
      </w:pPr>
      <w:r>
        <w:t xml:space="preserve">2.2 T细胞耗竭中的表观重编程</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665753"/>
                  <wp:effectExtent b="0" l="0" r="0" t="0"/>
                  <wp:docPr descr="" title="" id="32" name="Picture"/>
                  <a:graphic>
                    <a:graphicData uri="http://schemas.openxmlformats.org/drawingml/2006/picture">
                      <pic:pic>
                        <pic:nvPicPr>
                          <pic:cNvPr descr="./images/Cross-talk%20between%20metabolic%20alterations%20and%20epigenetic%20reprogramming%20in%20T-cell%20exhaustion.png" id="33" name="Picture"/>
                          <pic:cNvPicPr>
                            <a:picLocks noChangeArrowheads="1" noChangeAspect="1"/>
                          </pic:cNvPicPr>
                        </pic:nvPicPr>
                        <pic:blipFill>
                          <a:blip r:embed="rId31"/>
                          <a:stretch>
                            <a:fillRect/>
                          </a:stretch>
                        </pic:blipFill>
                        <pic:spPr bwMode="auto">
                          <a:xfrm>
                            <a:off x="0" y="0"/>
                            <a:ext cx="5334000" cy="3665753"/>
                          </a:xfrm>
                          <a:prstGeom prst="rect">
                            <a:avLst/>
                          </a:prstGeom>
                          <a:noFill/>
                          <a:ln w="9525">
                            <a:noFill/>
                            <a:headEnd/>
                            <a:tailEnd/>
                          </a:ln>
                        </pic:spPr>
                      </pic:pic>
                    </a:graphicData>
                  </a:graphic>
                </wp:inline>
              </w:drawing>
            </w:r>
          </w:p>
          <w:p>
            <w:pPr>
              <w:jc w:val="center"/>
            </w:pPr>
            <w:pPr>
              <w:jc w:val="start"/>
              <w:spacing w:before="200"/>
              <w:pStyle w:val="ImageCaption"/>
            </w:pPr>
            <w:r>
              <w:t xml:space="preserve">T细胞耗竭中的代谢改变影响表观重编程</w:t>
            </w:r>
          </w:p>
        </w:tc>
      </w:tr>
    </w:tbl>
    <w:bookmarkEnd w:id="34"/>
    <w:bookmarkStart w:id="38" w:name="线粒体活性内质网压力与t细胞耗竭"/>
    <w:p>
      <w:pPr>
        <w:pStyle w:val="Heading2"/>
      </w:pPr>
      <w:r>
        <w:t xml:space="preserve">2.3 线粒体活性、内质网压力与T细胞耗竭</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819562"/>
                  <wp:effectExtent b="0" l="0" r="0" t="0"/>
                  <wp:docPr descr="" title="" id="36" name="Picture"/>
                  <a:graphic>
                    <a:graphicData uri="http://schemas.openxmlformats.org/drawingml/2006/picture">
                      <pic:pic>
                        <pic:nvPicPr>
                          <pic:cNvPr descr="./images/Roles%20of%20mitochondria%20and%20ER-related%20signalling%20in%20T-cell%20exhaustion.png" id="37" name="Picture"/>
                          <pic:cNvPicPr>
                            <a:picLocks noChangeArrowheads="1" noChangeAspect="1"/>
                          </pic:cNvPicPr>
                        </pic:nvPicPr>
                        <pic:blipFill>
                          <a:blip r:embed="rId35"/>
                          <a:stretch>
                            <a:fillRect/>
                          </a:stretch>
                        </pic:blipFill>
                        <pic:spPr bwMode="auto">
                          <a:xfrm>
                            <a:off x="0" y="0"/>
                            <a:ext cx="5334000" cy="3819562"/>
                          </a:xfrm>
                          <a:prstGeom prst="rect">
                            <a:avLst/>
                          </a:prstGeom>
                          <a:noFill/>
                          <a:ln w="9525">
                            <a:noFill/>
                            <a:headEnd/>
                            <a:tailEnd/>
                          </a:ln>
                        </pic:spPr>
                      </pic:pic>
                    </a:graphicData>
                  </a:graphic>
                </wp:inline>
              </w:drawing>
            </w:r>
          </w:p>
          <w:p>
            <w:pPr>
              <w:jc w:val="center"/>
            </w:pPr>
            <w:pPr>
              <w:jc w:val="start"/>
              <w:spacing w:before="200"/>
              <w:pStyle w:val="ImageCaption"/>
            </w:pPr>
            <w:r>
              <w:t xml:space="preserve">线粒体和内质网相关信号传导在T细胞耗竭中的作用</w:t>
            </w:r>
          </w:p>
        </w:tc>
      </w:tr>
    </w:tbl>
    <w:bookmarkEnd w:id="38"/>
    <w:bookmarkStart w:id="39" w:name="未来展望和目前未解决的问题"/>
    <w:p>
      <w:pPr>
        <w:pStyle w:val="Heading2"/>
      </w:pPr>
      <w:r>
        <w:t xml:space="preserve">2.4 未来展望和目前未解决的问题</w:t>
      </w:r>
    </w:p>
    <w:p>
      <w:pPr>
        <w:numPr>
          <w:ilvl w:val="0"/>
          <w:numId w:val="1001"/>
        </w:numPr>
      </w:pPr>
      <w:r>
        <w:t xml:space="preserve">在协调T细胞分化程序时，线粒体如何与ER和细胞核进行信号交流？</w:t>
      </w:r>
    </w:p>
    <w:p>
      <w:pPr>
        <w:numPr>
          <w:ilvl w:val="0"/>
          <w:numId w:val="1001"/>
        </w:numPr>
      </w:pPr>
      <w:r>
        <w:t xml:space="preserve">线粒体活性和ER应激反应是否会影响表观基因组，从而加强T细胞耗竭？</w:t>
      </w:r>
    </w:p>
    <w:p>
      <w:pPr>
        <w:numPr>
          <w:ilvl w:val="0"/>
          <w:numId w:val="1001"/>
        </w:numPr>
      </w:pPr>
      <w:r>
        <w:t xml:space="preserve">我们能否通过代谢干预重编程T细胞耗竭中的表观基因组？</w:t>
      </w:r>
    </w:p>
    <w:p>
      <w:pPr>
        <w:numPr>
          <w:ilvl w:val="0"/>
          <w:numId w:val="1001"/>
        </w:numPr>
      </w:pPr>
      <w:r>
        <w:t xml:space="preserve">转录因子是否可以控制祖细胞耗竭和终末耗竭状态，从而用于干预T细胞代谢程序？</w:t>
      </w:r>
    </w:p>
    <w:bookmarkEnd w:id="39"/>
    <w:bookmarkStart w:id="41" w:name="参考文献"/>
    <w:p>
      <w:pPr>
        <w:pStyle w:val="Heading2"/>
      </w:pPr>
      <w:r>
        <w:t xml:space="preserve">2.5 参考文献</w:t>
      </w:r>
    </w:p>
    <w:p>
      <w:pPr>
        <w:numPr>
          <w:ilvl w:val="0"/>
          <w:numId w:val="1002"/>
        </w:numPr>
        <w:pStyle w:val="Compact"/>
      </w:pPr>
      <w:r>
        <w:t xml:space="preserve">Franco, F.</w:t>
      </w:r>
      <w:r>
        <w:t xml:space="preserve"> </w:t>
      </w:r>
      <w:r>
        <w:rPr>
          <w:iCs/>
          <w:i/>
        </w:rPr>
        <w:t xml:space="preserve">et al.</w:t>
      </w:r>
      <w:r>
        <w:t xml:space="preserve"> </w:t>
      </w:r>
      <w:r>
        <w:t xml:space="preserve">(2020) 'Metabolic and epigenetic regulation of T-cell exhaustion',</w:t>
      </w:r>
      <w:r>
        <w:t xml:space="preserve"> </w:t>
      </w:r>
      <w:r>
        <w:rPr>
          <w:iCs/>
          <w:i/>
        </w:rPr>
        <w:t xml:space="preserve">Nature Metabolism</w:t>
      </w:r>
      <w:r>
        <w:t xml:space="preserve">, 2(10), pp. 1001–1012. Available at:</w:t>
      </w:r>
      <w:r>
        <w:t xml:space="preserve"> </w:t>
      </w:r>
      <w:hyperlink r:id="rId40">
        <w:r>
          <w:rPr>
            <w:rStyle w:val="Hyperlink"/>
          </w:rPr>
          <w:t xml:space="preserve">https://doi.org/10.1038/s42255-020-00280-9</w:t>
        </w:r>
      </w:hyperlink>
      <w:r>
        <w:t xml:space="preserve">.</w:t>
      </w:r>
    </w:p>
    <w:bookmarkEnd w:id="41"/>
    <w:bookmarkEnd w:id="42"/>
    <w:bookmarkStart w:id="43" w:name="常见的抗癌疗法诱导健康组织干细胞的体细胞突变"/>
    <w:p>
      <w:pPr>
        <w:pStyle w:val="Heading1"/>
      </w:pPr>
      <w:r>
        <w:t xml:space="preserve">3. 常见的抗癌疗法诱导健康组织干细胞的体细胞突变</w:t>
      </w:r>
    </w:p>
    <w:bookmarkEnd w:id="43"/>
    <w:bookmarkStart w:id="44" w:name="总结"/>
    <w:p>
      <w:pPr>
        <w:pStyle w:val="Heading1"/>
      </w:pPr>
      <w:r>
        <w:t xml:space="preserve">4. 总结</w:t>
      </w:r>
    </w:p>
    <w:bookmarkEnd w:id="44"/>
    <w:bookmarkStart w:id="45" w:name="参考文献-1"/>
    <w:p>
      <w:pPr>
        <w:pStyle w:val="Heading1"/>
      </w:pPr>
      <w:r>
        <w:t xml:space="preserve">5. 参考文献</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zh"/>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hyperlink" Id="rId40" Target="https://doi.org/10.1038/s42255-020-00280-9" TargetMode="External" /></Relationships>
</file>

<file path=word/_rels/footnotes.xml.rels><?xml version="1.0" encoding="UTF-8"?><Relationships xmlns="http://schemas.openxmlformats.org/package/2006/relationships"><Relationship Type="http://schemas.openxmlformats.org/officeDocument/2006/relationships/hyperlink" Id="rId40" Target="https://doi.org/10.1038/s42255-020-002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生物医学文献进展</dc:title>
  <dc:creator>wisGens</dc:creator>
  <dc:language>zh</dc:language>
  <cp:keywords/>
  <dcterms:created xsi:type="dcterms:W3CDTF">2022-11-04T07:16:18Z</dcterms:created>
  <dcterms:modified xsi:type="dcterms:W3CDTF">2022-11-04T07:16:18Z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2022/11/3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Contents</vt:lpwstr>
  </property>
  <property fmtid="{D5CDD505-2E9C-101B-9397-08002B2CF9AE}" pid="15" name="website">
    <vt:lpwstr/>
  </property>
</Properties>
</file>