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3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w:t>
      </w:r>
      <w:r>
        <w:t xml:space="preserve"> </w:t>
      </w:r>
      <w:r>
        <w:rPr>
          <w:rStyle w:val="VerbatimChar"/>
        </w:rPr>
        <w:t xml:space="preserve">T 细胞耗竭</w:t>
      </w:r>
      <w:r>
        <w:t xml:space="preserve">，这是慢性病毒感染和肿瘤发展过程中抗病毒和抗肿瘤免疫的主要障碍之一。越来越多的证据表明，耗竭的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 。</w:t>
      </w:r>
    </w:p>
    <w:bookmarkStart w:id="21" w:name="前言"/>
    <w:p>
      <w:pPr>
        <w:pStyle w:val="Heading2"/>
      </w:pPr>
      <w:r>
        <w:t xml:space="preserve">2.1 前言</w:t>
      </w:r>
    </w:p>
    <w:p>
      <w:pPr>
        <w:pStyle w:val="FirstParagraph"/>
      </w:pPr>
      <w:r>
        <w:t xml:space="preserve">T细胞活化后，幼稚CD8+ T细胞通过转录调控分化为效应T细胞或记忆T细胞，这一过程需要代谢重编程以满足不同的能量需求。例如，处于代谢静止状态的幼稚T细胞使用氧化磷酸化（OXPHOS）来产生能量。激活后，幼稚 T 细胞经历由PI3K–Akt–mTOR途径控制的代谢开关，向效应T细胞分化，这一过程需要T细胞依靠有氧糖酵解进行快速扩增和发挥效应功能。</w:t>
      </w:r>
    </w:p>
    <w:p>
      <w:pPr>
        <w:pStyle w:val="BodyText"/>
      </w:pPr>
      <w:r>
        <w:t xml:space="preserve">相反，记忆 T 细胞在抗原清除后持续存在，并具有独特的代谢程序，其特征是 OXPHOS 和自噬升高。</w:t>
      </w:r>
    </w:p>
    <w:p>
      <w:pPr>
        <w:pStyle w:val="BodyText"/>
      </w:pPr>
      <w:r>
        <w:t xml:space="preserve">线粒体的动力学与T细胞代谢有着内在的联系，以满足细胞分化期间或压力条件下的能量需求和免疫反应。在效应T细胞中，T细胞受体（TCR）信号传导促进线粒体裂变并导致相对较低的呼吸活动。相比之下，记忆T细胞含有相对较大的线粒体质量，并且线粒体具有融合的超微结构和相对较高的备用呼吸能力（SRC）。</w:t>
      </w:r>
    </w:p>
    <w:p>
      <w:pPr>
        <w:pStyle w:val="BodyText"/>
      </w:pPr>
      <w:r>
        <w:t xml:space="preserve">这些特征被认为在没有抗原的情况下支持这些细胞的存活。然而，当抗原持续存在时，例如在肿瘤或慢性病毒感染中，T细胞显示出一种独特的表型，称为耗竭（</w:t>
      </w:r>
      <w:r>
        <w:rPr>
          <w:rStyle w:val="VerbatimChar"/>
        </w:rPr>
        <w:t xml:space="preserve">T Cell Exhaustion</w:t>
      </w:r>
      <w:r>
        <w:t xml:space="preserve">）。</w:t>
      </w:r>
    </w:p>
    <w:p>
      <w:pPr>
        <w:pStyle w:val="BodyText"/>
      </w:pPr>
      <w:r>
        <w:rPr>
          <w:rStyle w:val="VerbatimChar"/>
        </w:rPr>
        <w:t xml:space="preserve">T细胞耗竭</w:t>
      </w:r>
      <w:r>
        <w:t xml:space="preserve">表现为抑制性受体表达升高，TCR刺激后效应功能下降和增殖能力降低；独特的表观遗传特征，导致对免疫疗法的反应性差；代谢功能不全，线粒体呼吸和糖酵解受到抑制；内质网应激反应信号的上调等。</w:t>
      </w:r>
    </w:p>
    <w:bookmarkEnd w:id="21"/>
    <w:bookmarkStart w:id="22" w:name="耗竭的t细胞是异质性的"/>
    <w:p>
      <w:pPr>
        <w:pStyle w:val="Heading2"/>
      </w:pPr>
      <w:r>
        <w:t xml:space="preserve">2.2 耗竭的T细胞是异质性的</w:t>
      </w:r>
    </w:p>
    <w:p>
      <w:pPr>
        <w:pStyle w:val="FirstParagraph"/>
      </w:pPr>
      <w:r>
        <w:t xml:space="preserve">在T细胞耗竭的发展过程中，CD8 + T细胞逐渐失去效应细胞因子的产生和增殖潜力，并逐渐增加其抑制受体的表达，如PD-1，Tim-3和Lag-3。耗竭的T细胞已被证明是从记忆T细胞的前体发育而来的，并且是一群异质细胞群体。以TCF-1表达为特征的CD8+ T细胞的独特亚群，显示出干细胞样特性，表达高水平的CXCR5和SLAMF6以及TCF-1；它们是PD-1阻断治疗后扩增并逐渐分化为终末耗竭T细胞的主要亚群。然而目前决定T细胞耗竭的分化程序和维持干细胞样表型的潜在机制和激活过程在很大程度上仍然未知。</w:t>
      </w:r>
    </w:p>
    <w:bookmarkEnd w:id="22"/>
    <w:bookmarkStart w:id="23" w:name="环境因素调节t细胞分化和耗竭"/>
    <w:p>
      <w:pPr>
        <w:pStyle w:val="Heading2"/>
      </w:pPr>
      <w:r>
        <w:t xml:space="preserve">2.3 环境因素调节T细胞分化和耗竭</w:t>
      </w:r>
    </w:p>
    <w:bookmarkEnd w:id="23"/>
    <w:bookmarkStart w:id="30" w:name="section"/>
    <w:p>
      <w:pPr>
        <w:pStyle w:val="Heading2"/>
      </w:pPr>
      <w:r>
        <w:t xml:space="preserve">2.4</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2.4.1 肿瘤微环境免疫调节细胞促进T细胞耗竭</w:t>
      </w:r>
    </w:p>
    <w:bookmarkEnd w:id="27"/>
    <w:bookmarkStart w:id="28" w:name="营养缺氧影响t细胞功能"/>
    <w:p>
      <w:pPr>
        <w:pStyle w:val="Heading3"/>
      </w:pPr>
      <w:r>
        <w:t xml:space="preserve">2.4.2 营养缺氧影响T细胞功能</w:t>
      </w:r>
    </w:p>
    <w:bookmarkEnd w:id="28"/>
    <w:bookmarkStart w:id="29" w:name="有害代谢物影响t细胞增殖"/>
    <w:p>
      <w:pPr>
        <w:pStyle w:val="Heading3"/>
      </w:pPr>
      <w:r>
        <w:t xml:space="preserve">2.4.3 有害代谢物影响T细胞增殖</w:t>
      </w:r>
    </w:p>
    <w:bookmarkEnd w:id="29"/>
    <w:bookmarkEnd w:id="30"/>
    <w:bookmarkStart w:id="34" w:name="t细胞耗竭中的表观重编程"/>
    <w:p>
      <w:pPr>
        <w:pStyle w:val="Heading2"/>
      </w:pPr>
      <w:r>
        <w:t xml:space="preserve">2.5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2.6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2.7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2.8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bookmarkStart w:id="49" w:name="赞助我"/>
    <w:p>
      <w:pPr>
        <w:pStyle w:val="Heading1"/>
      </w:pPr>
      <w:r>
        <w:t xml:space="preserve">Appendix A — 赞助我</w:t>
      </w:r>
    </w:p>
    <w:tbl>
      <w:tblPr>
        <w:tblStyle w:val="Table"/>
        <w:tblW w:type="pct" w:w="5000"/>
        <w:tblLook w:firstRow="0" w:lastRow="0" w:firstColumn="0" w:lastColumn="0" w:noHBand="0" w:noVBand="0" w:val="0000"/>
      </w:tblPr>
      <w:tblGrid>
        <w:gridCol w:w="7920"/>
      </w:tblGrid>
      <w:tr>
        <w:tc>
          <w:tcPr/>
          <w:p>
            <w:pPr>
              <w:jc w:val="center"/>
            </w:pPr>
            <w:r>
              <w:drawing>
                <wp:inline>
                  <wp:extent cx="5334000" cy="2252790"/>
                  <wp:effectExtent b="0" l="0" r="0" t="0"/>
                  <wp:docPr descr="" title="" id="47" name="Picture"/>
                  <a:graphic>
                    <a:graphicData uri="http://schemas.openxmlformats.org/drawingml/2006/picture">
                      <pic:pic>
                        <pic:nvPicPr>
                          <pic:cNvPr descr="./images/pay.png" id="48" name="Picture"/>
                          <pic:cNvPicPr>
                            <a:picLocks noChangeArrowheads="1" noChangeAspect="1"/>
                          </pic:cNvPicPr>
                        </pic:nvPicPr>
                        <pic:blipFill>
                          <a:blip r:embed="rId46"/>
                          <a:stretch>
                            <a:fillRect/>
                          </a:stretch>
                        </pic:blipFill>
                        <pic:spPr bwMode="auto">
                          <a:xfrm>
                            <a:off x="0" y="0"/>
                            <a:ext cx="5334000" cy="225279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2022-11-04T14:30:41Z</dcterms:created>
  <dcterms:modified xsi:type="dcterms:W3CDTF">2022-11-04T14:30:41Z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False</vt:lpwstr>
  </property>
  <property fmtid="{D5CDD505-2E9C-101B-9397-08002B2CF9AE}" pid="8" name="crossref">
    <vt:lpwstr/>
  </property>
  <property fmtid="{D5CDD505-2E9C-101B-9397-08002B2CF9AE}" pid="9" name="date">
    <vt:lpwstr>2022/11/3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Contents</vt:lpwstr>
  </property>
  <property fmtid="{D5CDD505-2E9C-101B-9397-08002B2CF9AE}" pid="16" name="website">
    <vt:lpwstr/>
  </property>
</Properties>
</file>