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Supervisor Ready PhD Research Brief</w:t>
      </w:r>
    </w:p>
    <w:p>
      <w:pPr>
        <w:jc w:val="center"/>
      </w:pPr>
      <w:r>
        <w:rPr>
          <w:b/>
          <w:sz w:val="21"/>
        </w:rPr>
        <w:t>When Should Adaptive Network Recovery Be Triggered</w:t>
      </w:r>
    </w:p>
    <w:p>
      <w:pPr>
        <w:jc w:val="center"/>
      </w:pPr>
      <w:r>
        <w:rPr>
          <w:sz w:val="17"/>
        </w:rPr>
        <w:t>Wisam Makki Salim  |  MSc Computer Engineering  |  ORCID 0009-0000-6998-3912</w:t>
      </w:r>
    </w:p>
    <w:p>
      <w:pPr>
        <w:pStyle w:val="Heading1"/>
      </w:pPr>
      <w:r>
        <w:t>Research context</w:t>
      </w:r>
    </w:p>
    <w:p>
      <w:r>
        <w:t>Fast routing control can shorten disruption, but periodic HELLO and topology messages consume wireless capacity and may destabilize service. Prior work already establishes adaptive MANET routing and adaptive HELLO messaging. The practical question here is narrower: when should faster control be active, and at what cost?</w:t>
      </w:r>
    </w:p>
    <w:p>
      <w:pPr>
        <w:pStyle w:val="Heading1"/>
      </w:pPr>
      <w:r>
        <w:t>Research question</w:t>
      </w:r>
    </w:p>
    <w:p>
      <w:r>
        <w:t>Under stable, progressive, abrupt, and repeated disturbances, when does state-triggered OLSR timer adaptation improve packet delivery relative to static OLSR and always-on fast control, and what control and harmful-tail costs accompany any improvement?</w:t>
      </w:r>
    </w:p>
    <w:p>
      <w:pPr>
        <w:pStyle w:val="Heading1"/>
      </w:pPr>
      <w:r>
        <w:t>Existing implementation</w:t>
      </w:r>
    </w:p>
    <w:p>
      <w:r>
        <w:t>The ns-3.47 implementation uses a 16-node wireless ad hoc topology and two UDP flows. B0 uses standard OLSR timers. B1 keeps HELLO at 0.5 s and TC at 1.0 s. B2 applies the same fast timers after a signal or transmission-failure trigger. The v2 study added a repeated-disturbance condition and fixed the disturbed node across mechanisms for each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080"/>
            <w:shd w:fill="193A5A"/>
            <w:vAlign w:val="center"/>
            <w:tcMar>
              <w:top w:w="90" w:type="dxa"/>
              <w:start w:w="100" w:type="dxa"/>
              <w:bottom w:w="90" w:type="dxa"/>
              <w:end w:w="100" w:type="dxa"/>
            </w:tcMar>
          </w:tcPr>
          <w:p>
            <w:pPr>
              <w:jc w:val="center"/>
            </w:pPr>
            <w:r>
              <w:rPr>
                <w:b/>
                <w:color w:val="FFFFFF"/>
                <w:sz w:val="16"/>
              </w:rPr>
              <w:t>Condition</w:t>
            </w:r>
          </w:p>
        </w:tc>
        <w:tc>
          <w:tcPr>
            <w:tcW w:type="dxa" w:w="6840"/>
            <w:shd w:fill="193A5A"/>
            <w:vAlign w:val="center"/>
            <w:tcMar>
              <w:top w:w="90" w:type="dxa"/>
              <w:start w:w="100" w:type="dxa"/>
              <w:bottom w:w="90" w:type="dxa"/>
              <w:end w:w="100" w:type="dxa"/>
            </w:tcMar>
          </w:tcPr>
          <w:p>
            <w:pPr>
              <w:jc w:val="center"/>
            </w:pPr>
            <w:r>
              <w:rPr>
                <w:b/>
                <w:color w:val="FFFFFF"/>
                <w:sz w:val="16"/>
              </w:rPr>
              <w:t>Meaning</w:t>
            </w:r>
          </w:p>
        </w:tc>
        <w:tc>
          <w:tcPr>
            <w:tcW w:type="dxa" w:w="1728"/>
            <w:shd w:fill="193A5A"/>
            <w:vAlign w:val="center"/>
            <w:tcMar>
              <w:top w:w="90" w:type="dxa"/>
              <w:start w:w="100" w:type="dxa"/>
              <w:bottom w:w="90" w:type="dxa"/>
              <w:end w:w="100" w:type="dxa"/>
            </w:tcMar>
          </w:tcPr>
          <w:p>
            <w:pPr>
              <w:jc w:val="center"/>
            </w:pPr>
            <w:r>
              <w:rPr>
                <w:b/>
                <w:color w:val="FFFFFF"/>
                <w:sz w:val="16"/>
              </w:rPr>
              <w:t>Runs per mechanism</w:t>
            </w:r>
          </w:p>
        </w:tc>
      </w:tr>
      <w:tr>
        <w:tc>
          <w:tcPr>
            <w:tcW w:type="dxa" w:w="1080"/>
            <w:vAlign w:val="center"/>
            <w:tcMar>
              <w:top w:w="90" w:type="dxa"/>
              <w:start w:w="100" w:type="dxa"/>
              <w:bottom w:w="90" w:type="dxa"/>
              <w:end w:w="100" w:type="dxa"/>
            </w:tcMar>
          </w:tcPr>
          <w:p>
            <w:pPr>
              <w:jc w:val="left"/>
            </w:pPr>
            <w:r>
              <w:rPr>
                <w:sz w:val="16"/>
              </w:rPr>
              <w:t>A</w:t>
            </w:r>
          </w:p>
        </w:tc>
        <w:tc>
          <w:tcPr>
            <w:tcW w:type="dxa" w:w="6840"/>
            <w:vAlign w:val="center"/>
            <w:tcMar>
              <w:top w:w="90" w:type="dxa"/>
              <w:start w:w="100" w:type="dxa"/>
              <w:bottom w:w="90" w:type="dxa"/>
              <w:end w:w="100" w:type="dxa"/>
            </w:tcMar>
          </w:tcPr>
          <w:p>
            <w:pPr>
              <w:jc w:val="center"/>
            </w:pPr>
            <w:r>
              <w:rPr>
                <w:sz w:val="16"/>
              </w:rPr>
              <w:t>Stable negative control</w:t>
            </w:r>
          </w:p>
        </w:tc>
        <w:tc>
          <w:tcPr>
            <w:tcW w:type="dxa" w:w="1728"/>
            <w:vAlign w:val="center"/>
            <w:tcMar>
              <w:top w:w="90" w:type="dxa"/>
              <w:start w:w="100" w:type="dxa"/>
              <w:bottom w:w="90" w:type="dxa"/>
              <w:end w:w="100" w:type="dxa"/>
            </w:tcMar>
          </w:tcPr>
          <w:p>
            <w:pPr>
              <w:jc w:val="center"/>
            </w:pPr>
            <w:r>
              <w:rPr>
                <w:sz w:val="16"/>
              </w:rPr>
              <w:t>30</w:t>
            </w:r>
          </w:p>
        </w:tc>
      </w:tr>
      <w:tr>
        <w:tc>
          <w:tcPr>
            <w:tcW w:type="dxa" w:w="1080"/>
            <w:shd w:fill="EAF1F7"/>
            <w:vAlign w:val="center"/>
            <w:tcMar>
              <w:top w:w="90" w:type="dxa"/>
              <w:start w:w="100" w:type="dxa"/>
              <w:bottom w:w="90" w:type="dxa"/>
              <w:end w:w="100" w:type="dxa"/>
            </w:tcMar>
          </w:tcPr>
          <w:p>
            <w:pPr>
              <w:jc w:val="left"/>
            </w:pPr>
            <w:r>
              <w:rPr>
                <w:sz w:val="16"/>
              </w:rPr>
              <w:t>B</w:t>
            </w:r>
          </w:p>
        </w:tc>
        <w:tc>
          <w:tcPr>
            <w:tcW w:type="dxa" w:w="6840"/>
            <w:shd w:fill="EAF1F7"/>
            <w:vAlign w:val="center"/>
            <w:tcMar>
              <w:top w:w="90" w:type="dxa"/>
              <w:start w:w="100" w:type="dxa"/>
              <w:bottom w:w="90" w:type="dxa"/>
              <w:end w:w="100" w:type="dxa"/>
            </w:tcMar>
          </w:tcPr>
          <w:p>
            <w:pPr>
              <w:jc w:val="center"/>
            </w:pPr>
            <w:r>
              <w:rPr>
                <w:sz w:val="16"/>
              </w:rPr>
              <w:t>Progressive mobility disturbance</w:t>
            </w:r>
          </w:p>
        </w:tc>
        <w:tc>
          <w:tcPr>
            <w:tcW w:type="dxa" w:w="1728"/>
            <w:shd w:fill="EAF1F7"/>
            <w:vAlign w:val="center"/>
            <w:tcMar>
              <w:top w:w="90" w:type="dxa"/>
              <w:start w:w="100" w:type="dxa"/>
              <w:bottom w:w="90" w:type="dxa"/>
              <w:end w:w="100" w:type="dxa"/>
            </w:tcMar>
          </w:tcPr>
          <w:p>
            <w:pPr>
              <w:jc w:val="center"/>
            </w:pPr>
            <w:r>
              <w:rPr>
                <w:sz w:val="16"/>
              </w:rPr>
              <w:t>30</w:t>
            </w:r>
          </w:p>
        </w:tc>
      </w:tr>
      <w:tr>
        <w:tc>
          <w:tcPr>
            <w:tcW w:type="dxa" w:w="1080"/>
            <w:vAlign w:val="center"/>
            <w:tcMar>
              <w:top w:w="90" w:type="dxa"/>
              <w:start w:w="100" w:type="dxa"/>
              <w:bottom w:w="90" w:type="dxa"/>
              <w:end w:w="100" w:type="dxa"/>
            </w:tcMar>
          </w:tcPr>
          <w:p>
            <w:pPr>
              <w:jc w:val="left"/>
            </w:pPr>
            <w:r>
              <w:rPr>
                <w:sz w:val="16"/>
              </w:rPr>
              <w:t>C</w:t>
            </w:r>
          </w:p>
        </w:tc>
        <w:tc>
          <w:tcPr>
            <w:tcW w:type="dxa" w:w="6840"/>
            <w:vAlign w:val="center"/>
            <w:tcMar>
              <w:top w:w="90" w:type="dxa"/>
              <w:start w:w="100" w:type="dxa"/>
              <w:bottom w:w="90" w:type="dxa"/>
              <w:end w:w="100" w:type="dxa"/>
            </w:tcMar>
          </w:tcPr>
          <w:p>
            <w:pPr>
              <w:jc w:val="center"/>
            </w:pPr>
            <w:r>
              <w:rPr>
                <w:sz w:val="16"/>
              </w:rPr>
              <w:t>Abrupt next-hop radio failure</w:t>
            </w:r>
          </w:p>
        </w:tc>
        <w:tc>
          <w:tcPr>
            <w:tcW w:type="dxa" w:w="1728"/>
            <w:vAlign w:val="center"/>
            <w:tcMar>
              <w:top w:w="90" w:type="dxa"/>
              <w:start w:w="100" w:type="dxa"/>
              <w:bottom w:w="90" w:type="dxa"/>
              <w:end w:w="100" w:type="dxa"/>
            </w:tcMar>
          </w:tcPr>
          <w:p>
            <w:pPr>
              <w:jc w:val="center"/>
            </w:pPr>
            <w:r>
              <w:rPr>
                <w:sz w:val="16"/>
              </w:rPr>
              <w:t>30</w:t>
            </w:r>
          </w:p>
        </w:tc>
      </w:tr>
      <w:tr>
        <w:tc>
          <w:tcPr>
            <w:tcW w:type="dxa" w:w="1080"/>
            <w:shd w:fill="EAF1F7"/>
            <w:vAlign w:val="center"/>
            <w:tcMar>
              <w:top w:w="90" w:type="dxa"/>
              <w:start w:w="100" w:type="dxa"/>
              <w:bottom w:w="90" w:type="dxa"/>
              <w:end w:w="100" w:type="dxa"/>
            </w:tcMar>
          </w:tcPr>
          <w:p>
            <w:pPr>
              <w:jc w:val="left"/>
            </w:pPr>
            <w:r>
              <w:rPr>
                <w:sz w:val="16"/>
              </w:rPr>
              <w:t>D</w:t>
            </w:r>
          </w:p>
        </w:tc>
        <w:tc>
          <w:tcPr>
            <w:tcW w:type="dxa" w:w="6840"/>
            <w:shd w:fill="EAF1F7"/>
            <w:vAlign w:val="center"/>
            <w:tcMar>
              <w:top w:w="90" w:type="dxa"/>
              <w:start w:w="100" w:type="dxa"/>
              <w:bottom w:w="90" w:type="dxa"/>
              <w:end w:w="100" w:type="dxa"/>
            </w:tcMar>
          </w:tcPr>
          <w:p>
            <w:pPr>
              <w:jc w:val="center"/>
            </w:pPr>
            <w:r>
              <w:rPr>
                <w:sz w:val="16"/>
              </w:rPr>
              <w:t>Repeated out-and-back mobility</w:t>
            </w:r>
          </w:p>
        </w:tc>
        <w:tc>
          <w:tcPr>
            <w:tcW w:type="dxa" w:w="1728"/>
            <w:shd w:fill="EAF1F7"/>
            <w:vAlign w:val="center"/>
            <w:tcMar>
              <w:top w:w="90" w:type="dxa"/>
              <w:start w:w="100" w:type="dxa"/>
              <w:bottom w:w="90" w:type="dxa"/>
              <w:end w:w="100" w:type="dxa"/>
            </w:tcMar>
          </w:tcPr>
          <w:p>
            <w:pPr>
              <w:jc w:val="center"/>
            </w:pPr>
            <w:r>
              <w:rPr>
                <w:sz w:val="16"/>
              </w:rPr>
              <w:t>30</w:t>
            </w:r>
          </w:p>
        </w:tc>
      </w:tr>
    </w:tbl>
    <w:p>
      <w:pPr>
        <w:pStyle w:val="Heading1"/>
      </w:pPr>
      <w:r>
        <w:t>Evidence produced</w:t>
      </w:r>
    </w:p>
    <w:p>
      <w:r>
        <w:t>The package contains 360 fresh paired runs, per-run logs, raw and processed tables, deterministic bootstrap intervals, three regenerated figures, and explicit checks for missing rows and disturbance-target mismatches.</w:t>
      </w:r>
    </w:p>
    <w:p>
      <w:r>
        <w:br w:type="page"/>
      </w:r>
    </w:p>
    <w:p>
      <w:pPr>
        <w:pStyle w:val="Heading1"/>
      </w:pPr>
      <w:r>
        <w:t>Verified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1512"/>
            <w:shd w:fill="193A5A"/>
            <w:vAlign w:val="center"/>
            <w:tcMar>
              <w:top w:w="90" w:type="dxa"/>
              <w:start w:w="100" w:type="dxa"/>
              <w:bottom w:w="90" w:type="dxa"/>
              <w:end w:w="100" w:type="dxa"/>
            </w:tcMar>
          </w:tcPr>
          <w:p>
            <w:pPr>
              <w:jc w:val="center"/>
            </w:pPr>
            <w:r>
              <w:rPr>
                <w:b/>
                <w:color w:val="FFFFFF"/>
                <w:sz w:val="15"/>
              </w:rPr>
              <w:t>Condition</w:t>
            </w:r>
          </w:p>
        </w:tc>
        <w:tc>
          <w:tcPr>
            <w:tcW w:type="dxa" w:w="2520"/>
            <w:shd w:fill="193A5A"/>
            <w:vAlign w:val="center"/>
            <w:tcMar>
              <w:top w:w="90" w:type="dxa"/>
              <w:start w:w="100" w:type="dxa"/>
              <w:bottom w:w="90" w:type="dxa"/>
              <w:end w:w="100" w:type="dxa"/>
            </w:tcMar>
          </w:tcPr>
          <w:p>
            <w:pPr>
              <w:jc w:val="center"/>
            </w:pPr>
            <w:r>
              <w:rPr>
                <w:b/>
                <w:color w:val="FFFFFF"/>
                <w:sz w:val="15"/>
              </w:rPr>
              <w:t>Always-on PDR effect</w:t>
            </w:r>
          </w:p>
        </w:tc>
        <w:tc>
          <w:tcPr>
            <w:tcW w:type="dxa" w:w="2520"/>
            <w:shd w:fill="193A5A"/>
            <w:vAlign w:val="center"/>
            <w:tcMar>
              <w:top w:w="90" w:type="dxa"/>
              <w:start w:w="100" w:type="dxa"/>
              <w:bottom w:w="90" w:type="dxa"/>
              <w:end w:w="100" w:type="dxa"/>
            </w:tcMar>
          </w:tcPr>
          <w:p>
            <w:pPr>
              <w:jc w:val="center"/>
            </w:pPr>
            <w:r>
              <w:rPr>
                <w:b/>
                <w:color w:val="FFFFFF"/>
                <w:sz w:val="15"/>
              </w:rPr>
              <w:t>Triggered PDR effect</w:t>
            </w:r>
          </w:p>
        </w:tc>
        <w:tc>
          <w:tcPr>
            <w:tcW w:type="dxa" w:w="1584"/>
            <w:shd w:fill="193A5A"/>
            <w:vAlign w:val="center"/>
            <w:tcMar>
              <w:top w:w="90" w:type="dxa"/>
              <w:start w:w="100" w:type="dxa"/>
              <w:bottom w:w="90" w:type="dxa"/>
              <w:end w:w="100" w:type="dxa"/>
            </w:tcMar>
          </w:tcPr>
          <w:p>
            <w:pPr>
              <w:jc w:val="center"/>
            </w:pPr>
            <w:r>
              <w:rPr>
                <w:b/>
                <w:color w:val="FFFFFF"/>
                <w:sz w:val="15"/>
              </w:rPr>
              <w:t>Always-on cost</w:t>
            </w:r>
          </w:p>
        </w:tc>
        <w:tc>
          <w:tcPr>
            <w:tcW w:type="dxa" w:w="1584"/>
            <w:shd w:fill="193A5A"/>
            <w:vAlign w:val="center"/>
            <w:tcMar>
              <w:top w:w="90" w:type="dxa"/>
              <w:start w:w="100" w:type="dxa"/>
              <w:bottom w:w="90" w:type="dxa"/>
              <w:end w:w="100" w:type="dxa"/>
            </w:tcMar>
          </w:tcPr>
          <w:p>
            <w:pPr>
              <w:jc w:val="center"/>
            </w:pPr>
            <w:r>
              <w:rPr>
                <w:b/>
                <w:color w:val="FFFFFF"/>
                <w:sz w:val="15"/>
              </w:rPr>
              <w:t>Triggered cost</w:t>
            </w:r>
          </w:p>
        </w:tc>
      </w:tr>
      <w:tr>
        <w:tc>
          <w:tcPr>
            <w:tcW w:type="dxa" w:w="1512"/>
            <w:vAlign w:val="center"/>
            <w:tcMar>
              <w:top w:w="90" w:type="dxa"/>
              <w:start w:w="100" w:type="dxa"/>
              <w:bottom w:w="90" w:type="dxa"/>
              <w:end w:w="100" w:type="dxa"/>
            </w:tcMar>
          </w:tcPr>
          <w:p>
            <w:pPr>
              <w:jc w:val="left"/>
            </w:pPr>
            <w:r>
              <w:rPr>
                <w:sz w:val="15"/>
              </w:rPr>
              <w:t>Stable</w:t>
            </w:r>
          </w:p>
        </w:tc>
        <w:tc>
          <w:tcPr>
            <w:tcW w:type="dxa" w:w="2520"/>
            <w:vAlign w:val="center"/>
            <w:tcMar>
              <w:top w:w="90" w:type="dxa"/>
              <w:start w:w="100" w:type="dxa"/>
              <w:bottom w:w="90" w:type="dxa"/>
              <w:end w:w="100" w:type="dxa"/>
            </w:tcMar>
          </w:tcPr>
          <w:p>
            <w:pPr>
              <w:jc w:val="center"/>
            </w:pPr>
            <w:r>
              <w:rPr>
                <w:sz w:val="15"/>
              </w:rPr>
              <w:t>+0.571 [-0.630, +2.312]</w:t>
            </w:r>
          </w:p>
        </w:tc>
        <w:tc>
          <w:tcPr>
            <w:tcW w:type="dxa" w:w="2520"/>
            <w:vAlign w:val="center"/>
            <w:tcMar>
              <w:top w:w="90" w:type="dxa"/>
              <w:start w:w="100" w:type="dxa"/>
              <w:bottom w:w="90" w:type="dxa"/>
              <w:end w:w="100" w:type="dxa"/>
            </w:tcMar>
          </w:tcPr>
          <w:p>
            <w:pPr>
              <w:jc w:val="center"/>
            </w:pPr>
            <w:r>
              <w:rPr>
                <w:sz w:val="15"/>
              </w:rPr>
              <w:t>+0.432 [+0.000, +1.296]</w:t>
            </w:r>
          </w:p>
        </w:tc>
        <w:tc>
          <w:tcPr>
            <w:tcW w:type="dxa" w:w="1584"/>
            <w:vAlign w:val="center"/>
            <w:tcMar>
              <w:top w:w="90" w:type="dxa"/>
              <w:start w:w="100" w:type="dxa"/>
              <w:bottom w:w="90" w:type="dxa"/>
              <w:end w:w="100" w:type="dxa"/>
            </w:tcMar>
          </w:tcPr>
          <w:p>
            <w:pPr>
              <w:jc w:val="center"/>
            </w:pPr>
            <w:r>
              <w:rPr>
                <w:sz w:val="15"/>
              </w:rPr>
              <w:t>+0.05410</w:t>
            </w:r>
          </w:p>
        </w:tc>
        <w:tc>
          <w:tcPr>
            <w:tcW w:type="dxa" w:w="1584"/>
            <w:vAlign w:val="center"/>
            <w:tcMar>
              <w:top w:w="90" w:type="dxa"/>
              <w:start w:w="100" w:type="dxa"/>
              <w:bottom w:w="90" w:type="dxa"/>
              <w:end w:w="100" w:type="dxa"/>
            </w:tcMar>
          </w:tcPr>
          <w:p>
            <w:pPr>
              <w:jc w:val="center"/>
            </w:pPr>
            <w:r>
              <w:rPr>
                <w:sz w:val="15"/>
              </w:rPr>
              <w:t>+0.00004</w:t>
            </w:r>
          </w:p>
        </w:tc>
      </w:tr>
      <w:tr>
        <w:tc>
          <w:tcPr>
            <w:tcW w:type="dxa" w:w="1512"/>
            <w:shd w:fill="EAF1F7"/>
            <w:vAlign w:val="center"/>
            <w:tcMar>
              <w:top w:w="90" w:type="dxa"/>
              <w:start w:w="100" w:type="dxa"/>
              <w:bottom w:w="90" w:type="dxa"/>
              <w:end w:w="100" w:type="dxa"/>
            </w:tcMar>
          </w:tcPr>
          <w:p>
            <w:pPr>
              <w:jc w:val="left"/>
            </w:pPr>
            <w:r>
              <w:rPr>
                <w:sz w:val="15"/>
              </w:rPr>
              <w:t>Progressive</w:t>
            </w:r>
          </w:p>
        </w:tc>
        <w:tc>
          <w:tcPr>
            <w:tcW w:type="dxa" w:w="2520"/>
            <w:shd w:fill="EAF1F7"/>
            <w:vAlign w:val="center"/>
            <w:tcMar>
              <w:top w:w="90" w:type="dxa"/>
              <w:start w:w="100" w:type="dxa"/>
              <w:bottom w:w="90" w:type="dxa"/>
              <w:end w:w="100" w:type="dxa"/>
            </w:tcMar>
          </w:tcPr>
          <w:p>
            <w:pPr>
              <w:jc w:val="center"/>
            </w:pPr>
            <w:r>
              <w:rPr>
                <w:sz w:val="15"/>
              </w:rPr>
              <w:t>+1.591 [+1.214, +1.971]</w:t>
            </w:r>
          </w:p>
        </w:tc>
        <w:tc>
          <w:tcPr>
            <w:tcW w:type="dxa" w:w="2520"/>
            <w:shd w:fill="EAF1F7"/>
            <w:vAlign w:val="center"/>
            <w:tcMar>
              <w:top w:w="90" w:type="dxa"/>
              <w:start w:w="100" w:type="dxa"/>
              <w:bottom w:w="90" w:type="dxa"/>
              <w:end w:w="100" w:type="dxa"/>
            </w:tcMar>
          </w:tcPr>
          <w:p>
            <w:pPr>
              <w:jc w:val="center"/>
            </w:pPr>
            <w:r>
              <w:rPr>
                <w:sz w:val="15"/>
              </w:rPr>
              <w:t>+0.108 [-0.069, +0.320]</w:t>
            </w:r>
          </w:p>
        </w:tc>
        <w:tc>
          <w:tcPr>
            <w:tcW w:type="dxa" w:w="1584"/>
            <w:shd w:fill="EAF1F7"/>
            <w:vAlign w:val="center"/>
            <w:tcMar>
              <w:top w:w="90" w:type="dxa"/>
              <w:start w:w="100" w:type="dxa"/>
              <w:bottom w:w="90" w:type="dxa"/>
              <w:end w:w="100" w:type="dxa"/>
            </w:tcMar>
          </w:tcPr>
          <w:p>
            <w:pPr>
              <w:jc w:val="center"/>
            </w:pPr>
            <w:r>
              <w:rPr>
                <w:sz w:val="15"/>
              </w:rPr>
              <w:t>+0.05305</w:t>
            </w:r>
          </w:p>
        </w:tc>
        <w:tc>
          <w:tcPr>
            <w:tcW w:type="dxa" w:w="1584"/>
            <w:shd w:fill="EAF1F7"/>
            <w:vAlign w:val="center"/>
            <w:tcMar>
              <w:top w:w="90" w:type="dxa"/>
              <w:start w:w="100" w:type="dxa"/>
              <w:bottom w:w="90" w:type="dxa"/>
              <w:end w:w="100" w:type="dxa"/>
            </w:tcMar>
          </w:tcPr>
          <w:p>
            <w:pPr>
              <w:jc w:val="center"/>
            </w:pPr>
            <w:r>
              <w:rPr>
                <w:sz w:val="15"/>
              </w:rPr>
              <w:t>+0.00307</w:t>
            </w:r>
          </w:p>
        </w:tc>
      </w:tr>
      <w:tr>
        <w:tc>
          <w:tcPr>
            <w:tcW w:type="dxa" w:w="1512"/>
            <w:vAlign w:val="center"/>
            <w:tcMar>
              <w:top w:w="90" w:type="dxa"/>
              <w:start w:w="100" w:type="dxa"/>
              <w:bottom w:w="90" w:type="dxa"/>
              <w:end w:w="100" w:type="dxa"/>
            </w:tcMar>
          </w:tcPr>
          <w:p>
            <w:pPr>
              <w:jc w:val="left"/>
            </w:pPr>
            <w:r>
              <w:rPr>
                <w:sz w:val="15"/>
              </w:rPr>
              <w:t>Failure</w:t>
            </w:r>
          </w:p>
        </w:tc>
        <w:tc>
          <w:tcPr>
            <w:tcW w:type="dxa" w:w="2520"/>
            <w:vAlign w:val="center"/>
            <w:tcMar>
              <w:top w:w="90" w:type="dxa"/>
              <w:start w:w="100" w:type="dxa"/>
              <w:bottom w:w="90" w:type="dxa"/>
              <w:end w:w="100" w:type="dxa"/>
            </w:tcMar>
          </w:tcPr>
          <w:p>
            <w:pPr>
              <w:jc w:val="center"/>
            </w:pPr>
            <w:r>
              <w:rPr>
                <w:sz w:val="15"/>
              </w:rPr>
              <w:t>+1.453 [+1.055, +1.796]</w:t>
            </w:r>
          </w:p>
        </w:tc>
        <w:tc>
          <w:tcPr>
            <w:tcW w:type="dxa" w:w="2520"/>
            <w:vAlign w:val="center"/>
            <w:tcMar>
              <w:top w:w="90" w:type="dxa"/>
              <w:start w:w="100" w:type="dxa"/>
              <w:bottom w:w="90" w:type="dxa"/>
              <w:end w:w="100" w:type="dxa"/>
            </w:tcMar>
          </w:tcPr>
          <w:p>
            <w:pPr>
              <w:jc w:val="center"/>
            </w:pPr>
            <w:r>
              <w:rPr>
                <w:sz w:val="15"/>
              </w:rPr>
              <w:t>-0.117 [-0.279, +0.010]</w:t>
            </w:r>
          </w:p>
        </w:tc>
        <w:tc>
          <w:tcPr>
            <w:tcW w:type="dxa" w:w="1584"/>
            <w:vAlign w:val="center"/>
            <w:tcMar>
              <w:top w:w="90" w:type="dxa"/>
              <w:start w:w="100" w:type="dxa"/>
              <w:bottom w:w="90" w:type="dxa"/>
              <w:end w:w="100" w:type="dxa"/>
            </w:tcMar>
          </w:tcPr>
          <w:p>
            <w:pPr>
              <w:jc w:val="center"/>
            </w:pPr>
            <w:r>
              <w:rPr>
                <w:sz w:val="15"/>
              </w:rPr>
              <w:t>+0.05043</w:t>
            </w:r>
          </w:p>
        </w:tc>
        <w:tc>
          <w:tcPr>
            <w:tcW w:type="dxa" w:w="1584"/>
            <w:vAlign w:val="center"/>
            <w:tcMar>
              <w:top w:w="90" w:type="dxa"/>
              <w:start w:w="100" w:type="dxa"/>
              <w:bottom w:w="90" w:type="dxa"/>
              <w:end w:w="100" w:type="dxa"/>
            </w:tcMar>
          </w:tcPr>
          <w:p>
            <w:pPr>
              <w:jc w:val="center"/>
            </w:pPr>
            <w:r>
              <w:rPr>
                <w:sz w:val="15"/>
              </w:rPr>
              <w:t>+0.00111</w:t>
            </w:r>
          </w:p>
        </w:tc>
      </w:tr>
      <w:tr>
        <w:tc>
          <w:tcPr>
            <w:tcW w:type="dxa" w:w="1512"/>
            <w:shd w:fill="EAF1F7"/>
            <w:vAlign w:val="center"/>
            <w:tcMar>
              <w:top w:w="90" w:type="dxa"/>
              <w:start w:w="100" w:type="dxa"/>
              <w:bottom w:w="90" w:type="dxa"/>
              <w:end w:w="100" w:type="dxa"/>
            </w:tcMar>
          </w:tcPr>
          <w:p>
            <w:pPr>
              <w:jc w:val="left"/>
            </w:pPr>
            <w:r>
              <w:rPr>
                <w:sz w:val="15"/>
              </w:rPr>
              <w:t>Repeated</w:t>
            </w:r>
          </w:p>
        </w:tc>
        <w:tc>
          <w:tcPr>
            <w:tcW w:type="dxa" w:w="2520"/>
            <w:shd w:fill="EAF1F7"/>
            <w:vAlign w:val="center"/>
            <w:tcMar>
              <w:top w:w="90" w:type="dxa"/>
              <w:start w:w="100" w:type="dxa"/>
              <w:bottom w:w="90" w:type="dxa"/>
              <w:end w:w="100" w:type="dxa"/>
            </w:tcMar>
          </w:tcPr>
          <w:p>
            <w:pPr>
              <w:jc w:val="center"/>
            </w:pPr>
            <w:r>
              <w:rPr>
                <w:sz w:val="15"/>
              </w:rPr>
              <w:t>+3.392 [+2.736, +4.049]</w:t>
            </w:r>
          </w:p>
        </w:tc>
        <w:tc>
          <w:tcPr>
            <w:tcW w:type="dxa" w:w="2520"/>
            <w:shd w:fill="EAF1F7"/>
            <w:vAlign w:val="center"/>
            <w:tcMar>
              <w:top w:w="90" w:type="dxa"/>
              <w:start w:w="100" w:type="dxa"/>
              <w:bottom w:w="90" w:type="dxa"/>
              <w:end w:w="100" w:type="dxa"/>
            </w:tcMar>
          </w:tcPr>
          <w:p>
            <w:pPr>
              <w:jc w:val="center"/>
            </w:pPr>
            <w:r>
              <w:rPr>
                <w:sz w:val="15"/>
              </w:rPr>
              <w:t>+0.404 [-0.261, +1.055]</w:t>
            </w:r>
          </w:p>
        </w:tc>
        <w:tc>
          <w:tcPr>
            <w:tcW w:type="dxa" w:w="1584"/>
            <w:shd w:fill="EAF1F7"/>
            <w:vAlign w:val="center"/>
            <w:tcMar>
              <w:top w:w="90" w:type="dxa"/>
              <w:start w:w="100" w:type="dxa"/>
              <w:bottom w:w="90" w:type="dxa"/>
              <w:end w:w="100" w:type="dxa"/>
            </w:tcMar>
          </w:tcPr>
          <w:p>
            <w:pPr>
              <w:jc w:val="center"/>
            </w:pPr>
            <w:r>
              <w:rPr>
                <w:sz w:val="15"/>
              </w:rPr>
              <w:t>+0.05357</w:t>
            </w:r>
          </w:p>
        </w:tc>
        <w:tc>
          <w:tcPr>
            <w:tcW w:type="dxa" w:w="1584"/>
            <w:shd w:fill="EAF1F7"/>
            <w:vAlign w:val="center"/>
            <w:tcMar>
              <w:top w:w="90" w:type="dxa"/>
              <w:start w:w="100" w:type="dxa"/>
              <w:bottom w:w="90" w:type="dxa"/>
              <w:end w:w="100" w:type="dxa"/>
            </w:tcMar>
          </w:tcPr>
          <w:p>
            <w:pPr>
              <w:jc w:val="center"/>
            </w:pPr>
            <w:r>
              <w:rPr>
                <w:sz w:val="15"/>
              </w:rPr>
              <w:t>+0.00378</w:t>
            </w:r>
          </w:p>
        </w:tc>
      </w:tr>
    </w:tbl>
    <w:p>
      <w:r>
        <w:rPr>
          <w:b/>
        </w:rPr>
        <w:t>Reading the table.</w:t>
      </w:r>
      <w:r>
        <w:t xml:space="preserve"> PDR effects are paired mean percentage-point differences from static OLSR with 95% percentile-bootstrap intervals. Cost is normalized OLSR control bytes per delivered payload byte.</w:t>
      </w:r>
    </w:p>
    <w:p>
      <w:pPr>
        <w:keepNext/>
        <w:jc w:val="center"/>
      </w:pPr>
      <w:r>
        <w:drawing>
          <wp:inline xmlns:a="http://schemas.openxmlformats.org/drawingml/2006/main" xmlns:pic="http://schemas.openxmlformats.org/drawingml/2006/picture">
            <wp:extent cx="4892040" cy="3373269"/>
            <wp:docPr id="1" name="Picture 1"/>
            <wp:cNvGraphicFramePr>
              <a:graphicFrameLocks noChangeAspect="1"/>
            </wp:cNvGraphicFramePr>
            <a:graphic>
              <a:graphicData uri="http://schemas.openxmlformats.org/drawingml/2006/picture">
                <pic:pic>
                  <pic:nvPicPr>
                    <pic:cNvPr id="0" name="v2_benefit_cost_tradeoff.png"/>
                    <pic:cNvPicPr/>
                  </pic:nvPicPr>
                  <pic:blipFill>
                    <a:blip r:embed="rId10"/>
                    <a:stretch>
                      <a:fillRect/>
                    </a:stretch>
                  </pic:blipFill>
                  <pic:spPr>
                    <a:xfrm>
                      <a:off x="0" y="0"/>
                      <a:ext cx="4892040" cy="3373269"/>
                    </a:xfrm>
                    <a:prstGeom prst="rect"/>
                  </pic:spPr>
                </pic:pic>
              </a:graphicData>
            </a:graphic>
          </wp:inline>
        </w:drawing>
      </w:r>
    </w:p>
    <w:p>
      <w:pPr>
        <w:spacing w:after="80"/>
        <w:jc w:val="center"/>
      </w:pPr>
      <w:r>
        <w:rPr>
          <w:i/>
          <w:sz w:val="16"/>
        </w:rPr>
        <w:t>Figure 1  Mean delivery effect and normalized control cost relative to static OLSR. Error bars show 95% paired bootstrap intervals.</w:t>
      </w:r>
    </w:p>
    <w:p>
      <w:pPr>
        <w:pStyle w:val="Heading1"/>
      </w:pPr>
      <w:r>
        <w:t>Interpretation and limitations</w:t>
      </w:r>
    </w:p>
    <w:p>
      <w:r>
        <w:t>Always-on fast control improves mean delivery in all three disturbance conditions, but adds a large and consistent control cost and raises p95 delay in most runs. The locked triggered rule does not reproduce that benefit reliably. It also triggers in 3 of 30 stable runs, so the 20-event threshold is not validated. One topology family, two flows, deterministic path loss, and an aggregate recovery definition limit generalization.</w:t>
      </w:r>
    </w:p>
    <w:p>
      <w:pPr>
        <w:pStyle w:val="Heading1"/>
      </w:pPr>
      <w:r>
        <w:t>Proposed doctoral extension</w:t>
      </w:r>
    </w:p>
    <w:p>
      <w:r>
        <w:t>The next step is a guarded trigger and exit policy that combines route state with channel-load evidence, caps reactive duration, and treats worst-flow harm as a constraint. Confirmation requires fresh development and evaluation seeds, several topology and mobility families, heterogeneous traffic, and selected testbed checks.</w:t>
      </w:r>
    </w:p>
    <w:p>
      <w:pPr>
        <w:pStyle w:val="Heading1"/>
      </w:pPr>
      <w:r>
        <w:t>Repository and feasibility</w:t>
      </w:r>
    </w:p>
    <w:p>
      <w:r>
        <w:t>Repository: https://github.com/wisam-makki-salim/adaptive-routing-resilience-ns3-pilot. The work is suitable for an externally conducted doctorate because simulation, analysis, and documentation can be performed remotely; short visits could support design review and physical validation. Any formal arrangement remains subject to the supervisor and university regulations.</w:t>
      </w:r>
    </w:p>
    <w:sectPr w:rsidR="00FC693F" w:rsidRPr="0006063C" w:rsidSect="00034616">
      <w:footerReference w:type="default" r:id="rId9"/>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Wisam Makki Salim  |  Pilot Study v2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Ready PhD Research Brief</dc:title>
  <dc:subject>Adaptive OLSR resilience and control cost pilot study</dc:subject>
  <dc:creator>Wisam Makki Salim</dc:creator>
  <cp:keywords>adaptive routing; network resilience; OLSR; ns-3</cp:keywords>
  <dc:description/>
  <cp:lastModifiedBy>Wisam Makki Salim</cp:lastModifiedBy>
  <cp:revision>1</cp:revision>
  <dcterms:created xsi:type="dcterms:W3CDTF">2026-10-22T00:00:00Z</dcterms:created>
  <dcterms:modified xsi:type="dcterms:W3CDTF">2026-10-22T00:00:00Z</dcterms:modified>
  <cp:category/>
</cp:coreProperties>
</file>