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 Economics Methods - Incremental Costs</w:t>
      </w:r>
    </w:p>
    <w:p>
      <w:pPr>
        <w:pStyle w:val="Subtitle"/>
      </w:pPr>
      <w:r>
        <w:t xml:space="preserve">Gaussian(identity), Gaussian(loglink), Gamma, and Zero-Inflated Gamma (Poisson-Gamma)</w:t>
      </w:r>
    </w:p>
    <w:p>
      <w:pPr>
        <w:pStyle w:val="Author"/>
      </w:pPr>
      <w:r>
        <w:t xml:space="preserve">Anonymous Institute</w:t>
      </w:r>
      <w:r>
        <w:br/>
      </w:r>
      <w:r>
        <w:t xml:space="preserve">Anonymous1, Anonymous2</w:t>
      </w:r>
    </w:p>
    <w:p>
      <w:pPr>
        <w:pStyle w:val="Date"/>
      </w:pPr>
      <w:r>
        <w:br/>
      </w:r>
      <w:r>
        <w:t xml:space="preserve">Edited: 2026-03-25, Executed: 2026-03-26</w:t>
      </w:r>
    </w:p>
    <w:bookmarkStart w:id="20" w:name="conventions-and-packages"/>
    <w:p>
      <w:pPr>
        <w:pStyle w:val="Heading2"/>
      </w:pPr>
      <w:r>
        <w:t xml:space="preserve">Conventions and Packages</w:t>
      </w:r>
    </w:p>
    <w:p>
      <w:pPr>
        <w:pStyle w:val="FirstParagraph"/>
      </w:pPr>
      <w:r>
        <w:t xml:space="preserve">Due to naming conventions that restrict the use of a variable named group, phase is used for intervention and control groups. To benefit from its more robust step-halving approach and thus improved convergence. glm2::glm2() is used as a drop-in replacement for the generic stats::glm(). A 2nd regression fit with valid starting points is always performed, so as to overcome known failures of glm() and glm2() in determining initial parameter estimates, especially for the log-link. Two additional regression fits are always performed using mgcv::bam() and glmmTMB::glmmTMB() as alternative implementations from different packages. Finally, the best fit, defined as the one with the minimum AIC, is returned and analyzed.</w:t>
      </w:r>
    </w:p>
    <w:bookmarkEnd w:id="20"/>
    <w:bookmarkStart w:id="28" w:name="scenario"/>
    <w:p>
      <w:pPr>
        <w:pStyle w:val="Heading2"/>
      </w:pPr>
      <w:r>
        <w:t xml:space="preserve">Scenario</w:t>
      </w:r>
    </w:p>
    <w:bookmarkStart w:id="21" w:name="population"/>
    <w:p>
      <w:pPr>
        <w:pStyle w:val="Heading3"/>
      </w:pPr>
      <w:r>
        <w:t xml:space="preserve">Population</w:t>
      </w:r>
    </w:p>
    <w:p>
      <w:pPr>
        <w:pStyle w:val="FirstParagraph"/>
      </w:pPr>
      <w:r>
        <w:t xml:space="preserve">Study population N = 250, 500, 1000, 2000, with age uniformly distributed between 50 and 80 years</w:t>
      </w:r>
    </w:p>
    <w:bookmarkEnd w:id="21"/>
    <w:bookmarkStart w:id="22" w:name="intervention"/>
    <w:p>
      <w:pPr>
        <w:pStyle w:val="Heading3"/>
      </w:pPr>
      <w:r>
        <w:t xml:space="preserve">Intervention</w:t>
      </w:r>
    </w:p>
    <w:p>
      <w:pPr>
        <w:pStyle w:val="FirstParagraph"/>
      </w:pPr>
      <w:r>
        <w:t xml:space="preserve">Tele-consultations for timely identification of patients that require hospitalization</w:t>
      </w:r>
    </w:p>
    <w:bookmarkEnd w:id="22"/>
    <w:bookmarkStart w:id="23" w:name="control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Standard care</w:t>
      </w:r>
    </w:p>
    <w:bookmarkEnd w:id="23"/>
    <w:bookmarkStart w:id="24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Hospitalization costs, during a fixed follow-up period of 1 year(s)</w:t>
      </w:r>
    </w:p>
    <w:bookmarkEnd w:id="24"/>
    <w:bookmarkStart w:id="25" w:name="modeled-hypothesis"/>
    <w:p>
      <w:pPr>
        <w:pStyle w:val="Heading3"/>
      </w:pPr>
      <w:r>
        <w:t xml:space="preserve">Modeled Hypothesis</w:t>
      </w:r>
    </w:p>
    <w:p>
      <w:pPr>
        <w:pStyle w:val="FirstParagraph"/>
      </w:pPr>
      <w:r>
        <w:t xml:space="preserve">More patients will be hospitalized during the follow-up period, but at a lower cost for each hospitalization.</w:t>
      </w:r>
    </w:p>
    <w:bookmarkEnd w:id="25"/>
    <w:bookmarkStart w:id="26" w:name="model-parameters"/>
    <w:p>
      <w:pPr>
        <w:pStyle w:val="Heading3"/>
      </w:pPr>
      <w:r>
        <w:t xml:space="preserve">Model Parameters</w:t>
      </w:r>
    </w:p>
    <w:p>
      <w:pPr>
        <w:pStyle w:val="FirstParagraph"/>
      </w:pPr>
      <w:r>
        <w:t xml:space="preserve">Hospitalization rates of 0.1 and 0.15 per year, in control and intervention, respectively, growing linearly with age, i.e., multiplied by age/50.</w:t>
      </w:r>
    </w:p>
    <w:p>
      <w:pPr>
        <w:pStyle w:val="BodyText"/>
      </w:pPr>
      <w:r>
        <w:t xml:space="preserve">Gamma distribution for hospitalization costs per event, with mean of 9000 EUR for control and 5000 EUR for intervention.</w:t>
      </w:r>
    </w:p>
    <w:p>
      <w:pPr>
        <w:pStyle w:val="BodyText"/>
      </w:pPr>
      <w:r>
        <w:t xml:space="preserve">Standard deviation of hospitalization costs per event of 2000 EUR, in either arm.</w:t>
      </w:r>
    </w:p>
    <w:p>
      <w:pPr>
        <w:pStyle w:val="BodyText"/>
      </w:pPr>
      <w:r>
        <w:t xml:space="preserve">All non-hospitalized patients incur zero cost.</w:t>
      </w:r>
    </w:p>
    <w:p>
      <w:pPr>
        <w:pStyle w:val="BodyText"/>
      </w:pPr>
      <w:r>
        <w:t xml:space="preserve">Positive costs are computed from the non-negative costs by adding 0.01 EUR.</w:t>
      </w:r>
    </w:p>
    <w:p>
      <w:pPr>
        <w:pStyle w:val="BodyText"/>
      </w:pPr>
      <w:r>
        <w:t xml:space="preserve">For the first scenario, an index infection is assumed to confer immunity to the participant, at least for the duration of the follow-up, so that the probability of a single hospitalization event is given by the product of the appropriate rate and the follow-up period. For the second scenario, the number of hospitalizations per patient is sampled from a Poisson distribution with the appropriate rate, so that (some) patients will experience more than one hospitalization within the follow-up period.</w:t>
      </w:r>
    </w:p>
    <w:bookmarkEnd w:id="26"/>
    <w:bookmarkStart w:id="27" w:name="true-outcome"/>
    <w:p>
      <w:pPr>
        <w:pStyle w:val="Heading3"/>
      </w:pPr>
      <w:r>
        <w:t xml:space="preserve">True Outcome</w:t>
      </w:r>
    </w:p>
    <w:p>
      <w:pPr>
        <w:pStyle w:val="FirstParagraph"/>
      </w:pPr>
      <w:r>
        <w:t xml:space="preserve">Expected difference in cost from true population values: -195 EUR, excluding cost of intervention which is not modeled.</w:t>
      </w:r>
    </w:p>
    <w:bookmarkEnd w:id="27"/>
    <w:bookmarkEnd w:id="28"/>
    <w:bookmarkStart w:id="32" w:name="simulation-results"/>
    <w:p>
      <w:pPr>
        <w:pStyle w:val="Heading2"/>
      </w:pPr>
      <w:r>
        <w:t xml:space="preserve">Simulation Results</w:t>
      </w:r>
    </w:p>
    <w:p>
      <w:pPr>
        <w:pStyle w:val="FirstParagraph"/>
      </w:pPr>
      <w:r>
        <w:t xml:space="preserve">Within each simulation run, one random sample is created and analyzed by all implemented methods.</w:t>
      </w:r>
    </w:p>
    <w:p>
      <w:pPr>
        <w:pStyle w:val="BodyText"/>
      </w:pPr>
      <w:r>
        <w:drawing>
          <wp:inline>
            <wp:extent cx="5334000" cy="37337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S1: Bias, Mean Absolute Error (MAE), Root Mean Square Error (RMSE), in EUR, single-event scenario, 20000 simulations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040"/>
        <w:gridCol w:w="2096"/>
        <w:gridCol w:w="1592"/>
        <w:gridCol w:w="1279"/>
        <w:gridCol w:w="2779"/>
      </w:tblGrid>
      <w:tr>
        <w:trPr>
          <w:trHeight w:val="62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Gauss(identity)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Gauss(log)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Zero-Inflated Gamma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607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273.16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289.97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282.28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274.21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192.38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135.15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342.99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369.35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354.36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344.33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240.44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169.13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119.93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S2: Bias, Mean Absolute Error (MAE), Root Mean Square Error (RMSE), in EUR, multi-event scenario, 20000 simulations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040"/>
        <w:gridCol w:w="2096"/>
        <w:gridCol w:w="1592"/>
        <w:gridCol w:w="1279"/>
        <w:gridCol w:w="2779"/>
      </w:tblGrid>
      <w:tr>
        <w:trPr>
          <w:trHeight w:val="62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Gauss(identity)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Gauss(log)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Zero-Inflated Gamma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</w:tr>
      <w:tr>
        <w:trPr>
          <w:trHeight w:val="607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314.34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302.88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296.54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145.67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103.72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366.70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401.09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380.18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488.97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182.27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129.98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</w:tbl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Economics Methods - Incremental Costs</dc:title>
  <dc:creator>Anonymous Institute Anonymous1, Anonymous2</dc:creator>
  <cp:keywords/>
  <dcterms:created xsi:type="dcterms:W3CDTF">2026-03-26T08:09:32Z</dcterms:created>
  <dcterms:modified xsi:type="dcterms:W3CDTF">2026-03-26T08:09:32Z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 Edited: 2026-03-25, Executed: 2026-03-26</vt:lpwstr>
  </property>
  <property fmtid="{D5CDD505-2E9C-101B-9397-08002B2CF9AE}" pid="3" name="output">
    <vt:lpwstr>word_document</vt:lpwstr>
  </property>
  <property fmtid="{D5CDD505-2E9C-101B-9397-08002B2CF9AE}" pid="4" name="subtitle">
    <vt:lpwstr>Gaussian(identity), Gaussian(loglink), Gamma, and Zero-Inflated Gamma (Poisson-Gamma)</vt:lpwstr>
  </property>
</Properties>
</file>