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75" w:rsidRDefault="00666675" w:rsidP="00666675">
      <w:pPr>
        <w:pStyle w:val="Default"/>
        <w:jc w:val="right"/>
        <w:rPr>
          <w:rFonts w:asciiTheme="minorHAnsi" w:hAnsiTheme="minorHAnsi" w:cstheme="minorHAnsi"/>
        </w:rPr>
      </w:pPr>
      <w:r>
        <w:rPr>
          <w:rFonts w:asciiTheme="minorHAnsi" w:hAnsiTheme="minorHAnsi" w:cstheme="minorHAnsi"/>
        </w:rPr>
        <w:t>Daniel Prusinski</w:t>
      </w:r>
    </w:p>
    <w:p w:rsidR="00666675" w:rsidRDefault="00666675" w:rsidP="00666675">
      <w:pPr>
        <w:pStyle w:val="Default"/>
        <w:jc w:val="right"/>
        <w:rPr>
          <w:rFonts w:asciiTheme="minorHAnsi" w:hAnsiTheme="minorHAnsi" w:cstheme="minorHAnsi"/>
        </w:rPr>
      </w:pPr>
      <w:r>
        <w:rPr>
          <w:rFonts w:asciiTheme="minorHAnsi" w:hAnsiTheme="minorHAnsi" w:cstheme="minorHAnsi"/>
        </w:rPr>
        <w:t>Predict 412</w:t>
      </w:r>
    </w:p>
    <w:p w:rsidR="00666675" w:rsidRDefault="00666675" w:rsidP="00666675">
      <w:pPr>
        <w:pStyle w:val="Default"/>
        <w:spacing w:line="480" w:lineRule="auto"/>
        <w:jc w:val="center"/>
        <w:rPr>
          <w:rFonts w:asciiTheme="minorHAnsi" w:hAnsiTheme="minorHAnsi" w:cstheme="minorHAnsi"/>
        </w:rPr>
      </w:pPr>
      <w:r w:rsidRPr="00666675">
        <w:rPr>
          <w:rFonts w:asciiTheme="minorHAnsi" w:hAnsiTheme="minorHAnsi" w:cstheme="minorHAnsi"/>
          <w:u w:val="single"/>
        </w:rPr>
        <w:t>Programming Assignment 3: Classification Models</w:t>
      </w:r>
    </w:p>
    <w:p w:rsidR="00666675" w:rsidRDefault="00666675" w:rsidP="00666675">
      <w:pPr>
        <w:pStyle w:val="Default"/>
        <w:spacing w:line="480" w:lineRule="auto"/>
        <w:rPr>
          <w:rFonts w:asciiTheme="minorHAnsi" w:hAnsiTheme="minorHAnsi" w:cstheme="minorHAnsi"/>
        </w:rPr>
      </w:pPr>
      <w:r>
        <w:rPr>
          <w:rFonts w:asciiTheme="minorHAnsi" w:hAnsiTheme="minorHAnsi" w:cstheme="minorHAnsi"/>
        </w:rPr>
        <w:tab/>
        <w:t>A famous saying states that the only certainties in life are death and taxes. Since the age of email, one cou</w:t>
      </w:r>
      <w:r w:rsidR="00F51576">
        <w:rPr>
          <w:rFonts w:asciiTheme="minorHAnsi" w:hAnsiTheme="minorHAnsi" w:cstheme="minorHAnsi"/>
        </w:rPr>
        <w:t>ld amend the saying as follows</w:t>
      </w:r>
      <w:r>
        <w:rPr>
          <w:rFonts w:asciiTheme="minorHAnsi" w:hAnsiTheme="minorHAnsi" w:cstheme="minorHAnsi"/>
        </w:rPr>
        <w:t>;</w:t>
      </w:r>
      <w:r w:rsidRPr="00666675">
        <w:rPr>
          <w:rFonts w:asciiTheme="minorHAnsi" w:hAnsiTheme="minorHAnsi" w:cstheme="minorHAnsi"/>
        </w:rPr>
        <w:t xml:space="preserve"> </w:t>
      </w:r>
      <w:r>
        <w:rPr>
          <w:rFonts w:asciiTheme="minorHAnsi" w:hAnsiTheme="minorHAnsi" w:cstheme="minorHAnsi"/>
        </w:rPr>
        <w:t xml:space="preserve">the only certainties in life are death, taxes, and spam. Thankfully, email providers like Google and Yahoo employ classification algorithms to aid in reducing unwanted spam email. </w:t>
      </w:r>
    </w:p>
    <w:p w:rsidR="00490DA4" w:rsidRDefault="00666675" w:rsidP="00666675">
      <w:pPr>
        <w:pStyle w:val="Default"/>
        <w:spacing w:line="480" w:lineRule="auto"/>
        <w:rPr>
          <w:rFonts w:asciiTheme="minorHAnsi" w:hAnsiTheme="minorHAnsi" w:cstheme="minorHAnsi"/>
        </w:rPr>
      </w:pPr>
      <w:r>
        <w:rPr>
          <w:rFonts w:asciiTheme="minorHAnsi" w:hAnsiTheme="minorHAnsi" w:cstheme="minorHAnsi"/>
        </w:rPr>
        <w:tab/>
        <w:t>The following exploratory da</w:t>
      </w:r>
      <w:r w:rsidR="00E949F3">
        <w:rPr>
          <w:rFonts w:asciiTheme="minorHAnsi" w:hAnsiTheme="minorHAnsi" w:cstheme="minorHAnsi"/>
        </w:rPr>
        <w:t xml:space="preserve">ta analysis (EDA) employs various classification methods on the </w:t>
      </w:r>
      <w:proofErr w:type="spellStart"/>
      <w:r w:rsidR="00E949F3">
        <w:rPr>
          <w:rFonts w:asciiTheme="minorHAnsi" w:hAnsiTheme="minorHAnsi" w:cstheme="minorHAnsi"/>
        </w:rPr>
        <w:t>Spambase</w:t>
      </w:r>
      <w:proofErr w:type="spellEnd"/>
      <w:r w:rsidR="00E949F3">
        <w:rPr>
          <w:rFonts w:asciiTheme="minorHAnsi" w:hAnsiTheme="minorHAnsi" w:cstheme="minorHAnsi"/>
        </w:rPr>
        <w:t xml:space="preserve"> dataset. All outputs, graphs, and visualizations are found within Appendix 1.  Within the </w:t>
      </w:r>
      <w:proofErr w:type="spellStart"/>
      <w:r w:rsidR="00E949F3">
        <w:rPr>
          <w:rFonts w:asciiTheme="minorHAnsi" w:hAnsiTheme="minorHAnsi" w:cstheme="minorHAnsi"/>
        </w:rPr>
        <w:t>Spambase</w:t>
      </w:r>
      <w:proofErr w:type="spellEnd"/>
      <w:r w:rsidR="00E949F3">
        <w:rPr>
          <w:rFonts w:asciiTheme="minorHAnsi" w:hAnsiTheme="minorHAnsi" w:cstheme="minorHAnsi"/>
        </w:rPr>
        <w:t xml:space="preserve"> dataset, there are 4,601 observations and </w:t>
      </w:r>
      <w:r w:rsidR="00490DA4">
        <w:rPr>
          <w:rFonts w:asciiTheme="minorHAnsi" w:hAnsiTheme="minorHAnsi" w:cstheme="minorHAnsi"/>
        </w:rPr>
        <w:t>58</w:t>
      </w:r>
      <w:r w:rsidR="00E949F3">
        <w:rPr>
          <w:rFonts w:asciiTheme="minorHAnsi" w:hAnsiTheme="minorHAnsi" w:cstheme="minorHAnsi"/>
        </w:rPr>
        <w:t xml:space="preserve"> unique variables</w:t>
      </w:r>
      <w:r w:rsidR="00803020">
        <w:rPr>
          <w:rFonts w:asciiTheme="minorHAnsi" w:hAnsiTheme="minorHAnsi" w:cstheme="minorHAnsi"/>
        </w:rPr>
        <w:t xml:space="preserve"> (Output 1)</w:t>
      </w:r>
      <w:r w:rsidR="001A3770">
        <w:rPr>
          <w:rFonts w:asciiTheme="minorHAnsi" w:hAnsiTheme="minorHAnsi" w:cstheme="minorHAnsi"/>
        </w:rPr>
        <w:t>, of which 2/3 will be partitioned into a training set and 1/3 into a testing set</w:t>
      </w:r>
      <w:r w:rsidR="00E949F3">
        <w:rPr>
          <w:rFonts w:asciiTheme="minorHAnsi" w:hAnsiTheme="minorHAnsi" w:cstheme="minorHAnsi"/>
        </w:rPr>
        <w:t>.</w:t>
      </w:r>
      <w:r w:rsidR="00490DA4">
        <w:rPr>
          <w:rFonts w:asciiTheme="minorHAnsi" w:hAnsiTheme="minorHAnsi" w:cstheme="minorHAnsi"/>
        </w:rPr>
        <w:t xml:space="preserve"> Through the EDA, the end goal is to predict the binary variable “class”, which is either spam or email. Given that the response variable is binary, the EDA must utilize modeling techniques that are appropriate for this specification. </w:t>
      </w:r>
    </w:p>
    <w:p w:rsidR="00C01CE7" w:rsidRDefault="00490DA4" w:rsidP="00666675">
      <w:pPr>
        <w:pStyle w:val="Default"/>
        <w:spacing w:line="480" w:lineRule="auto"/>
        <w:rPr>
          <w:rFonts w:asciiTheme="minorHAnsi" w:hAnsiTheme="minorHAnsi" w:cstheme="minorHAnsi"/>
        </w:rPr>
      </w:pPr>
      <w:r>
        <w:rPr>
          <w:rFonts w:asciiTheme="minorHAnsi" w:hAnsiTheme="minorHAnsi" w:cstheme="minorHAnsi"/>
        </w:rPr>
        <w:tab/>
        <w:t>Predicting the binary response for the variable “class” is known as a classification problem. Assessing model sensitivity and specificity is a tradeoff that will be analyzed</w:t>
      </w:r>
      <w:r w:rsidR="00C01CE7">
        <w:rPr>
          <w:rFonts w:asciiTheme="minorHAnsi" w:hAnsiTheme="minorHAnsi" w:cstheme="minorHAnsi"/>
        </w:rPr>
        <w:t xml:space="preserve"> from a receiver operating curve (ROC), of which will be shown in the form of a confusion matrix. Different datasets favor sensitivity versus specificity, based on the modeler’s preferences. For example, the medical field favors specificity to false negatives based on the repercussions, </w:t>
      </w:r>
      <w:r w:rsidR="008227DD">
        <w:rPr>
          <w:rFonts w:asciiTheme="minorHAnsi" w:hAnsiTheme="minorHAnsi" w:cstheme="minorHAnsi"/>
        </w:rPr>
        <w:t>and for this EDA a false negative</w:t>
      </w:r>
      <w:r w:rsidR="00C01CE7">
        <w:rPr>
          <w:rFonts w:asciiTheme="minorHAnsi" w:hAnsiTheme="minorHAnsi" w:cstheme="minorHAnsi"/>
        </w:rPr>
        <w:t xml:space="preserve"> is</w:t>
      </w:r>
      <w:r w:rsidR="008227DD">
        <w:rPr>
          <w:rFonts w:asciiTheme="minorHAnsi" w:hAnsiTheme="minorHAnsi" w:cstheme="minorHAnsi"/>
        </w:rPr>
        <w:t xml:space="preserve"> also</w:t>
      </w:r>
      <w:r w:rsidR="00C01CE7">
        <w:rPr>
          <w:rFonts w:asciiTheme="minorHAnsi" w:hAnsiTheme="minorHAnsi" w:cstheme="minorHAnsi"/>
        </w:rPr>
        <w:t xml:space="preserve"> more important because an email falsely marked as spam has the potential of being deleted without the user viewing the message. </w:t>
      </w:r>
    </w:p>
    <w:p w:rsidR="002A0447" w:rsidRDefault="00C01CE7" w:rsidP="00E76149">
      <w:pPr>
        <w:pStyle w:val="Default"/>
        <w:spacing w:line="480" w:lineRule="auto"/>
        <w:jc w:val="both"/>
        <w:rPr>
          <w:rFonts w:asciiTheme="minorHAnsi" w:hAnsiTheme="minorHAnsi" w:cstheme="minorHAnsi"/>
        </w:rPr>
      </w:pPr>
      <w:r>
        <w:rPr>
          <w:rFonts w:asciiTheme="minorHAnsi" w:hAnsiTheme="minorHAnsi" w:cstheme="minorHAnsi"/>
        </w:rPr>
        <w:tab/>
      </w:r>
      <w:r w:rsidR="00803020">
        <w:rPr>
          <w:rFonts w:asciiTheme="minorHAnsi" w:hAnsiTheme="minorHAnsi" w:cstheme="minorHAnsi"/>
        </w:rPr>
        <w:t xml:space="preserve">Random Forest is an ensemble, classification method that utilizes tree-structured classification to build a strong prediction (Miller 2013).  I am new to this modeling technique, </w:t>
      </w:r>
      <w:r w:rsidR="001A3770">
        <w:rPr>
          <w:rFonts w:asciiTheme="minorHAnsi" w:hAnsiTheme="minorHAnsi" w:cstheme="minorHAnsi"/>
        </w:rPr>
        <w:lastRenderedPageBreak/>
        <w:t>but it</w:t>
      </w:r>
      <w:r w:rsidR="00803020">
        <w:rPr>
          <w:rFonts w:asciiTheme="minorHAnsi" w:hAnsiTheme="minorHAnsi" w:cstheme="minorHAnsi"/>
        </w:rPr>
        <w:t xml:space="preserve"> is known for being robust as well as superior for datasets with many explanatory variables.</w:t>
      </w:r>
      <w:r w:rsidR="001A3770">
        <w:rPr>
          <w:rFonts w:asciiTheme="minorHAnsi" w:hAnsiTheme="minorHAnsi" w:cstheme="minorHAnsi"/>
        </w:rPr>
        <w:t xml:space="preserve"> Output 2 show</w:t>
      </w:r>
      <w:r w:rsidR="00F51576">
        <w:rPr>
          <w:rFonts w:asciiTheme="minorHAnsi" w:hAnsiTheme="minorHAnsi" w:cstheme="minorHAnsi"/>
        </w:rPr>
        <w:t>s</w:t>
      </w:r>
      <w:r w:rsidR="001A3770">
        <w:rPr>
          <w:rFonts w:asciiTheme="minorHAnsi" w:hAnsiTheme="minorHAnsi" w:cstheme="minorHAnsi"/>
        </w:rPr>
        <w:t xml:space="preserve"> a plot of the importance of the predictor variables based on Mean Decrease Accuracy and </w:t>
      </w:r>
      <w:proofErr w:type="spellStart"/>
      <w:r w:rsidR="001A3770">
        <w:rPr>
          <w:rFonts w:asciiTheme="minorHAnsi" w:hAnsiTheme="minorHAnsi" w:cstheme="minorHAnsi"/>
        </w:rPr>
        <w:t>G</w:t>
      </w:r>
      <w:bookmarkStart w:id="0" w:name="_GoBack"/>
      <w:bookmarkEnd w:id="0"/>
      <w:r w:rsidR="001A3770">
        <w:rPr>
          <w:rFonts w:asciiTheme="minorHAnsi" w:hAnsiTheme="minorHAnsi" w:cstheme="minorHAnsi"/>
        </w:rPr>
        <w:t>ini</w:t>
      </w:r>
      <w:proofErr w:type="spellEnd"/>
      <w:r w:rsidR="001A3770">
        <w:rPr>
          <w:rFonts w:asciiTheme="minorHAnsi" w:hAnsiTheme="minorHAnsi" w:cstheme="minorHAnsi"/>
        </w:rPr>
        <w:t>. Of the 58 va</w:t>
      </w:r>
      <w:r w:rsidR="008227DD">
        <w:rPr>
          <w:rFonts w:asciiTheme="minorHAnsi" w:hAnsiTheme="minorHAnsi" w:cstheme="minorHAnsi"/>
        </w:rPr>
        <w:t>riables, 31 variables appear</w:t>
      </w:r>
      <w:r w:rsidR="001A3770">
        <w:rPr>
          <w:rFonts w:asciiTheme="minorHAnsi" w:hAnsiTheme="minorHAnsi" w:cstheme="minorHAnsi"/>
        </w:rPr>
        <w:t xml:space="preserve"> in each index with a majority overlap. </w:t>
      </w:r>
      <w:r w:rsidR="008227DD">
        <w:rPr>
          <w:rFonts w:asciiTheme="minorHAnsi" w:hAnsiTheme="minorHAnsi" w:cstheme="minorHAnsi"/>
        </w:rPr>
        <w:t>After fitting the random forest modeling technique to the training dataset, output 3 shows the confusion matrix. The model only mis</w:t>
      </w:r>
      <w:r w:rsidR="00E76149">
        <w:rPr>
          <w:rFonts w:asciiTheme="minorHAnsi" w:hAnsiTheme="minorHAnsi" w:cstheme="minorHAnsi"/>
        </w:rPr>
        <w:t>classified 103</w:t>
      </w:r>
      <w:r w:rsidR="008227DD">
        <w:rPr>
          <w:rFonts w:asciiTheme="minorHAnsi" w:hAnsiTheme="minorHAnsi" w:cstheme="minorHAnsi"/>
        </w:rPr>
        <w:t xml:space="preserve"> email messages as spam, which is the most important metric of the analysis. When predicting on the training dataset, the random forest improved its false positive to </w:t>
      </w:r>
      <w:r w:rsidR="00E76149">
        <w:rPr>
          <w:rFonts w:asciiTheme="minorHAnsi" w:hAnsiTheme="minorHAnsi" w:cstheme="minorHAnsi"/>
        </w:rPr>
        <w:t>5</w:t>
      </w:r>
      <w:r w:rsidR="008227DD">
        <w:rPr>
          <w:rFonts w:asciiTheme="minorHAnsi" w:hAnsiTheme="minorHAnsi" w:cstheme="minorHAnsi"/>
        </w:rPr>
        <w:t xml:space="preserve"> email message, and an accuracy of 98% (Output 4).</w:t>
      </w:r>
      <w:r w:rsidR="00E76149">
        <w:rPr>
          <w:rFonts w:asciiTheme="minorHAnsi" w:hAnsiTheme="minorHAnsi" w:cstheme="minorHAnsi"/>
        </w:rPr>
        <w:t xml:space="preserve"> On the testing dataset, the random forest model had 27 false negatives and a 95% rate of accuracy. As described earlier, this analysis is concerned with</w:t>
      </w:r>
      <w:r w:rsidR="008227DD">
        <w:rPr>
          <w:rFonts w:asciiTheme="minorHAnsi" w:hAnsiTheme="minorHAnsi" w:cstheme="minorHAnsi"/>
        </w:rPr>
        <w:t xml:space="preserve"> </w:t>
      </w:r>
      <w:r w:rsidR="00E76149">
        <w:rPr>
          <w:rFonts w:asciiTheme="minorHAnsi" w:hAnsiTheme="minorHAnsi" w:cstheme="minorHAnsi"/>
        </w:rPr>
        <w:t xml:space="preserve">the specificity, number of false negatives, </w:t>
      </w:r>
      <w:r w:rsidR="002A0447">
        <w:rPr>
          <w:rFonts w:asciiTheme="minorHAnsi" w:hAnsiTheme="minorHAnsi" w:cstheme="minorHAnsi"/>
        </w:rPr>
        <w:t>in the confusion matrix.</w:t>
      </w:r>
    </w:p>
    <w:tbl>
      <w:tblPr>
        <w:tblStyle w:val="TableGrid"/>
        <w:tblpPr w:leftFromText="180" w:rightFromText="180" w:vertAnchor="text" w:horzAnchor="margin" w:tblpXSpec="right" w:tblpY="246"/>
        <w:tblW w:w="0" w:type="auto"/>
        <w:tblLook w:val="04A0" w:firstRow="1" w:lastRow="0" w:firstColumn="1" w:lastColumn="0" w:noHBand="0" w:noVBand="1"/>
      </w:tblPr>
      <w:tblGrid>
        <w:gridCol w:w="2251"/>
        <w:gridCol w:w="1411"/>
        <w:gridCol w:w="1332"/>
        <w:gridCol w:w="1241"/>
        <w:gridCol w:w="657"/>
      </w:tblGrid>
      <w:tr w:rsidR="00B915F6" w:rsidTr="00FA661D">
        <w:trPr>
          <w:trHeight w:val="335"/>
        </w:trPr>
        <w:tc>
          <w:tcPr>
            <w:tcW w:w="0" w:type="auto"/>
            <w:gridSpan w:val="5"/>
          </w:tcPr>
          <w:p w:rsidR="00B915F6" w:rsidRDefault="00B915F6" w:rsidP="00B915F6">
            <w:pPr>
              <w:pStyle w:val="Default"/>
              <w:jc w:val="center"/>
              <w:rPr>
                <w:rFonts w:asciiTheme="minorHAnsi" w:hAnsiTheme="minorHAnsi" w:cstheme="minorHAnsi"/>
              </w:rPr>
            </w:pPr>
            <w:r>
              <w:rPr>
                <w:rFonts w:asciiTheme="minorHAnsi" w:hAnsiTheme="minorHAnsi" w:cstheme="minorHAnsi"/>
              </w:rPr>
              <w:t xml:space="preserve">Model Comparison Matrix </w:t>
            </w:r>
          </w:p>
        </w:tc>
      </w:tr>
      <w:tr w:rsidR="00FA661D" w:rsidTr="00FA661D">
        <w:trPr>
          <w:trHeight w:val="543"/>
        </w:trPr>
        <w:tc>
          <w:tcPr>
            <w:tcW w:w="0" w:type="auto"/>
          </w:tcPr>
          <w:p w:rsidR="00B915F6" w:rsidRPr="00FA661D" w:rsidRDefault="00B915F6" w:rsidP="00B915F6">
            <w:pPr>
              <w:pStyle w:val="Default"/>
              <w:jc w:val="center"/>
              <w:rPr>
                <w:rFonts w:asciiTheme="minorHAnsi" w:hAnsiTheme="minorHAnsi" w:cstheme="minorHAnsi"/>
                <w:sz w:val="22"/>
                <w:szCs w:val="22"/>
              </w:rPr>
            </w:pPr>
            <w:r w:rsidRPr="00FA661D">
              <w:rPr>
                <w:rFonts w:asciiTheme="minorHAnsi" w:hAnsiTheme="minorHAnsi" w:cstheme="minorHAnsi"/>
                <w:sz w:val="22"/>
                <w:szCs w:val="22"/>
              </w:rPr>
              <w:t>Model</w:t>
            </w:r>
          </w:p>
        </w:tc>
        <w:tc>
          <w:tcPr>
            <w:tcW w:w="0" w:type="auto"/>
          </w:tcPr>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 xml:space="preserve">Specificity </w:t>
            </w:r>
          </w:p>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Training Data</w:t>
            </w:r>
          </w:p>
        </w:tc>
        <w:tc>
          <w:tcPr>
            <w:tcW w:w="0" w:type="auto"/>
          </w:tcPr>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 xml:space="preserve">Specificity </w:t>
            </w:r>
          </w:p>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Testing Data</w:t>
            </w:r>
          </w:p>
        </w:tc>
        <w:tc>
          <w:tcPr>
            <w:tcW w:w="0" w:type="auto"/>
          </w:tcPr>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 Change</w:t>
            </w:r>
          </w:p>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 xml:space="preserve">In Accuracy </w:t>
            </w:r>
          </w:p>
        </w:tc>
        <w:tc>
          <w:tcPr>
            <w:tcW w:w="0" w:type="auto"/>
          </w:tcPr>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Rank</w:t>
            </w:r>
          </w:p>
        </w:tc>
      </w:tr>
      <w:tr w:rsidR="00FA661D" w:rsidTr="00FA661D">
        <w:trPr>
          <w:trHeight w:val="342"/>
        </w:trPr>
        <w:tc>
          <w:tcPr>
            <w:tcW w:w="0" w:type="auto"/>
          </w:tcPr>
          <w:p w:rsidR="00B915F6" w:rsidRPr="00FA661D" w:rsidRDefault="00B915F6" w:rsidP="00B915F6">
            <w:pPr>
              <w:pStyle w:val="Default"/>
              <w:jc w:val="both"/>
              <w:rPr>
                <w:rFonts w:asciiTheme="minorHAnsi" w:hAnsiTheme="minorHAnsi" w:cstheme="minorHAnsi"/>
                <w:sz w:val="22"/>
                <w:szCs w:val="22"/>
              </w:rPr>
            </w:pPr>
            <w:r w:rsidRPr="00FA661D">
              <w:rPr>
                <w:rFonts w:asciiTheme="minorHAnsi" w:hAnsiTheme="minorHAnsi" w:cstheme="minorHAnsi"/>
                <w:sz w:val="22"/>
                <w:szCs w:val="22"/>
              </w:rPr>
              <w:t>Random Forest</w:t>
            </w:r>
          </w:p>
        </w:tc>
        <w:tc>
          <w:tcPr>
            <w:tcW w:w="0" w:type="auto"/>
          </w:tcPr>
          <w:p w:rsidR="00B915F6" w:rsidRPr="00FA661D" w:rsidRDefault="00B915F6" w:rsidP="00B915F6">
            <w:pPr>
              <w:pStyle w:val="Default"/>
              <w:jc w:val="right"/>
              <w:rPr>
                <w:rFonts w:asciiTheme="minorHAnsi" w:hAnsiTheme="minorHAnsi" w:cstheme="minorHAnsi"/>
                <w:sz w:val="22"/>
                <w:szCs w:val="22"/>
              </w:rPr>
            </w:pPr>
            <w:r w:rsidRPr="00FA661D">
              <w:rPr>
                <w:rFonts w:asciiTheme="minorHAnsi" w:hAnsiTheme="minorHAnsi" w:cstheme="minorHAnsi"/>
                <w:sz w:val="22"/>
                <w:szCs w:val="22"/>
              </w:rPr>
              <w:t>.970</w:t>
            </w:r>
          </w:p>
        </w:tc>
        <w:tc>
          <w:tcPr>
            <w:tcW w:w="0" w:type="auto"/>
          </w:tcPr>
          <w:p w:rsidR="00B915F6" w:rsidRPr="00FA661D" w:rsidRDefault="00B915F6" w:rsidP="00B915F6">
            <w:pPr>
              <w:pStyle w:val="Default"/>
              <w:jc w:val="right"/>
              <w:rPr>
                <w:rFonts w:asciiTheme="minorHAnsi" w:hAnsiTheme="minorHAnsi" w:cstheme="minorHAnsi"/>
                <w:sz w:val="22"/>
                <w:szCs w:val="22"/>
              </w:rPr>
            </w:pPr>
            <w:r w:rsidRPr="00FA661D">
              <w:rPr>
                <w:rFonts w:asciiTheme="minorHAnsi" w:hAnsiTheme="minorHAnsi" w:cstheme="minorHAnsi"/>
                <w:sz w:val="22"/>
                <w:szCs w:val="22"/>
              </w:rPr>
              <w:t>.910</w:t>
            </w:r>
          </w:p>
        </w:tc>
        <w:tc>
          <w:tcPr>
            <w:tcW w:w="0" w:type="auto"/>
            <w:vAlign w:val="bottom"/>
          </w:tcPr>
          <w:p w:rsidR="00B915F6" w:rsidRPr="00FA661D" w:rsidRDefault="00B915F6" w:rsidP="00B915F6">
            <w:pPr>
              <w:jc w:val="right"/>
              <w:rPr>
                <w:rFonts w:ascii="Calibri" w:hAnsi="Calibri"/>
                <w:color w:val="FF0000"/>
              </w:rPr>
            </w:pPr>
            <w:r w:rsidRPr="00FA661D">
              <w:rPr>
                <w:rFonts w:ascii="Calibri" w:hAnsi="Calibri"/>
                <w:color w:val="FF0000"/>
              </w:rPr>
              <w:t>-0.062</w:t>
            </w:r>
          </w:p>
        </w:tc>
        <w:tc>
          <w:tcPr>
            <w:tcW w:w="0" w:type="auto"/>
          </w:tcPr>
          <w:p w:rsidR="00B915F6" w:rsidRPr="00FA661D" w:rsidRDefault="00B915F6" w:rsidP="00B915F6">
            <w:pPr>
              <w:jc w:val="center"/>
              <w:rPr>
                <w:rFonts w:ascii="Calibri" w:hAnsi="Calibri"/>
              </w:rPr>
            </w:pPr>
            <w:r w:rsidRPr="00FA661D">
              <w:rPr>
                <w:rFonts w:ascii="Calibri" w:hAnsi="Calibri"/>
              </w:rPr>
              <w:t>2</w:t>
            </w:r>
          </w:p>
        </w:tc>
      </w:tr>
      <w:tr w:rsidR="00FA661D" w:rsidTr="00FA661D">
        <w:trPr>
          <w:trHeight w:val="302"/>
        </w:trPr>
        <w:tc>
          <w:tcPr>
            <w:tcW w:w="0" w:type="auto"/>
            <w:vAlign w:val="bottom"/>
          </w:tcPr>
          <w:p w:rsidR="00B915F6" w:rsidRPr="00FA661D" w:rsidRDefault="00B915F6" w:rsidP="00B915F6">
            <w:pPr>
              <w:rPr>
                <w:rFonts w:ascii="Calibri" w:hAnsi="Calibri"/>
                <w:color w:val="000000"/>
              </w:rPr>
            </w:pPr>
            <w:r w:rsidRPr="00FA661D">
              <w:rPr>
                <w:rFonts w:ascii="Calibri" w:hAnsi="Calibri"/>
                <w:color w:val="000000"/>
              </w:rPr>
              <w:t>Neural Network</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0.953</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0.888</w:t>
            </w:r>
          </w:p>
        </w:tc>
        <w:tc>
          <w:tcPr>
            <w:tcW w:w="0" w:type="auto"/>
            <w:vAlign w:val="bottom"/>
          </w:tcPr>
          <w:p w:rsidR="00B915F6" w:rsidRPr="00FA661D" w:rsidRDefault="00B915F6" w:rsidP="00B915F6">
            <w:pPr>
              <w:jc w:val="right"/>
              <w:rPr>
                <w:rFonts w:ascii="Calibri" w:hAnsi="Calibri"/>
                <w:color w:val="FF0000"/>
              </w:rPr>
            </w:pPr>
            <w:r w:rsidRPr="00FA661D">
              <w:rPr>
                <w:rFonts w:ascii="Calibri" w:hAnsi="Calibri"/>
                <w:color w:val="FF0000"/>
              </w:rPr>
              <w:t>-0.068</w:t>
            </w:r>
          </w:p>
        </w:tc>
        <w:tc>
          <w:tcPr>
            <w:tcW w:w="0" w:type="auto"/>
          </w:tcPr>
          <w:p w:rsidR="00B915F6" w:rsidRPr="00FA661D" w:rsidRDefault="00B915F6" w:rsidP="00B915F6">
            <w:pPr>
              <w:jc w:val="center"/>
              <w:rPr>
                <w:rFonts w:ascii="Calibri" w:hAnsi="Calibri"/>
              </w:rPr>
            </w:pPr>
            <w:r w:rsidRPr="00FA661D">
              <w:rPr>
                <w:rFonts w:ascii="Calibri" w:hAnsi="Calibri"/>
              </w:rPr>
              <w:t>4</w:t>
            </w:r>
          </w:p>
        </w:tc>
      </w:tr>
      <w:tr w:rsidR="00FA661D" w:rsidTr="00FA661D">
        <w:trPr>
          <w:trHeight w:val="312"/>
        </w:trPr>
        <w:tc>
          <w:tcPr>
            <w:tcW w:w="0" w:type="auto"/>
            <w:vAlign w:val="bottom"/>
          </w:tcPr>
          <w:p w:rsidR="00B915F6" w:rsidRPr="00FA661D" w:rsidRDefault="00B915F6" w:rsidP="00FA661D">
            <w:pPr>
              <w:rPr>
                <w:rFonts w:ascii="Calibri" w:hAnsi="Calibri"/>
                <w:color w:val="000000"/>
              </w:rPr>
            </w:pPr>
            <w:r w:rsidRPr="00FA661D">
              <w:rPr>
                <w:rFonts w:ascii="Calibri" w:hAnsi="Calibri"/>
                <w:color w:val="000000"/>
              </w:rPr>
              <w:t>Vector</w:t>
            </w:r>
            <w:r w:rsidR="00FA661D">
              <w:rPr>
                <w:rFonts w:ascii="Calibri" w:hAnsi="Calibri"/>
                <w:color w:val="000000"/>
              </w:rPr>
              <w:t xml:space="preserve"> </w:t>
            </w:r>
            <w:r w:rsidRPr="00FA661D">
              <w:rPr>
                <w:rFonts w:ascii="Calibri" w:hAnsi="Calibri"/>
                <w:color w:val="000000"/>
              </w:rPr>
              <w:t>Machine</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0.911</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0.888</w:t>
            </w:r>
          </w:p>
        </w:tc>
        <w:tc>
          <w:tcPr>
            <w:tcW w:w="0" w:type="auto"/>
            <w:vAlign w:val="bottom"/>
          </w:tcPr>
          <w:p w:rsidR="00B915F6" w:rsidRPr="00FA661D" w:rsidRDefault="00B915F6" w:rsidP="00B915F6">
            <w:pPr>
              <w:jc w:val="right"/>
              <w:rPr>
                <w:rFonts w:ascii="Calibri" w:hAnsi="Calibri"/>
                <w:color w:val="FF0000"/>
              </w:rPr>
            </w:pPr>
            <w:r w:rsidRPr="00FA661D">
              <w:rPr>
                <w:rFonts w:ascii="Calibri" w:hAnsi="Calibri"/>
                <w:color w:val="FF0000"/>
              </w:rPr>
              <w:t>-0.025</w:t>
            </w:r>
          </w:p>
        </w:tc>
        <w:tc>
          <w:tcPr>
            <w:tcW w:w="0" w:type="auto"/>
          </w:tcPr>
          <w:p w:rsidR="00B915F6" w:rsidRPr="00FA661D" w:rsidRDefault="00B915F6" w:rsidP="00B915F6">
            <w:pPr>
              <w:jc w:val="center"/>
              <w:rPr>
                <w:rFonts w:ascii="Calibri" w:hAnsi="Calibri"/>
              </w:rPr>
            </w:pPr>
            <w:r w:rsidRPr="00FA661D">
              <w:rPr>
                <w:rFonts w:ascii="Calibri" w:hAnsi="Calibri"/>
              </w:rPr>
              <w:t>3</w:t>
            </w:r>
          </w:p>
        </w:tc>
      </w:tr>
      <w:tr w:rsidR="00FA661D" w:rsidTr="00FA661D">
        <w:trPr>
          <w:trHeight w:val="348"/>
        </w:trPr>
        <w:tc>
          <w:tcPr>
            <w:tcW w:w="0" w:type="auto"/>
            <w:vAlign w:val="bottom"/>
          </w:tcPr>
          <w:p w:rsidR="00B915F6" w:rsidRPr="00FA661D" w:rsidRDefault="00B915F6" w:rsidP="00FA661D">
            <w:pPr>
              <w:rPr>
                <w:rFonts w:ascii="Calibri" w:hAnsi="Calibri"/>
                <w:color w:val="000000"/>
              </w:rPr>
            </w:pPr>
            <w:r w:rsidRPr="00FA661D">
              <w:rPr>
                <w:rFonts w:ascii="Calibri" w:hAnsi="Calibri"/>
                <w:color w:val="000000"/>
              </w:rPr>
              <w:t>SW Logistic</w:t>
            </w:r>
            <w:r w:rsidR="00FA661D">
              <w:rPr>
                <w:rFonts w:ascii="Calibri" w:hAnsi="Calibri"/>
                <w:color w:val="000000"/>
              </w:rPr>
              <w:t xml:space="preserve"> </w:t>
            </w:r>
            <w:r w:rsidRPr="00FA661D">
              <w:rPr>
                <w:rFonts w:ascii="Calibri" w:hAnsi="Calibri"/>
                <w:color w:val="000000"/>
              </w:rPr>
              <w:t>Regression</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0.9</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0.874</w:t>
            </w:r>
          </w:p>
        </w:tc>
        <w:tc>
          <w:tcPr>
            <w:tcW w:w="0" w:type="auto"/>
            <w:vAlign w:val="bottom"/>
          </w:tcPr>
          <w:p w:rsidR="00B915F6" w:rsidRPr="00FA661D" w:rsidRDefault="00B915F6" w:rsidP="00B915F6">
            <w:pPr>
              <w:jc w:val="right"/>
              <w:rPr>
                <w:rFonts w:ascii="Calibri" w:hAnsi="Calibri"/>
                <w:color w:val="FF0000"/>
              </w:rPr>
            </w:pPr>
            <w:r w:rsidRPr="00FA661D">
              <w:rPr>
                <w:rFonts w:ascii="Calibri" w:hAnsi="Calibri"/>
                <w:color w:val="FF0000"/>
              </w:rPr>
              <w:t>-0.029</w:t>
            </w:r>
          </w:p>
        </w:tc>
        <w:tc>
          <w:tcPr>
            <w:tcW w:w="0" w:type="auto"/>
          </w:tcPr>
          <w:p w:rsidR="00B915F6" w:rsidRPr="00FA661D" w:rsidRDefault="00B915F6" w:rsidP="00B915F6">
            <w:pPr>
              <w:jc w:val="center"/>
              <w:rPr>
                <w:rFonts w:ascii="Calibri" w:hAnsi="Calibri"/>
              </w:rPr>
            </w:pPr>
            <w:r w:rsidRPr="00FA661D">
              <w:rPr>
                <w:rFonts w:ascii="Calibri" w:hAnsi="Calibri"/>
              </w:rPr>
              <w:t>5</w:t>
            </w:r>
          </w:p>
        </w:tc>
      </w:tr>
      <w:tr w:rsidR="00FA661D" w:rsidTr="00FA661D">
        <w:trPr>
          <w:trHeight w:val="186"/>
        </w:trPr>
        <w:tc>
          <w:tcPr>
            <w:tcW w:w="0" w:type="auto"/>
            <w:vAlign w:val="bottom"/>
          </w:tcPr>
          <w:p w:rsidR="00B915F6" w:rsidRPr="00FA661D" w:rsidRDefault="00B915F6" w:rsidP="00B915F6">
            <w:pPr>
              <w:rPr>
                <w:rFonts w:ascii="Calibri" w:hAnsi="Calibri"/>
                <w:color w:val="000000"/>
              </w:rPr>
            </w:pPr>
            <w:r w:rsidRPr="00FA661D">
              <w:rPr>
                <w:rFonts w:ascii="Calibri" w:hAnsi="Calibri"/>
                <w:color w:val="000000"/>
              </w:rPr>
              <w:t>Naive Bayes</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0.942</w:t>
            </w:r>
          </w:p>
        </w:tc>
        <w:tc>
          <w:tcPr>
            <w:tcW w:w="0" w:type="auto"/>
            <w:vAlign w:val="bottom"/>
          </w:tcPr>
          <w:p w:rsidR="00B915F6" w:rsidRPr="00FA661D" w:rsidRDefault="00B915F6" w:rsidP="00B915F6">
            <w:pPr>
              <w:jc w:val="right"/>
              <w:rPr>
                <w:rFonts w:ascii="Calibri" w:hAnsi="Calibri"/>
                <w:color w:val="000000"/>
              </w:rPr>
            </w:pPr>
            <w:r w:rsidRPr="00FA661D">
              <w:rPr>
                <w:rFonts w:ascii="Calibri" w:hAnsi="Calibri"/>
                <w:color w:val="000000"/>
              </w:rPr>
              <w:t>0.927</w:t>
            </w:r>
          </w:p>
        </w:tc>
        <w:tc>
          <w:tcPr>
            <w:tcW w:w="0" w:type="auto"/>
            <w:vAlign w:val="bottom"/>
          </w:tcPr>
          <w:p w:rsidR="00B915F6" w:rsidRPr="00FA661D" w:rsidRDefault="00B915F6" w:rsidP="00B915F6">
            <w:pPr>
              <w:jc w:val="right"/>
              <w:rPr>
                <w:rFonts w:ascii="Calibri" w:hAnsi="Calibri"/>
                <w:color w:val="FF0000"/>
              </w:rPr>
            </w:pPr>
            <w:r w:rsidRPr="00FA661D">
              <w:rPr>
                <w:rFonts w:ascii="Calibri" w:hAnsi="Calibri"/>
                <w:color w:val="FF0000"/>
              </w:rPr>
              <w:t>-0.016</w:t>
            </w:r>
          </w:p>
        </w:tc>
        <w:tc>
          <w:tcPr>
            <w:tcW w:w="0" w:type="auto"/>
          </w:tcPr>
          <w:p w:rsidR="00B915F6" w:rsidRPr="00FA661D" w:rsidRDefault="00B915F6" w:rsidP="00B915F6">
            <w:pPr>
              <w:jc w:val="center"/>
              <w:rPr>
                <w:rFonts w:ascii="Calibri" w:hAnsi="Calibri"/>
              </w:rPr>
            </w:pPr>
            <w:r w:rsidRPr="00FA661D">
              <w:rPr>
                <w:rFonts w:ascii="Calibri" w:hAnsi="Calibri"/>
              </w:rPr>
              <w:t>1</w:t>
            </w:r>
            <w:r w:rsidR="00FA661D">
              <w:rPr>
                <w:rFonts w:ascii="Calibri" w:hAnsi="Calibri"/>
              </w:rPr>
              <w:t>*</w:t>
            </w:r>
          </w:p>
        </w:tc>
      </w:tr>
    </w:tbl>
    <w:p w:rsidR="00180112" w:rsidRPr="00666675" w:rsidRDefault="00B915F6" w:rsidP="00BB6452">
      <w:pPr>
        <w:pStyle w:val="Default"/>
        <w:spacing w:line="480" w:lineRule="auto"/>
      </w:pPr>
      <w:r>
        <w:rPr>
          <w:rFonts w:asciiTheme="minorHAnsi" w:hAnsiTheme="minorHAnsi" w:cstheme="minorHAnsi"/>
        </w:rPr>
        <w:tab/>
        <w:t xml:space="preserve">Five different modeling </w:t>
      </w:r>
      <w:r w:rsidR="00FA661D">
        <w:rPr>
          <w:rFonts w:asciiTheme="minorHAnsi" w:hAnsiTheme="minorHAnsi" w:cstheme="minorHAnsi"/>
        </w:rPr>
        <w:t>techniques were used to find the best predictor of spa</w:t>
      </w:r>
      <w:r w:rsidR="00BB6452">
        <w:rPr>
          <w:rFonts w:asciiTheme="minorHAnsi" w:hAnsiTheme="minorHAnsi" w:cstheme="minorHAnsi"/>
        </w:rPr>
        <w:t>m focusing on specificity</w:t>
      </w:r>
      <w:r w:rsidR="00FA661D">
        <w:rPr>
          <w:rFonts w:asciiTheme="minorHAnsi" w:hAnsiTheme="minorHAnsi" w:cstheme="minorHAnsi"/>
        </w:rPr>
        <w:t>. Outputs 4 through 10 show</w:t>
      </w:r>
      <w:r w:rsidR="00BB6452">
        <w:rPr>
          <w:rFonts w:asciiTheme="minorHAnsi" w:hAnsiTheme="minorHAnsi" w:cstheme="minorHAnsi"/>
        </w:rPr>
        <w:t xml:space="preserve"> the details from</w:t>
      </w:r>
      <w:r w:rsidR="00FA661D">
        <w:rPr>
          <w:rFonts w:asciiTheme="minorHAnsi" w:hAnsiTheme="minorHAnsi" w:cstheme="minorHAnsi"/>
        </w:rPr>
        <w:t xml:space="preserve"> the models. Naive Bayes classifier had the least drop in accuracy from the training data set to the testing dataset. The asterisk next to the number 1 rank means more analysis must be done to verify that the variables are independent from one another, an assumption of Naive Bayes. Random Forest and Vector Machine performed well in my opinion based on the accuracy in both datasets along with a mild percent change in in accuracy.</w:t>
      </w:r>
      <w:r w:rsidR="00BB6452">
        <w:rPr>
          <w:rFonts w:asciiTheme="minorHAnsi" w:hAnsiTheme="minorHAnsi" w:cstheme="minorHAnsi"/>
        </w:rPr>
        <w:t xml:space="preserve"> Moving forward, I would prefer to hone in on Naive Bayes and Random forest as modeling techniques and test the specificity on a larger testing data set.</w:t>
      </w:r>
    </w:p>
    <w:sectPr w:rsidR="00180112" w:rsidRPr="0066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75"/>
    <w:rsid w:val="00147351"/>
    <w:rsid w:val="00180112"/>
    <w:rsid w:val="001A3770"/>
    <w:rsid w:val="002A0447"/>
    <w:rsid w:val="00392362"/>
    <w:rsid w:val="00490DA4"/>
    <w:rsid w:val="00666675"/>
    <w:rsid w:val="00803020"/>
    <w:rsid w:val="008227DD"/>
    <w:rsid w:val="00927161"/>
    <w:rsid w:val="00A11120"/>
    <w:rsid w:val="00B915F6"/>
    <w:rsid w:val="00BB6452"/>
    <w:rsid w:val="00C01CE7"/>
    <w:rsid w:val="00DC2A37"/>
    <w:rsid w:val="00E76149"/>
    <w:rsid w:val="00E949F3"/>
    <w:rsid w:val="00EE0EEF"/>
    <w:rsid w:val="00F50C99"/>
    <w:rsid w:val="00F51576"/>
    <w:rsid w:val="00FA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67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C2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67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C2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Daniel.Prusinski</dc:creator>
  <cp:lastModifiedBy>MY filesw</cp:lastModifiedBy>
  <cp:revision>4</cp:revision>
  <dcterms:created xsi:type="dcterms:W3CDTF">2013-10-25T23:07:00Z</dcterms:created>
  <dcterms:modified xsi:type="dcterms:W3CDTF">2013-10-27T15:01:00Z</dcterms:modified>
</cp:coreProperties>
</file>