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 1</w:t>
      </w:r>
      <w:r w:rsidRPr="008D0CAD">
        <w:rPr>
          <w:rFonts w:ascii="Century Gothic" w:hAnsi="Century Gothic" w:cs="Arial"/>
          <w:sz w:val="24"/>
          <w:szCs w:val="24"/>
          <w:u w:val="single"/>
        </w:rPr>
        <w:t xml:space="preserve">: </w:t>
      </w:r>
      <w:r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Project Proposal</w:t>
      </w:r>
    </w:p>
    <w:p w:rsidR="00A92217" w:rsidRPr="00A92217" w:rsidRDefault="00A92217" w:rsidP="00447156">
      <w:pPr>
        <w:spacing w:line="240" w:lineRule="auto"/>
        <w:jc w:val="center"/>
        <w:rPr>
          <w:rFonts w:ascii="Century Gothic" w:hAnsi="Century Gothic" w:cs="Arial"/>
          <w:color w:val="000000"/>
          <w:sz w:val="24"/>
          <w:szCs w:val="24"/>
        </w:rPr>
      </w:pPr>
      <w:proofErr w:type="spellStart"/>
      <w:r>
        <w:rPr>
          <w:rFonts w:ascii="Century Gothic" w:hAnsi="Century Gothic" w:cs="Arial"/>
          <w:color w:val="000000"/>
          <w:sz w:val="24"/>
          <w:szCs w:val="24"/>
        </w:rPr>
        <w:t>Pred</w:t>
      </w:r>
      <w:proofErr w:type="spellEnd"/>
      <w:r>
        <w:rPr>
          <w:rFonts w:ascii="Century Gothic" w:hAnsi="Century Gothic" w:cs="Arial"/>
          <w:color w:val="000000"/>
          <w:sz w:val="24"/>
          <w:szCs w:val="24"/>
        </w:rPr>
        <w:t xml:space="preserve"> 475 Project Management</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7D0E46" w:rsidRDefault="007D0E46" w:rsidP="00447156">
      <w:pPr>
        <w:spacing w:line="240" w:lineRule="auto"/>
        <w:jc w:val="center"/>
        <w:rPr>
          <w:rFonts w:ascii="Square721 BT" w:hAnsi="Square721 BT" w:cs="Arial"/>
          <w:sz w:val="24"/>
          <w:szCs w:val="24"/>
          <w:u w:val="single"/>
        </w:rPr>
      </w:pPr>
    </w:p>
    <w:p w:rsidR="00494B5C" w:rsidRDefault="00A92217"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Project Proposal</w:t>
      </w:r>
    </w:p>
    <w:p w:rsidR="00447156" w:rsidRDefault="004D73BF" w:rsidP="00447156">
      <w:pPr>
        <w:spacing w:after="0" w:line="240" w:lineRule="auto"/>
        <w:rPr>
          <w:rFonts w:ascii="Square721 BT" w:hAnsi="Square721 BT" w:cs="Arial"/>
          <w:sz w:val="24"/>
          <w:szCs w:val="24"/>
        </w:rPr>
      </w:pPr>
      <w:r>
        <w:rPr>
          <w:rFonts w:ascii="Square721 BT" w:hAnsi="Square721 BT" w:cs="Arial"/>
          <w:sz w:val="24"/>
          <w:szCs w:val="24"/>
        </w:rPr>
        <w:tab/>
        <w:t xml:space="preserve">Target Corporation is a billion dollar </w:t>
      </w:r>
      <w:proofErr w:type="gramStart"/>
      <w:r>
        <w:rPr>
          <w:rFonts w:ascii="Square721 BT" w:hAnsi="Square721 BT" w:cs="Arial"/>
          <w:sz w:val="24"/>
          <w:szCs w:val="24"/>
        </w:rPr>
        <w:t>retail company</w:t>
      </w:r>
      <w:proofErr w:type="gramEnd"/>
      <w:r>
        <w:rPr>
          <w:rFonts w:ascii="Square721 BT" w:hAnsi="Square721 BT" w:cs="Arial"/>
          <w:sz w:val="24"/>
          <w:szCs w:val="24"/>
        </w:rPr>
        <w:t xml:space="preserve">. With over 1,200 stores nationwide, millions of guests shop Target daily. </w:t>
      </w:r>
      <w:r w:rsidR="00457BB5">
        <w:rPr>
          <w:rFonts w:ascii="Square721 BT" w:hAnsi="Square721 BT" w:cs="Arial"/>
          <w:sz w:val="24"/>
          <w:szCs w:val="24"/>
        </w:rPr>
        <w:t>One strategic initiative senior leadership has road-mapped for 2014 is deepening guest engagement. From this initiative, management is open to receiving project proposals and plans.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03163A" w:rsidRDefault="00447156" w:rsidP="00447156">
      <w:pPr>
        <w:spacing w:after="0" w:line="240" w:lineRule="auto"/>
        <w:rPr>
          <w:rFonts w:ascii="Square721 BT" w:hAnsi="Square721 BT" w:cs="Arial"/>
          <w:sz w:val="24"/>
          <w:szCs w:val="24"/>
        </w:rPr>
      </w:pPr>
      <w:r>
        <w:rPr>
          <w:rFonts w:ascii="Square721 BT" w:hAnsi="Square721 BT" w:cs="Arial"/>
          <w:sz w:val="24"/>
          <w:szCs w:val="24"/>
        </w:rPr>
        <w:tab/>
      </w:r>
      <w:r w:rsidR="00457BB5">
        <w:rPr>
          <w:rFonts w:ascii="Square721 BT" w:hAnsi="Square721 BT" w:cs="Arial"/>
          <w:sz w:val="24"/>
          <w:szCs w:val="24"/>
        </w:rPr>
        <w:t xml:space="preserve">  </w:t>
      </w:r>
      <w:r>
        <w:rPr>
          <w:rFonts w:ascii="Square721 BT" w:hAnsi="Square721 BT" w:cs="Arial"/>
          <w:sz w:val="24"/>
          <w:szCs w:val="24"/>
        </w:rPr>
        <w:t xml:space="preserve">I will name this project </w:t>
      </w:r>
      <w:proofErr w:type="spellStart"/>
      <w:r>
        <w:rPr>
          <w:rFonts w:ascii="Square721 BT" w:hAnsi="Square721 BT" w:cs="Arial"/>
          <w:sz w:val="24"/>
          <w:szCs w:val="24"/>
        </w:rPr>
        <w:t>MetaGuest</w:t>
      </w:r>
      <w:proofErr w:type="spellEnd"/>
      <w:r>
        <w:rPr>
          <w:rFonts w:ascii="Square721 BT" w:hAnsi="Square721 BT" w:cs="Arial"/>
          <w:sz w:val="24"/>
          <w:szCs w:val="24"/>
        </w:rPr>
        <w:t xml:space="preserve"> based on the overall desired outcome for information about guest data to be fed to team members in a concise report. As of January 8, 2013 my manager, James Nelson, is the official project sponsor.</w:t>
      </w:r>
      <w:r w:rsidR="0003163A">
        <w:rPr>
          <w:rFonts w:ascii="Square721 BT" w:hAnsi="Square721 BT" w:cs="Arial"/>
          <w:sz w:val="24"/>
          <w:szCs w:val="24"/>
        </w:rPr>
        <w:t xml:space="preserve"> The current stakeholder groups include the following:</w:t>
      </w:r>
    </w:p>
    <w:p w:rsidR="0003163A" w:rsidRDefault="0003163A" w:rsidP="0003163A">
      <w:pPr>
        <w:spacing w:after="0" w:line="240" w:lineRule="auto"/>
        <w:ind w:left="720"/>
        <w:rPr>
          <w:rFonts w:ascii="Square721 BT" w:hAnsi="Square721 BT" w:cs="Arial"/>
          <w:sz w:val="24"/>
          <w:szCs w:val="24"/>
        </w:rPr>
      </w:pPr>
      <w:proofErr w:type="gramStart"/>
      <w:r>
        <w:rPr>
          <w:rFonts w:ascii="Square721 BT" w:hAnsi="Square721 BT" w:cs="Arial"/>
          <w:sz w:val="24"/>
          <w:szCs w:val="24"/>
        </w:rPr>
        <w:t>Guest Insights (GI) – Target’s MMBI team that represents guest data.</w:t>
      </w:r>
      <w:proofErr w:type="gramEnd"/>
    </w:p>
    <w:p w:rsidR="0003163A" w:rsidRDefault="0003163A" w:rsidP="0003163A">
      <w:pPr>
        <w:spacing w:after="0" w:line="240" w:lineRule="auto"/>
        <w:ind w:left="720"/>
        <w:rPr>
          <w:rFonts w:ascii="Square721 BT" w:hAnsi="Square721 BT" w:cs="Arial"/>
          <w:sz w:val="24"/>
          <w:szCs w:val="24"/>
        </w:rPr>
      </w:pPr>
      <w:r>
        <w:rPr>
          <w:rFonts w:ascii="Square721 BT" w:hAnsi="Square721 BT" w:cs="Arial"/>
          <w:sz w:val="24"/>
          <w:szCs w:val="24"/>
        </w:rPr>
        <w:t>Division Insights – Similar to GI, but works with merchandising divisional leadership on guest data requests.</w:t>
      </w:r>
    </w:p>
    <w:p w:rsidR="0003163A" w:rsidRDefault="0003163A" w:rsidP="0003163A">
      <w:pPr>
        <w:spacing w:after="0" w:line="240" w:lineRule="auto"/>
        <w:ind w:left="720"/>
        <w:rPr>
          <w:rFonts w:ascii="Square721 BT" w:hAnsi="Square721 BT" w:cs="Arial"/>
          <w:sz w:val="24"/>
          <w:szCs w:val="24"/>
        </w:rPr>
      </w:pPr>
      <w:r>
        <w:rPr>
          <w:rFonts w:ascii="Square721 BT" w:hAnsi="Square721 BT" w:cs="Arial"/>
          <w:sz w:val="24"/>
          <w:szCs w:val="24"/>
        </w:rPr>
        <w:t xml:space="preserve">Reporting – Coordinates </w:t>
      </w:r>
      <w:r w:rsidR="00840F7E">
        <w:rPr>
          <w:rFonts w:ascii="Square721 BT" w:hAnsi="Square721 BT" w:cs="Arial"/>
          <w:sz w:val="24"/>
          <w:szCs w:val="24"/>
        </w:rPr>
        <w:t>and executes reporting for MBI.</w:t>
      </w:r>
    </w:p>
    <w:p w:rsidR="00840F7E" w:rsidRDefault="00840F7E" w:rsidP="0003163A">
      <w:pPr>
        <w:spacing w:after="0" w:line="240" w:lineRule="auto"/>
        <w:ind w:left="720"/>
        <w:rPr>
          <w:rFonts w:ascii="Square721 BT" w:hAnsi="Square721 BT" w:cs="Arial"/>
          <w:sz w:val="24"/>
          <w:szCs w:val="24"/>
        </w:rPr>
      </w:pPr>
      <w:r>
        <w:rPr>
          <w:rFonts w:ascii="Square721 BT" w:hAnsi="Square721 BT" w:cs="Arial"/>
          <w:sz w:val="24"/>
          <w:szCs w:val="24"/>
        </w:rPr>
        <w:t>Business Data Quality (BDQ) – Represents Target’s importation and cleaning of data.</w:t>
      </w:r>
    </w:p>
    <w:p w:rsidR="00840F7E" w:rsidRDefault="00840F7E" w:rsidP="0003163A">
      <w:pPr>
        <w:spacing w:after="0" w:line="240" w:lineRule="auto"/>
        <w:ind w:left="720"/>
        <w:rPr>
          <w:rFonts w:ascii="Square721 BT" w:hAnsi="Square721 BT" w:cs="Arial"/>
          <w:sz w:val="24"/>
          <w:szCs w:val="24"/>
        </w:rPr>
      </w:pPr>
      <w:r>
        <w:rPr>
          <w:rFonts w:ascii="Square721 BT" w:hAnsi="Square721 BT" w:cs="Arial"/>
          <w:sz w:val="24"/>
          <w:szCs w:val="24"/>
        </w:rPr>
        <w:t>Division Insight Leaders (DILs) – Communicate the desired outcomes for guest data.</w:t>
      </w:r>
    </w:p>
    <w:p w:rsidR="00840F7E" w:rsidRDefault="00840F7E" w:rsidP="00840F7E">
      <w:pPr>
        <w:spacing w:after="0" w:line="240" w:lineRule="auto"/>
        <w:rPr>
          <w:rFonts w:ascii="Square721 BT" w:hAnsi="Square721 BT" w:cs="Arial"/>
          <w:sz w:val="24"/>
          <w:szCs w:val="24"/>
        </w:rPr>
      </w:pPr>
      <w:r>
        <w:rPr>
          <w:rFonts w:ascii="Square721 BT" w:hAnsi="Square721 BT" w:cs="Arial"/>
          <w:sz w:val="24"/>
          <w:szCs w:val="24"/>
        </w:rPr>
        <w:t>Each stakeholder represents a direct impact point for the project’s overall success.</w:t>
      </w:r>
    </w:p>
    <w:p w:rsidR="004D73BF" w:rsidRDefault="00840F7E" w:rsidP="00840F7E">
      <w:pPr>
        <w:spacing w:after="0" w:line="240" w:lineRule="auto"/>
        <w:rPr>
          <w:rFonts w:ascii="Square721 BT" w:hAnsi="Square721 BT" w:cs="Arial"/>
          <w:sz w:val="24"/>
          <w:szCs w:val="24"/>
        </w:rPr>
      </w:pPr>
      <w:r>
        <w:rPr>
          <w:rFonts w:ascii="Square721 BT" w:hAnsi="Square721 BT" w:cs="Arial"/>
          <w:sz w:val="24"/>
          <w:szCs w:val="24"/>
        </w:rPr>
        <w:tab/>
        <w:t>Better technology and analytical capabilities has allowed businesses unprecedented access to consumer information, which translates to intimately knowing one’s target market. As Target aims to meet growing consumer demands, understanding changing behaviors aptly translates to thriving and surviving in the retail environment. Currently, Target has built many tools for extracting guest information and classification categories for different ty</w:t>
      </w:r>
      <w:r w:rsidR="00585835">
        <w:rPr>
          <w:rFonts w:ascii="Square721 BT" w:hAnsi="Square721 BT" w:cs="Arial"/>
          <w:sz w:val="24"/>
          <w:szCs w:val="24"/>
        </w:rPr>
        <w:t xml:space="preserve">pes of guests. The next step for Target reaching its goal of deepening guest engagement through data-driven analytics is </w:t>
      </w:r>
      <w:proofErr w:type="gramStart"/>
      <w:r w:rsidR="00585835">
        <w:rPr>
          <w:rFonts w:ascii="Square721 BT" w:hAnsi="Square721 BT" w:cs="Arial"/>
          <w:sz w:val="24"/>
          <w:szCs w:val="24"/>
        </w:rPr>
        <w:t>understanding</w:t>
      </w:r>
      <w:proofErr w:type="gramEnd"/>
      <w:r w:rsidR="00585835">
        <w:rPr>
          <w:rFonts w:ascii="Square721 BT" w:hAnsi="Square721 BT" w:cs="Arial"/>
          <w:sz w:val="24"/>
          <w:szCs w:val="24"/>
        </w:rPr>
        <w:t xml:space="preserve"> changes in guest behavior and predicting future outcomes. The overall value project </w:t>
      </w:r>
      <w:proofErr w:type="spellStart"/>
      <w:r w:rsidR="00585835">
        <w:rPr>
          <w:rFonts w:ascii="Square721 BT" w:hAnsi="Square721 BT" w:cs="Arial"/>
          <w:sz w:val="24"/>
          <w:szCs w:val="24"/>
        </w:rPr>
        <w:t>MetaGuest</w:t>
      </w:r>
      <w:proofErr w:type="spellEnd"/>
      <w:r w:rsidR="00585835">
        <w:rPr>
          <w:rFonts w:ascii="Square721 BT" w:hAnsi="Square721 BT" w:cs="Arial"/>
          <w:sz w:val="24"/>
          <w:szCs w:val="24"/>
        </w:rPr>
        <w:t xml:space="preserve"> brings to Target is the next step in analytical capability for Target through quantifying guest behavior through time.   </w:t>
      </w:r>
      <w:r>
        <w:rPr>
          <w:rFonts w:ascii="Square721 BT" w:hAnsi="Square721 BT" w:cs="Arial"/>
          <w:sz w:val="24"/>
          <w:szCs w:val="24"/>
        </w:rPr>
        <w:t xml:space="preserve"> </w:t>
      </w:r>
      <w:r w:rsidR="00447156">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A92217" w:rsidRDefault="007D0E46" w:rsidP="00447156">
      <w:pPr>
        <w:pStyle w:val="NormalWeb"/>
        <w:ind w:left="1350"/>
      </w:pPr>
      <w:r>
        <w:t xml:space="preserve">Square721 BT – </w:t>
      </w:r>
      <w:proofErr w:type="gramStart"/>
      <w:r>
        <w:t xml:space="preserve">Font </w:t>
      </w:r>
      <w:bookmarkStart w:id="0" w:name="_GoBack"/>
      <w:bookmarkEnd w:id="0"/>
      <w:r>
        <w:t xml:space="preserve"> </w:t>
      </w:r>
      <w:proofErr w:type="gramEnd"/>
      <w:r w:rsidR="00A92217">
        <w:br/>
      </w:r>
      <w:r w:rsidR="00A92217">
        <w:br/>
        <w:t>• Key project constraints (cost, schedule, budget, resources)</w:t>
      </w:r>
      <w:r w:rsidR="00A92217">
        <w:br/>
        <w:t>• Expectations, assumptions and exclusions, where appropriate</w:t>
      </w:r>
      <w:r w:rsidR="00A92217">
        <w:br/>
        <w:t>• Project organization, team members, Responsibility Assignment Matrix (RAM)</w:t>
      </w:r>
      <w:r w:rsidR="00A92217">
        <w:br/>
        <w:t>• Any other helpful information at this point</w:t>
      </w:r>
    </w:p>
    <w:p w:rsidR="00447156" w:rsidRDefault="00447156" w:rsidP="00447156">
      <w:pPr>
        <w:pStyle w:val="NormalWeb"/>
        <w:ind w:left="1350"/>
      </w:pPr>
    </w:p>
    <w:p w:rsidR="00447156" w:rsidRDefault="00447156" w:rsidP="00447156">
      <w:pPr>
        <w:pStyle w:val="NormalWeb"/>
        <w:spacing w:after="0" w:afterAutospacing="0"/>
      </w:pPr>
      <w:r>
        <w:t>Elements contributing to “adequate complexities” of a project include:</w:t>
      </w:r>
    </w:p>
    <w:p w:rsidR="00447156" w:rsidRDefault="00447156" w:rsidP="00447156">
      <w:pPr>
        <w:pStyle w:val="NormalWeb"/>
        <w:spacing w:after="0" w:afterAutospacing="0"/>
        <w:ind w:left="1350"/>
      </w:pPr>
      <w:r>
        <w:t>• A number of sponsors, stakeholders, funding sources</w:t>
      </w:r>
      <w:r>
        <w:br/>
        <w:t>• </w:t>
      </w:r>
      <w:proofErr w:type="gramStart"/>
      <w:r>
        <w:t>Several</w:t>
      </w:r>
      <w:proofErr w:type="gramEnd"/>
      <w:r>
        <w:t xml:space="preserve"> deliverables built by a number of people, preferably from a number of different organizations (internal or external to your own organization, contractors, consultants, etc.) </w:t>
      </w:r>
      <w:r>
        <w:br/>
        <w:t>• Several concurrent, interdependent activities. You need activities that lead to multiple activities (burst nodes) and activities that that lead to a single activity (merge nodes)</w:t>
      </w:r>
    </w:p>
    <w:p w:rsidR="00447156" w:rsidRDefault="00447156" w:rsidP="00447156">
      <w:pPr>
        <w:pStyle w:val="NormalWeb"/>
      </w:pPr>
      <w:r>
        <w:t xml:space="preserve">For this week’s assignment, propose a project that you will use as the basis for the weekly assignments. At the end of course, you will write a complete and detailed project plan that will incorporate the weekly assignments and make a case for this project getting the green light for launch. For this week, explain your proposed project in approximately 500 words. Explain the objective of the project (e.g. have a memorable party, build a bedroom and bath addition to summer home) and demonstrate that there will be sufficient complexity to allow you to use project management tools. Also, present evidence that shows you have the knowledge you need to make realistic estimates about both task times and costs. Think of me as your boss, even if this is a personal project, to </w:t>
      </w:r>
      <w:proofErr w:type="gramStart"/>
      <w:r>
        <w:t>whom</w:t>
      </w:r>
      <w:proofErr w:type="gramEnd"/>
      <w:r>
        <w:t xml:space="preserve"> you have to show that this is good project for the purposes of using project management practices.</w:t>
      </w:r>
    </w:p>
    <w:p w:rsidR="00447156" w:rsidRDefault="00447156" w:rsidP="00447156">
      <w:pPr>
        <w:pStyle w:val="NormalWeb"/>
        <w:ind w:left="1350"/>
      </w:pPr>
    </w:p>
    <w:p w:rsidR="00A92217" w:rsidRDefault="00A92217" w:rsidP="00447156">
      <w:pPr>
        <w:pStyle w:val="NormalWeb"/>
      </w:pPr>
      <w:r>
        <w:t>You will find a rubric, of sorts, in Course Content\Session 1\Session Reading (PRED475 Project Plan Assessment.pdf). I will use this rubric in assessing your final project plan/proposal submission. I suggest you use it throughout the Course to do the same. Each row will be a component of the proposal that will be covered and will be an assignment during the course (for the most part). The columns are the degree or effectiveness that the topic is covered. I encourage you to consider how you intend to cover these components while defining the project you adopt for development throughout the course.</w:t>
      </w:r>
    </w:p>
    <w:p w:rsidR="00A92217" w:rsidRDefault="00A92217" w:rsidP="00447156">
      <w:pPr>
        <w:pStyle w:val="NormalWeb"/>
      </w:pPr>
      <w:r>
        <w:t>Submit this proposed project for instructor approval. However, we may need to discuss some changes to the project to ensure it is suitable for the learning goals of this course.</w:t>
      </w:r>
    </w:p>
    <w:p w:rsidR="00A92217" w:rsidRDefault="00A92217" w:rsidP="00447156">
      <w:pPr>
        <w:pStyle w:val="NormalWeb"/>
      </w:pPr>
      <w:r>
        <w:t>In building the Final Project Plan Proposal, this input deserves a place in the Appendix</w:t>
      </w:r>
    </w:p>
    <w:p w:rsidR="00A92217" w:rsidRDefault="00A92217" w:rsidP="00447156">
      <w:pPr>
        <w:spacing w:line="240" w:lineRule="auto"/>
      </w:pPr>
    </w:p>
    <w:sectPr w:rsidR="00A9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3163A"/>
    <w:rsid w:val="003744AB"/>
    <w:rsid w:val="00447156"/>
    <w:rsid w:val="00457BB5"/>
    <w:rsid w:val="00494B5C"/>
    <w:rsid w:val="004D73BF"/>
    <w:rsid w:val="00585835"/>
    <w:rsid w:val="007D0E46"/>
    <w:rsid w:val="00840F7E"/>
    <w:rsid w:val="00A9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5</cp:revision>
  <dcterms:created xsi:type="dcterms:W3CDTF">2014-01-10T00:28:00Z</dcterms:created>
  <dcterms:modified xsi:type="dcterms:W3CDTF">2014-01-10T01:07:00Z</dcterms:modified>
</cp:coreProperties>
</file>