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jc w:val="center"/>
      </w:pPr>
      <w:r>
        <w:rPr>
          <w:rFonts w:ascii="Arial" w:cs="Arial" w:eastAsia="Arial" w:hAnsi="Arial"/>
          <w:b/>
          <w:bCs/>
          <w:color w:val="0A1628"/>
          <w:sz w:val="52"/>
          <w:szCs w:val="52"/>
        </w:rPr>
        <w:t xml:space="preserve">SentinelNet</w:t>
      </w:r>
    </w:p>
    <w:p>
      <w:pPr>
        <w:spacing w:after="80"/>
        <w:jc w:val="center"/>
      </w:pPr>
      <w:r>
        <w:rPr>
          <w:rFonts w:ascii="Arial" w:cs="Arial" w:eastAsia="Arial" w:hAnsi="Arial"/>
          <w:b/>
          <w:bCs/>
          <w:color w:val="1A4A9C"/>
          <w:sz w:val="28"/>
          <w:szCs w:val="28"/>
        </w:rPr>
        <w:t xml:space="preserve">Decentralised Cybersecurity Threat Detection on Bittensor</w:t>
      </w:r>
    </w:p>
    <w:p>
      <w:pPr>
        <w:spacing w:after="60"/>
        <w:jc w:val="center"/>
      </w:pPr>
      <w:r>
        <w:rPr>
          <w:rFonts w:ascii="Arial" w:cs="Arial" w:eastAsia="Arial" w:hAnsi="Arial"/>
          <w:i/>
          <w:iCs/>
          <w:color w:val="555555"/>
          <w:sz w:val="22"/>
          <w:szCs w:val="22"/>
        </w:rPr>
        <w:t xml:space="preserve">Bittensor Subnet Ideathon — Round I Submission</w:t>
      </w:r>
    </w:p>
    <w:p>
      <w:pPr>
        <w:pBdr>
          <w:bottom w:val="single" w:color="C8860A" w:sz="8" w:space="6"/>
        </w:pBdr>
        <w:spacing w:after="240"/>
        <w:jc w:val="center"/>
      </w:pPr>
      <w:r>
        <w:rPr>
          <w:rFonts w:ascii="Arial" w:cs="Arial" w:eastAsia="Arial" w:hAnsi="Arial"/>
          <w:b/>
          <w:bCs/>
          <w:color w:val="C8860A"/>
          <w:sz w:val="24"/>
          <w:szCs w:val="24"/>
        </w:rPr>
        <w:t xml:space="preserve">If the exploit fires in the sandbox, intelligence is proven.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60A" w:sz="12"/>
              <w:left w:val="single" w:color="C8860A" w:sz="12"/>
              <w:bottom w:val="single" w:color="C8860A" w:sz="12"/>
              <w:right w:val="single" w:color="C8860A" w:sz="12"/>
            </w:tcBorders>
            <w:shd w:fill="F2F5FA" w:val="clear"/>
            <w:tcMar>
              <w:top w:type="dxa" w:w="80"/>
              <w:left w:type="dxa" w:w="120"/>
              <w:bottom w:type="dxa" w:w="80"/>
              <w:right w:type="dxa" w:w="120"/>
            </w:tcMar>
            <w:vAlign w:val="top"/>
          </w:tcPr>
          <w:p>
            <w:pPr>
              <w:spacing w:after="120"/>
              <w:jc w:val="center"/>
            </w:pPr>
            <w:r>
              <w:rPr>
                <w:rFonts w:ascii="Arial" w:cs="Arial" w:eastAsia="Arial" w:hAnsi="Arial"/>
                <w:i/>
                <w:iCs/>
                <w:color w:val="0A1628"/>
                <w:sz w:val="24"/>
                <w:szCs w:val="24"/>
              </w:rPr>
              <w:t xml:space="preserve">"SentinelNet turns exploitability into a measurable, cryptographic truth. If the exploit fires in the sandbox, intelligence is proven."</w:t>
            </w:r>
          </w:p>
        </w:tc>
      </w:tr>
    </w:tbl>
    <w:p>
      <w:pPr>
        <w:spacing w:after="60"/>
      </w:pPr>
      <w:r>
        <w:rPr>
          <w:rFonts w:ascii="Arial" w:cs="Arial" w:eastAsia="Arial" w:hAnsi="Arial"/>
          <w:sz w:val="22"/>
          <w:szCs w:val="22"/>
        </w:rPr>
        <w:t xml:space="preserve"/>
      </w:r>
    </w:p>
    <w:p>
      <w:pPr>
        <w:pStyle w:val="Heading1"/>
        <w:pBdr>
          <w:bottom w:val="single" w:color="1A4A9C" w:sz="8" w:space="4"/>
        </w:pBdr>
        <w:spacing w:before="300" w:after="160"/>
      </w:pPr>
      <w:r>
        <w:rPr>
          <w:rFonts w:ascii="Arial" w:cs="Arial" w:eastAsia="Arial" w:hAnsi="Arial"/>
          <w:b/>
          <w:bCs/>
          <w:color w:val="0A1628"/>
          <w:sz w:val="32"/>
          <w:szCs w:val="32"/>
        </w:rPr>
        <w:t xml:space="preserve">1. Introduction</w:t>
      </w:r>
    </w:p>
    <w:p>
      <w:pPr>
        <w:spacing w:after="120"/>
      </w:pPr>
      <w:r>
        <w:rPr>
          <w:rFonts w:ascii="Arial" w:cs="Arial" w:eastAsia="Arial" w:hAnsi="Arial"/>
          <w:sz w:val="22"/>
          <w:szCs w:val="22"/>
        </w:rPr>
        <w:t xml:space="preserve">SentinelNet is a proposed Bittensor subnet that builds a decentralised cybersecurity threat detection engine. Miners analyse network logs, smart contract bytecode, and system snapshots to identify real security vulnerabilities. Validators confirm every finding by running controlled exploit simulations in isolated sandbox environments — not live systems. The result is an objective, on-chain record of which miners detect real threats, and which do not.</w:t>
      </w:r>
    </w:p>
    <w:p>
      <w:pPr>
        <w:spacing w:after="120"/>
      </w:pPr>
      <w:r>
        <w:rPr>
          <w:rFonts w:ascii="Arial" w:cs="Arial" w:eastAsia="Arial" w:hAnsi="Arial"/>
          <w:sz w:val="22"/>
          <w:szCs w:val="22"/>
        </w:rPr>
        <w:t xml:space="preserve">Global cybersecurity spending reached $215 billion in 2024 and is projected to exceed $300 billion by 2027 (Gartner). Despite this, most threat detection is centralised, opaque, and priced out of reach for smaller organisations. DeFi protocols lose billions to exploits that verifiable analysis could have caught. There is no open, cryptographically provable benchmark for security intelligence quality.</w:t>
      </w:r>
    </w:p>
    <w:p>
      <w:pPr>
        <w:pStyle w:val="Heading2"/>
        <w:spacing w:before="220" w:after="120"/>
      </w:pPr>
      <w:r>
        <w:rPr>
          <w:rFonts w:ascii="Arial" w:cs="Arial" w:eastAsia="Arial" w:hAnsi="Arial"/>
          <w:b/>
          <w:bCs/>
          <w:color w:val="1A4A9C"/>
          <w:sz w:val="26"/>
          <w:szCs w:val="26"/>
        </w:rPr>
        <w:t xml:space="preserve">1.1  Why This Works as Proof of Intelligence</w:t>
      </w:r>
    </w:p>
    <w:p>
      <w:pPr>
        <w:spacing w:after="120"/>
      </w:pPr>
      <w:r>
        <w:rPr>
          <w:rFonts w:ascii="Arial" w:cs="Arial" w:eastAsia="Arial" w:hAnsi="Arial"/>
          <w:sz w:val="22"/>
          <w:szCs w:val="22"/>
        </w:rPr>
        <w:t xml:space="preserve">SentinelNet measures exploitability under reproducible conditions — not prediction accuracy, not opinion, not model confidence. A vulnerability either exists or it does not. A sandbox exploit either fires or it fails. That binary outcome makes scoring fully objective and impossible to fake.</w:t>
      </w:r>
    </w:p>
    <w:p>
      <w:pPr>
        <w:spacing w:after="120"/>
      </w:pPr>
      <w:r>
        <w:rPr>
          <w:rFonts w:ascii="Arial" w:cs="Arial" w:eastAsia="Arial" w:hAnsi="Arial"/>
          <w:sz w:val="22"/>
          <w:szCs w:val="22"/>
        </w:rPr>
        <w:t xml:space="preserve">Miners must interpret noisy logs, separate signal from noise, generalise to unseen exploit vectors, and avoid false positives — all under a timed deadline. This is </w:t>
      </w:r>
      <w:r>
        <w:rPr>
          <w:rFonts w:ascii="Arial" w:cs="Arial" w:eastAsia="Arial" w:hAnsi="Arial"/>
          <w:b/>
          <w:bCs/>
          <w:sz w:val="22"/>
          <w:szCs w:val="22"/>
        </w:rPr>
        <w:t xml:space="preserve">causal threat inference under adversarial conditions</w:t>
      </w:r>
      <w:r>
        <w:rPr>
          <w:rFonts w:ascii="Arial" w:cs="Arial" w:eastAsia="Arial" w:hAnsi="Arial"/>
          <w:sz w:val="22"/>
          <w:szCs w:val="22"/>
        </w:rPr>
        <w:t xml:space="preserve"> — the precise kind of structured reasoning that Bittensor’s incentive layer is designed to reward.</w:t>
      </w:r>
    </w:p>
    <w:p>
      <w:pPr>
        <w:pStyle w:val="Heading2"/>
        <w:spacing w:before="220" w:after="120"/>
      </w:pPr>
      <w:r>
        <w:rPr>
          <w:rFonts w:ascii="Arial" w:cs="Arial" w:eastAsia="Arial" w:hAnsi="Arial"/>
          <w:b/>
          <w:bCs/>
          <w:color w:val="1A4A9C"/>
          <w:sz w:val="26"/>
          <w:szCs w:val="26"/>
        </w:rPr>
        <w:t xml:space="preserve">1.2  Why Bittensor?</w:t>
      </w:r>
    </w:p>
    <w:p>
      <w:pPr>
        <w:spacing w:after="120"/>
      </w:pPr>
      <w:r>
        <w:rPr>
          <w:rFonts w:ascii="Arial" w:cs="Arial" w:eastAsia="Arial" w:hAnsi="Arial"/>
          <w:sz w:val="22"/>
          <w:szCs w:val="22"/>
        </w:rPr>
        <w:t xml:space="preserve">SentinelNet is built on Bittensor because no other architecture can deliver these three properties together:</w:t>
      </w:r>
    </w:p>
    <w:p>
      <w:pPr>
        <w:pStyle w:val="ListParagraph"/>
        <w:numPr>
          <w:ilvl w:val="0"/>
          <w:numId w:val="2"/>
        </w:numPr>
        <w:spacing w:after="80"/>
      </w:pPr>
      <w:r>
        <w:rPr>
          <w:rFonts w:ascii="Arial" w:cs="Arial" w:eastAsia="Arial" w:hAnsi="Arial"/>
          <w:sz w:val="22"/>
          <w:szCs w:val="22"/>
        </w:rPr>
        <w:t xml:space="preserve">Decentralised miner competition produces detection diversity. No single vendor controls the model.</w:t>
      </w:r>
    </w:p>
    <w:p>
      <w:pPr>
        <w:pStyle w:val="ListParagraph"/>
        <w:numPr>
          <w:ilvl w:val="0"/>
          <w:numId w:val="2"/>
        </w:numPr>
        <w:spacing w:after="80"/>
      </w:pPr>
      <w:r>
        <w:rPr>
          <w:rFonts w:ascii="Arial" w:cs="Arial" w:eastAsia="Arial" w:hAnsi="Arial"/>
          <w:sz w:val="22"/>
          <w:szCs w:val="22"/>
        </w:rPr>
        <w:t xml:space="preserve">On-chain weights prevent opaque vendor lock-in. Every scoring outcome is auditable.</w:t>
      </w:r>
    </w:p>
    <w:p>
      <w:pPr>
        <w:pStyle w:val="ListParagraph"/>
        <w:numPr>
          <w:ilvl w:val="0"/>
          <w:numId w:val="2"/>
        </w:numPr>
        <w:spacing w:after="80"/>
      </w:pPr>
      <w:r>
        <w:rPr>
          <w:rFonts w:ascii="Arial" w:cs="Arial" w:eastAsia="Arial" w:hAnsi="Arial"/>
          <w:sz w:val="22"/>
          <w:szCs w:val="22"/>
        </w:rPr>
        <w:t xml:space="preserve">TAO emission aligns continuous adversarial improvement. Miners are paid to stay ahead of new threats.</w:t>
      </w:r>
    </w:p>
    <w:p>
      <w:pPr>
        <w:spacing w:after="120"/>
      </w:pPr>
      <w:r>
        <w:rPr>
          <w:rFonts w:ascii="Arial" w:cs="Arial" w:eastAsia="Arial" w:hAnsi="Arial"/>
          <w:sz w:val="22"/>
          <w:szCs w:val="22"/>
        </w:rPr>
        <w:t xml:space="preserve">A centralised SaaS, a DAO, or a standard marketplace cannot combine all three. A SaaS is a single point of failure and opacity. A DAO votes too slowly for real-time threat response. A marketplace cannot enforce objective scoring. Bittensor makes all three possible simultaneously.</w:t>
      </w:r>
    </w:p>
    <w:p>
      <w:pPr>
        <w:spacing w:after="60"/>
      </w:pPr>
      <w:r>
        <w:rPr>
          <w:rFonts w:ascii="Arial" w:cs="Arial" w:eastAsia="Arial" w:hAnsi="Arial"/>
          <w:sz w:val="22"/>
          <w:szCs w:val="22"/>
        </w:rPr>
        <w:t xml:space="preserve"/>
      </w:r>
    </w:p>
    <w:p>
      <w:pPr>
        <w:pStyle w:val="Heading1"/>
        <w:pBdr>
          <w:bottom w:val="single" w:color="1A4A9C" w:sz="8" w:space="4"/>
        </w:pBdr>
        <w:spacing w:before="300" w:after="160"/>
      </w:pPr>
      <w:r>
        <w:rPr>
          <w:rFonts w:ascii="Arial" w:cs="Arial" w:eastAsia="Arial" w:hAnsi="Arial"/>
          <w:b/>
          <w:bCs/>
          <w:color w:val="0A1628"/>
          <w:sz w:val="32"/>
          <w:szCs w:val="32"/>
        </w:rPr>
        <w:t xml:space="preserve">2. Incentive and Mechanism Design</w:t>
      </w:r>
    </w:p>
    <w:p>
      <w:pPr>
        <w:pStyle w:val="Heading2"/>
        <w:spacing w:before="220" w:after="120"/>
      </w:pPr>
      <w:r>
        <w:rPr>
          <w:rFonts w:ascii="Arial" w:cs="Arial" w:eastAsia="Arial" w:hAnsi="Arial"/>
          <w:b/>
          <w:bCs/>
          <w:color w:val="1A4A9C"/>
          <w:sz w:val="26"/>
          <w:szCs w:val="26"/>
        </w:rPr>
        <w:t xml:space="preserve">2.1  Epoch Lifecycle</w:t>
      </w:r>
    </w:p>
    <w:p>
      <w:pPr>
        <w:spacing w:after="120"/>
      </w:pPr>
      <w:r>
        <w:rPr>
          <w:rFonts w:ascii="Arial" w:cs="Arial" w:eastAsia="Arial" w:hAnsi="Arial"/>
          <w:sz w:val="22"/>
          <w:szCs w:val="22"/>
        </w:rPr>
        <w:t xml:space="preserve">Each evaluation cycle — called an epoch — runs every 6 hours. This cadence is not arbitrary. A newly published CVE can be weaponised in under 4 hours. Six-hour epochs create a near-real-time detection loop that is genuinely useful to security teams. They also prevent time-based gaming: a longer cycle would allow miners to reverse-engineer task inputs between submissions. The 6-hour cadence preserves miner incentive alignment with real-world SLA expectations.</w:t>
      </w:r>
    </w:p>
    <w:p>
      <w:pPr>
        <w:spacing w:after="120"/>
      </w:pPr>
      <w:r>
        <w:rPr>
          <w:rFonts w:ascii="Arial" w:cs="Arial" w:eastAsia="Arial" w:hAnsi="Arial"/>
          <w:sz w:val="22"/>
          <w:szCs w:val="22"/>
        </w:rPr>
        <w:t xml:space="preserve">The full epoch lifecycle runs as follows:</w:t>
      </w:r>
    </w:p>
    <w:p>
      <w:pPr>
        <w:jc w:val="center"/>
        <w:rPr>
          <w:rFonts w:ascii="Courier New" w:hAnsi="Courier New"/>
          <w:b/>
          <w:sz w:val="18"/>
          <w:color w:val="1A4A9C"/>
        </w:rPr>
      </w:pPr>
      <w:r>
        <w:rPr>
          <w:rFonts w:ascii="Courier New" w:hAnsi="Courier New"/>
          <w:b/>
          <w:sz w:val="18"/>
          <w:color w:val="1A4A9C"/>
        </w:rPr>
        <w:t>Task Published → Miner Detection → Sandbox Replay → On-Chain Score → TAO Emission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32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b/>
                <w:bCs/>
                <w:color w:val="1A4A9C"/>
                <w:sz w:val="22"/>
                <w:szCs w:val="22"/>
              </w:rPr>
              <w:t xml:space="preserve">Step 1 — Validator Publishes Task</w:t>
            </w:r>
          </w:p>
        </w:tc>
        <w:tc>
          <w:tcPr>
            <w:tcW w:type="dxa" w:w="616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Task type assigned: network log, smart contract bytecode, or system snapshot, with severity threshold defined.</w:t>
            </w:r>
          </w:p>
        </w:tc>
      </w:tr>
      <w:tr>
        <w:tc>
          <w:tcPr>
            <w:tcW w:type="dxa" w:w="32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b/>
                <w:bCs/>
                <w:color w:val="1A4A9C"/>
                <w:sz w:val="22"/>
                <w:szCs w:val="22"/>
              </w:rPr>
              <w:t xml:space="preserve">Step 2 — Miners Analyse Input</w:t>
            </w:r>
          </w:p>
        </w:tc>
        <w:tc>
          <w:tcPr>
            <w:tcW w:type="dxa" w:w="616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sz w:val="22"/>
                <w:szCs w:val="22"/>
              </w:rPr>
              <w:t xml:space="preserve">Miners run detection pipelines against sandboxed data. Findings submitted as structured, signed threat reports.</w:t>
            </w:r>
          </w:p>
        </w:tc>
      </w:tr>
      <w:tr>
        <w:tc>
          <w:tcPr>
            <w:tcW w:type="dxa" w:w="32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b/>
                <w:bCs/>
                <w:color w:val="1A4A9C"/>
                <w:sz w:val="22"/>
                <w:szCs w:val="22"/>
              </w:rPr>
              <w:t xml:space="preserve">Step 3 — Submission Deadline Locks</w:t>
            </w:r>
          </w:p>
        </w:tc>
        <w:tc>
          <w:tcPr>
            <w:tcW w:type="dxa" w:w="616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On-chain timestamp checked. Late submissions auto-rejected. Duplicate reports hash-fingerprinted and zeroed.</w:t>
            </w:r>
          </w:p>
        </w:tc>
      </w:tr>
      <w:tr>
        <w:tc>
          <w:tcPr>
            <w:tcW w:type="dxa" w:w="32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b/>
                <w:bCs/>
                <w:color w:val="1A4A9C"/>
                <w:sz w:val="22"/>
                <w:szCs w:val="22"/>
              </w:rPr>
              <w:t xml:space="preserve">Step 4 — Validator Runs Controlled Simulation</w:t>
            </w:r>
          </w:p>
        </w:tc>
        <w:tc>
          <w:tcPr>
            <w:tcW w:type="dxa" w:w="616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sz w:val="22"/>
                <w:szCs w:val="22"/>
              </w:rPr>
              <w:t xml:space="preserve">Findings tested in an isolated Docker sandbox. Exploit confirmed or disproved objectively. No live systems at risk.</w:t>
            </w:r>
          </w:p>
        </w:tc>
      </w:tr>
      <w:tr>
        <w:tc>
          <w:tcPr>
            <w:tcW w:type="dxa" w:w="32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b/>
                <w:bCs/>
                <w:color w:val="1A4A9C"/>
                <w:sz w:val="22"/>
                <w:szCs w:val="22"/>
              </w:rPr>
              <w:t xml:space="preserve">Step 5 — False Positive and Negative Check</w:t>
            </w:r>
          </w:p>
        </w:tc>
        <w:tc>
          <w:tcPr>
            <w:tcW w:type="dxa" w:w="616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Was the threat real? Was it missed? Results logged on-chain for full auditability. Ground truth established.</w:t>
            </w:r>
          </w:p>
        </w:tc>
      </w:tr>
      <w:tr>
        <w:tc>
          <w:tcPr>
            <w:tcW w:type="dxa" w:w="32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b/>
                <w:bCs/>
                <w:color w:val="1A4A9C"/>
                <w:sz w:val="22"/>
                <w:szCs w:val="22"/>
              </w:rPr>
              <w:t xml:space="preserve">Step 6 — Scoring Computed</w:t>
            </w:r>
          </w:p>
        </w:tc>
        <w:tc>
          <w:tcPr>
            <w:tcW w:type="dxa" w:w="616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sz w:val="22"/>
                <w:szCs w:val="22"/>
              </w:rPr>
              <w:t xml:space="preserve">F1 Score, Severity Accuracy, Speed — EMA14 applied over rolling 14-day window. Final Score calculated.</w:t>
            </w:r>
          </w:p>
        </w:tc>
      </w:tr>
      <w:tr>
        <w:tc>
          <w:tcPr>
            <w:tcW w:type="dxa" w:w="32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b/>
                <w:bCs/>
                <w:color w:val="1A4A9C"/>
                <w:sz w:val="22"/>
                <w:szCs w:val="22"/>
              </w:rPr>
              <w:t xml:space="preserve">Step 7 — Weights and Emissions Updated</w:t>
            </w:r>
          </w:p>
        </w:tc>
        <w:tc>
          <w:tcPr>
            <w:tcW w:type="dxa" w:w="616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On-chain miner weights refreshed. TAO distributed to miners and validators automatically.</w:t>
            </w:r>
          </w:p>
        </w:tc>
      </w:tr>
    </w:tbl>
    <w:p>
      <w:pPr>
        <w:spacing w:after="60"/>
      </w:pPr>
      <w:r>
        <w:rPr>
          <w:rFonts w:ascii="Arial" w:cs="Arial" w:eastAsia="Arial" w:hAnsi="Arial"/>
          <w:sz w:val="22"/>
          <w:szCs w:val="22"/>
        </w:rPr>
        <w:t xml:space="preserve"/>
      </w:r>
    </w:p>
    <w:p>
      <w:pPr>
        <w:pStyle w:val="Heading2"/>
        <w:spacing w:before="220" w:after="120"/>
      </w:pPr>
      <w:r>
        <w:rPr>
          <w:rFonts w:ascii="Arial" w:cs="Arial" w:eastAsia="Arial" w:hAnsi="Arial"/>
          <w:b/>
          <w:bCs/>
          <w:color w:val="1A4A9C"/>
          <w:sz w:val="26"/>
          <w:szCs w:val="26"/>
        </w:rPr>
        <w:t xml:space="preserve">2.2  Emission and Reward Logic</w:t>
      </w:r>
    </w:p>
    <w:p>
      <w:pPr>
        <w:spacing w:after="120"/>
      </w:pPr>
      <w:r>
        <w:rPr>
          <w:rFonts w:ascii="Arial" w:cs="Arial" w:eastAsia="Arial" w:hAnsi="Arial"/>
          <w:sz w:val="22"/>
          <w:szCs w:val="22"/>
        </w:rPr>
        <w:t xml:space="preserve">Emissions are distributed each epoch based on Final Score rank. The 8% DAO Reserve is allocated to maintaining CVE database feeds, funding sandbox infrastructure, and commissioning independent security audits of the subnet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1A4A9C" w:sz="8"/>
              <w:left w:val="single" w:color="1A4A9C" w:sz="8"/>
              <w:bottom w:val="single" w:color="1A4A9C" w:sz="8"/>
              <w:right w:val="single" w:color="1A4A9C" w:sz="8"/>
            </w:tcBorders>
            <w:shd w:fill="0A1628" w:val="clear"/>
            <w:tcMar>
              <w:top w:type="dxa" w:w="80"/>
              <w:left w:type="dxa" w:w="120"/>
              <w:bottom w:type="dxa" w:w="80"/>
              <w:right w:type="dxa" w:w="120"/>
            </w:tcMar>
            <w:vAlign w:val="top"/>
          </w:tcPr>
          <w:p>
            <w:pPr>
              <w:spacing w:after="120"/>
            </w:pPr>
            <w:r>
              <w:rPr>
                <w:rFonts w:ascii="Arial" w:cs="Arial" w:eastAsia="Arial" w:hAnsi="Arial"/>
                <w:b/>
                <w:bCs/>
                <w:color w:val="FFFFFF"/>
                <w:sz w:val="22"/>
                <w:szCs w:val="22"/>
              </w:rPr>
              <w:t xml:space="preserve">Recipient</w:t>
            </w:r>
          </w:p>
        </w:tc>
        <w:tc>
          <w:tcPr>
            <w:tcW w:type="dxa" w:w="1400"/>
            <w:tcBorders>
              <w:top w:val="single" w:color="1A4A9C" w:sz="8"/>
              <w:left w:val="single" w:color="1A4A9C" w:sz="8"/>
              <w:bottom w:val="single" w:color="1A4A9C" w:sz="8"/>
              <w:right w:val="single" w:color="1A4A9C" w:sz="8"/>
            </w:tcBorders>
            <w:shd w:fill="0A1628" w:val="clear"/>
            <w:tcMar>
              <w:top w:type="dxa" w:w="80"/>
              <w:left w:type="dxa" w:w="120"/>
              <w:bottom w:type="dxa" w:w="80"/>
              <w:right w:type="dxa" w:w="120"/>
            </w:tcMar>
            <w:vAlign w:val="top"/>
          </w:tcPr>
          <w:p>
            <w:pPr>
              <w:spacing w:after="120"/>
            </w:pPr>
            <w:r>
              <w:rPr>
                <w:rFonts w:ascii="Arial" w:cs="Arial" w:eastAsia="Arial" w:hAnsi="Arial"/>
                <w:b/>
                <w:bCs/>
                <w:color w:val="FFFFFF"/>
                <w:sz w:val="22"/>
                <w:szCs w:val="22"/>
              </w:rPr>
              <w:t xml:space="preserve">Share</w:t>
            </w:r>
          </w:p>
        </w:tc>
        <w:tc>
          <w:tcPr>
            <w:tcW w:type="dxa" w:w="5160"/>
            <w:tcBorders>
              <w:top w:val="single" w:color="1A4A9C" w:sz="8"/>
              <w:left w:val="single" w:color="1A4A9C" w:sz="8"/>
              <w:bottom w:val="single" w:color="1A4A9C" w:sz="8"/>
              <w:right w:val="single" w:color="1A4A9C" w:sz="8"/>
            </w:tcBorders>
            <w:shd w:fill="0A1628" w:val="clear"/>
            <w:tcMar>
              <w:top w:type="dxa" w:w="80"/>
              <w:left w:type="dxa" w:w="120"/>
              <w:bottom w:type="dxa" w:w="80"/>
              <w:right w:type="dxa" w:w="120"/>
            </w:tcMar>
            <w:vAlign w:val="top"/>
          </w:tcPr>
          <w:p>
            <w:pPr>
              <w:spacing w:after="120"/>
            </w:pPr>
            <w:r>
              <w:rPr>
                <w:rFonts w:ascii="Arial" w:cs="Arial" w:eastAsia="Arial" w:hAnsi="Arial"/>
                <w:b/>
                <w:bCs/>
                <w:color w:val="FFFFFF"/>
                <w:sz w:val="22"/>
                <w:szCs w:val="22"/>
              </w:rPr>
              <w:t xml:space="preserve">Rationale</w:t>
            </w:r>
          </w:p>
        </w:tc>
      </w:tr>
      <w:tr>
        <w:tc>
          <w:tcPr>
            <w:tcW w:type="dxa" w:w="28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b/>
                <w:bCs/>
                <w:sz w:val="22"/>
                <w:szCs w:val="22"/>
              </w:rPr>
              <w:t xml:space="preserve">Rank 1 Miner</w:t>
            </w:r>
          </w:p>
        </w:tc>
        <w:tc>
          <w:tcPr>
            <w:tcW w:type="dxa" w:w="14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b/>
                <w:bCs/>
                <w:color w:val="1A4A9C"/>
                <w:sz w:val="22"/>
                <w:szCs w:val="22"/>
              </w:rPr>
              <w:t xml:space="preserve">28%</w:t>
            </w:r>
          </w:p>
        </w:tc>
        <w:tc>
          <w:tcPr>
            <w:tcW w:type="dxa" w:w="516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Maximum incentive for best detection accuracy.</w:t>
            </w:r>
          </w:p>
        </w:tc>
      </w:tr>
      <w:tr>
        <w:tc>
          <w:tcPr>
            <w:tcW w:type="dxa" w:w="28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b/>
                <w:bCs/>
                <w:sz w:val="22"/>
                <w:szCs w:val="22"/>
              </w:rPr>
              <w:t xml:space="preserve">Rank 2–5 Miners</w:t>
            </w:r>
          </w:p>
        </w:tc>
        <w:tc>
          <w:tcPr>
            <w:tcW w:type="dxa" w:w="14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b/>
                <w:bCs/>
                <w:color w:val="1A4A9C"/>
                <w:sz w:val="22"/>
                <w:szCs w:val="22"/>
              </w:rPr>
              <w:t xml:space="preserve">28%</w:t>
            </w:r>
          </w:p>
        </w:tc>
        <w:tc>
          <w:tcPr>
            <w:tcW w:type="dxa" w:w="516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sz w:val="22"/>
                <w:szCs w:val="22"/>
              </w:rPr>
              <w:t xml:space="preserve">Proportional share — rewards competitive depth across top performers.</w:t>
            </w:r>
          </w:p>
        </w:tc>
      </w:tr>
      <w:tr>
        <w:tc>
          <w:tcPr>
            <w:tcW w:type="dxa" w:w="28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b/>
                <w:bCs/>
                <w:sz w:val="22"/>
                <w:szCs w:val="22"/>
              </w:rPr>
              <w:t xml:space="preserve">Rank 6+ Miners</w:t>
            </w:r>
          </w:p>
        </w:tc>
        <w:tc>
          <w:tcPr>
            <w:tcW w:type="dxa" w:w="14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b/>
                <w:bCs/>
                <w:color w:val="1A4A9C"/>
                <w:sz w:val="22"/>
                <w:szCs w:val="22"/>
              </w:rPr>
              <w:t xml:space="preserve">14%</w:t>
            </w:r>
          </w:p>
        </w:tc>
        <w:tc>
          <w:tcPr>
            <w:tcW w:type="dxa" w:w="516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Keeps ecosystem wide, discourages single-miner monopoly.</w:t>
            </w:r>
          </w:p>
        </w:tc>
      </w:tr>
      <w:tr>
        <w:tc>
          <w:tcPr>
            <w:tcW w:type="dxa" w:w="28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b/>
                <w:bCs/>
                <w:sz w:val="22"/>
                <w:szCs w:val="22"/>
              </w:rPr>
              <w:t xml:space="preserve">Validators</w:t>
            </w:r>
          </w:p>
        </w:tc>
        <w:tc>
          <w:tcPr>
            <w:tcW w:type="dxa" w:w="14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b/>
                <w:bCs/>
                <w:color w:val="1A4A9C"/>
                <w:sz w:val="22"/>
                <w:szCs w:val="22"/>
              </w:rPr>
              <w:t xml:space="preserve">22%</w:t>
            </w:r>
          </w:p>
        </w:tc>
        <w:tc>
          <w:tcPr>
            <w:tcW w:type="dxa" w:w="516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sz w:val="22"/>
                <w:szCs w:val="22"/>
              </w:rPr>
              <w:t xml:space="preserve">Compensates the heavy sandbox simulation workload per epoch.</w:t>
            </w:r>
          </w:p>
        </w:tc>
      </w:tr>
      <w:tr>
        <w:tc>
          <w:tcPr>
            <w:tcW w:type="dxa" w:w="28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b/>
                <w:bCs/>
                <w:sz w:val="22"/>
                <w:szCs w:val="22"/>
              </w:rPr>
              <w:t xml:space="preserve">Subnet DAO Reserve</w:t>
            </w:r>
          </w:p>
        </w:tc>
        <w:tc>
          <w:tcPr>
            <w:tcW w:type="dxa" w:w="14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b/>
                <w:bCs/>
                <w:color w:val="1A4A9C"/>
                <w:sz w:val="22"/>
                <w:szCs w:val="22"/>
              </w:rPr>
              <w:t xml:space="preserve">8%</w:t>
            </w:r>
          </w:p>
        </w:tc>
        <w:tc>
          <w:tcPr>
            <w:tcW w:type="dxa" w:w="516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Funds CVE database feeds, sandbox infrastructure, and security audits.</w:t>
            </w:r>
          </w:p>
        </w:tc>
      </w:tr>
    </w:tbl>
    <w:p>
      <w:pPr>
        <w:spacing w:after="60"/>
      </w:pPr>
      <w:r>
        <w:rPr>
          <w:rFonts w:ascii="Arial" w:cs="Arial" w:eastAsia="Arial" w:hAnsi="Arial"/>
          <w:sz w:val="22"/>
          <w:szCs w:val="22"/>
        </w:rPr>
        <w:t xml:space="preserve"/>
      </w:r>
    </w:p>
    <w:p>
      <w:pPr>
        <w:pStyle w:val="Heading2"/>
        <w:spacing w:before="220" w:after="120"/>
      </w:pPr>
      <w:r>
        <w:rPr>
          <w:rFonts w:ascii="Arial" w:cs="Arial" w:eastAsia="Arial" w:hAnsi="Arial"/>
          <w:b/>
          <w:bCs/>
          <w:color w:val="1A4A9C"/>
          <w:sz w:val="26"/>
          <w:szCs w:val="26"/>
        </w:rPr>
        <w:t xml:space="preserve">2.3  Scoring Formula</w:t>
      </w:r>
    </w:p>
    <w:p>
      <w:pPr>
        <w:spacing w:after="120"/>
      </w:pPr>
      <w:r>
        <w:rPr>
          <w:rFonts w:ascii="Arial" w:cs="Arial" w:eastAsia="Arial" w:hAnsi="Arial"/>
          <w:sz w:val="22"/>
          <w:szCs w:val="22"/>
        </w:rPr>
        <w:t xml:space="preserve">Each miner's Final Score uses a clean, three-layer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9C" w:sz="8"/>
              <w:left w:val="single" w:color="1A4A9C" w:sz="8"/>
              <w:bottom w:val="single" w:color="1A4A9C" w:sz="8"/>
              <w:right w:val="single" w:color="1A4A9C" w:sz="8"/>
            </w:tcBorders>
            <w:shd w:fill="F2F5FA" w:val="clear"/>
            <w:tcMar>
              <w:top w:type="dxa" w:w="80"/>
              <w:left w:type="dxa" w:w="120"/>
              <w:bottom w:type="dxa" w:w="80"/>
              <w:right w:type="dxa" w:w="120"/>
            </w:tcMar>
            <w:vAlign w:val="top"/>
          </w:tcPr>
          <w:p>
            <w:pPr>
              <w:spacing w:after="120"/>
              <w:jc w:val="center"/>
            </w:pPr>
            <w:r>
              <w:rPr>
                <w:rFonts w:ascii="Arial" w:cs="Arial" w:eastAsia="Arial" w:hAnsi="Arial"/>
                <w:b/>
                <w:bCs/>
                <w:color w:val="0A1628"/>
                <w:sz w:val="26"/>
                <w:szCs w:val="26"/>
              </w:rPr>
              <w:t xml:space="preserve">Final Score  =  EMA14(Base Score)</w:t>
            </w:r>
          </w:p>
          <w:p>
            <w:pPr>
              <w:spacing w:after="40"/>
            </w:pPr>
            <w:r>
              <w:rPr>
                <w:rFonts w:ascii="Arial" w:cs="Arial" w:eastAsia="Arial" w:hAnsi="Arial"/>
                <w:sz w:val="22"/>
                <w:szCs w:val="22"/>
              </w:rPr>
              <w:t xml:space="preserve"/>
            </w:r>
          </w:p>
          <w:p>
            <w:pPr>
              <w:spacing w:after="120"/>
              <w:jc w:val="center"/>
            </w:pPr>
            <w:r>
              <w:rPr>
                <w:rFonts w:ascii="Arial" w:cs="Arial" w:eastAsia="Arial" w:hAnsi="Arial"/>
                <w:b/>
                <w:bCs/>
                <w:color w:val="1A4A9C"/>
                <w:sz w:val="22"/>
                <w:szCs w:val="22"/>
              </w:rPr>
              <w:t xml:space="preserve">Base Score  =  (F1 Score × 0.60)  +  (Severity Accuracy × 0.25)  +  (Speed Score × 0.15)</w:t>
            </w:r>
          </w:p>
          <w:p>
            <w:pPr>
              <w:spacing w:after="40"/>
            </w:pPr>
            <w:r>
              <w:rPr>
                <w:rFonts w:ascii="Arial" w:cs="Arial" w:eastAsia="Arial" w:hAnsi="Arial"/>
                <w:sz w:val="22"/>
                <w:szCs w:val="22"/>
              </w:rPr>
              <w:t xml:space="preserve"/>
            </w:r>
          </w:p>
          <w:p>
            <w:pPr>
              <w:spacing w:after="120"/>
              <w:jc w:val="center"/>
            </w:pPr>
            <w:r>
              <w:rPr>
                <w:rFonts w:ascii="Arial" w:cs="Arial" w:eastAsia="Arial" w:hAnsi="Arial"/>
                <w:b/>
                <w:bCs/>
                <w:color w:val="0A1628"/>
                <w:sz w:val="22"/>
                <w:szCs w:val="22"/>
              </w:rPr>
              <w:t xml:space="preserve">F1 Score  =  2 × Precision × Recall  /  (Precision + Recall)</w:t>
            </w:r>
          </w:p>
          <w:p>
            <w:pPr>
              <w:spacing w:after="40"/>
            </w:pPr>
            <w:r>
              <w:rPr>
                <w:rFonts w:ascii="Arial" w:cs="Arial" w:eastAsia="Arial" w:hAnsi="Arial"/>
                <w:sz w:val="22"/>
                <w:szCs w:val="22"/>
              </w:rPr>
              <w:t xml:space="preserve"/>
            </w:r>
          </w:p>
          <w:p>
            <w:pPr>
              <w:spacing w:after="120"/>
              <w:jc w:val="center"/>
            </w:pPr>
            <w:r>
              <w:rPr>
                <w:rFonts w:ascii="Arial" w:cs="Arial" w:eastAsia="Arial" w:hAnsi="Arial"/>
                <w:i/>
                <w:iCs/>
                <w:color w:val="C8860A"/>
                <w:sz w:val="22"/>
                <w:szCs w:val="22"/>
              </w:rPr>
              <w:t xml:space="preserve">Novelty Bonus: +10% emission bonus (applied separately — does not inflate Base Score)</w:t>
            </w:r>
          </w:p>
        </w:tc>
      </w:tr>
    </w:tbl>
    <w:p>
      <w:pPr>
        <w:spacing w:after="60"/>
      </w:pPr>
      <w:r>
        <w:rPr>
          <w:rFonts w:ascii="Arial" w:cs="Arial" w:eastAsia="Arial" w:hAnsi="Arial"/>
          <w:sz w:val="22"/>
          <w:szCs w:val="22"/>
        </w:rPr>
        <w:t xml:space="preserve"/>
      </w:r>
    </w:p>
    <w:p>
      <w:pPr>
        <w:spacing w:after="120"/>
      </w:pPr>
      <w:r>
        <w:rPr>
          <w:rFonts w:ascii="Arial" w:cs="Arial" w:eastAsia="Arial" w:hAnsi="Arial"/>
          <w:b/>
          <w:bCs/>
          <w:sz w:val="22"/>
          <w:szCs w:val="22"/>
        </w:rPr>
        <w:t xml:space="preserve">Design principles:</w:t>
      </w:r>
      <w:r>
        <w:rPr>
          <w:rFonts w:ascii="Arial" w:cs="Arial" w:eastAsia="Arial" w:hAnsi="Arial"/>
          <w:sz w:val="22"/>
          <w:szCs w:val="22"/>
        </w:rPr>
        <w:t xml:space="preserve"> Stake is removed from score calculation. It is used only for Sybil resistance and validator admission — not reward weighting. Performance determines reward. Stake determines eligibility. This keeps the formula clean, fair, and resistant to wealth-based gaming.</w:t>
      </w:r>
    </w:p>
    <w:p>
      <w:pPr>
        <w:spacing w:after="120"/>
      </w:pPr>
      <w:r>
        <w:rPr>
          <w:rFonts w:ascii="Arial" w:cs="Arial" w:eastAsia="Arial" w:hAnsi="Arial"/>
          <w:b/>
          <w:bCs/>
          <w:sz w:val="22"/>
          <w:szCs w:val="22"/>
        </w:rPr>
        <w:t xml:space="preserve">EMA14</w:t>
      </w:r>
      <w:r>
        <w:rPr>
          <w:rFonts w:ascii="Arial" w:cs="Arial" w:eastAsia="Arial" w:hAnsi="Arial"/>
          <w:sz w:val="22"/>
          <w:szCs w:val="22"/>
        </w:rPr>
        <w:t xml:space="preserve"> (14-day exponential moving average) smooths short-term volatility. A miner who had a bad day is not destroyed. A miner who cheated once cannot hide it.</w:t>
      </w:r>
    </w:p>
    <w:p>
      <w:pPr>
        <w:spacing w:after="120"/>
      </w:pPr>
      <w:r>
        <w:rPr>
          <w:rFonts w:ascii="Arial" w:cs="Arial" w:eastAsia="Arial" w:hAnsi="Arial"/>
          <w:b/>
          <w:bCs/>
          <w:sz w:val="22"/>
          <w:szCs w:val="22"/>
        </w:rPr>
        <w:t xml:space="preserve">Novelty Bonus</w:t>
      </w:r>
      <w:r>
        <w:rPr>
          <w:rFonts w:ascii="Arial" w:cs="Arial" w:eastAsia="Arial" w:hAnsi="Arial"/>
          <w:sz w:val="22"/>
          <w:szCs w:val="22"/>
        </w:rPr>
        <w:t xml:space="preserve"> is awarded as a separate +10% emission bonus for finding a zero-day or previously undocumented vulnerability. This runs parallel to the Base Score rather than inside it, preserving mathematical elegance while still strongly rewarding elite detection.</w:t>
      </w:r>
    </w:p>
    <w:p>
      <w:pPr>
        <w:spacing w:after="60"/>
      </w:pPr>
      <w:r>
        <w:rPr>
          <w:rFonts w:ascii="Arial" w:cs="Arial" w:eastAsia="Arial" w:hAnsi="Arial"/>
          <w:sz w:val="22"/>
          <w:szCs w:val="22"/>
        </w:rPr>
        <w:t xml:space="preserve"/>
      </w:r>
    </w:p>
    <w:p>
      <w:pPr>
        <w:pStyle w:val="Heading3"/>
        <w:spacing w:before="180" w:after="80"/>
      </w:pPr>
      <w:r>
        <w:rPr>
          <w:rFonts w:ascii="Arial" w:cs="Arial" w:eastAsia="Arial" w:hAnsi="Arial"/>
          <w:b/>
          <w:bCs/>
          <w:color w:val="0A1628"/>
          <w:sz w:val="23"/>
          <w:szCs w:val="23"/>
        </w:rPr>
        <w:t xml:space="preserve">Worked Example — Full Score Calculation</w:t>
      </w:r>
    </w:p>
    <w:p>
      <w:pPr>
        <w:spacing w:after="120"/>
      </w:pPr>
      <w:r>
        <w:rPr>
          <w:rFonts w:ascii="Arial" w:cs="Arial" w:eastAsia="Arial" w:hAnsi="Arial"/>
          <w:sz w:val="22"/>
          <w:szCs w:val="22"/>
        </w:rPr>
        <w:t xml:space="preserve">The table below shows a complete score calculation for Miner X over a 14-day rolling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560"/>
        <w:gridCol w:w="1800"/>
      </w:tblGrid>
      <w:tr>
        <w:tc>
          <w:tcPr>
            <w:tcW w:type="dxa" w:w="2800"/>
            <w:tcBorders>
              <w:top w:val="single" w:color="1A4A9C" w:sz="8"/>
              <w:left w:val="single" w:color="1A4A9C" w:sz="8"/>
              <w:bottom w:val="single" w:color="1A4A9C" w:sz="8"/>
              <w:right w:val="single" w:color="1A4A9C" w:sz="8"/>
            </w:tcBorders>
            <w:shd w:fill="0A1628" w:val="clear"/>
            <w:tcMar>
              <w:top w:type="dxa" w:w="80"/>
              <w:left w:type="dxa" w:w="120"/>
              <w:bottom w:type="dxa" w:w="80"/>
              <w:right w:type="dxa" w:w="120"/>
            </w:tcMar>
            <w:vAlign w:val="top"/>
          </w:tcPr>
          <w:p>
            <w:pPr>
              <w:spacing w:after="120"/>
            </w:pPr>
            <w:r>
              <w:rPr>
                <w:rFonts w:ascii="Arial" w:cs="Arial" w:eastAsia="Arial" w:hAnsi="Arial"/>
                <w:b/>
                <w:bCs/>
                <w:color w:val="FFFFFF"/>
                <w:sz w:val="22"/>
                <w:szCs w:val="22"/>
              </w:rPr>
              <w:t xml:space="preserve">Metric</w:t>
            </w:r>
          </w:p>
        </w:tc>
        <w:tc>
          <w:tcPr>
            <w:tcW w:type="dxa" w:w="2200"/>
            <w:tcBorders>
              <w:top w:val="single" w:color="1A4A9C" w:sz="8"/>
              <w:left w:val="single" w:color="1A4A9C" w:sz="8"/>
              <w:bottom w:val="single" w:color="1A4A9C" w:sz="8"/>
              <w:right w:val="single" w:color="1A4A9C" w:sz="8"/>
            </w:tcBorders>
            <w:shd w:fill="0A1628" w:val="clear"/>
            <w:tcMar>
              <w:top w:type="dxa" w:w="80"/>
              <w:left w:type="dxa" w:w="120"/>
              <w:bottom w:type="dxa" w:w="80"/>
              <w:right w:type="dxa" w:w="120"/>
            </w:tcMar>
            <w:vAlign w:val="top"/>
          </w:tcPr>
          <w:p>
            <w:pPr>
              <w:spacing w:after="120"/>
            </w:pPr>
            <w:r>
              <w:rPr>
                <w:rFonts w:ascii="Arial" w:cs="Arial" w:eastAsia="Arial" w:hAnsi="Arial"/>
                <w:b/>
                <w:bCs/>
                <w:color w:val="FFFFFF"/>
                <w:sz w:val="22"/>
                <w:szCs w:val="22"/>
              </w:rPr>
              <w:t xml:space="preserve">Value</w:t>
            </w:r>
          </w:p>
        </w:tc>
        <w:tc>
          <w:tcPr>
            <w:tcW w:type="dxa" w:w="2560"/>
            <w:tcBorders>
              <w:top w:val="single" w:color="1A4A9C" w:sz="8"/>
              <w:left w:val="single" w:color="1A4A9C" w:sz="8"/>
              <w:bottom w:val="single" w:color="1A4A9C" w:sz="8"/>
              <w:right w:val="single" w:color="1A4A9C" w:sz="8"/>
            </w:tcBorders>
            <w:shd w:fill="0A1628" w:val="clear"/>
            <w:tcMar>
              <w:top w:type="dxa" w:w="80"/>
              <w:left w:type="dxa" w:w="120"/>
              <w:bottom w:type="dxa" w:w="80"/>
              <w:right w:type="dxa" w:w="120"/>
            </w:tcMar>
            <w:vAlign w:val="top"/>
          </w:tcPr>
          <w:p>
            <w:pPr>
              <w:spacing w:after="120"/>
            </w:pPr>
            <w:r>
              <w:rPr>
                <w:rFonts w:ascii="Arial" w:cs="Arial" w:eastAsia="Arial" w:hAnsi="Arial"/>
                <w:b/>
                <w:bCs/>
                <w:color w:val="FFFFFF"/>
                <w:sz w:val="22"/>
                <w:szCs w:val="22"/>
              </w:rPr>
              <w:t xml:space="preserve">Calculation</w:t>
            </w:r>
          </w:p>
        </w:tc>
        <w:tc>
          <w:tcPr>
            <w:tcW w:type="dxa" w:w="1800"/>
            <w:tcBorders>
              <w:top w:val="single" w:color="1A4A9C" w:sz="8"/>
              <w:left w:val="single" w:color="1A4A9C" w:sz="8"/>
              <w:bottom w:val="single" w:color="1A4A9C" w:sz="8"/>
              <w:right w:val="single" w:color="1A4A9C" w:sz="8"/>
            </w:tcBorders>
            <w:shd w:fill="0A1628" w:val="clear"/>
            <w:tcMar>
              <w:top w:type="dxa" w:w="80"/>
              <w:left w:type="dxa" w:w="120"/>
              <w:bottom w:type="dxa" w:w="80"/>
              <w:right w:type="dxa" w:w="120"/>
            </w:tcMar>
            <w:vAlign w:val="top"/>
          </w:tcPr>
          <w:p>
            <w:pPr>
              <w:spacing w:after="120"/>
            </w:pPr>
            <w:r>
              <w:rPr>
                <w:rFonts w:ascii="Arial" w:cs="Arial" w:eastAsia="Arial" w:hAnsi="Arial"/>
                <w:b/>
                <w:bCs/>
                <w:color w:val="FFFFFF"/>
                <w:sz w:val="22"/>
                <w:szCs w:val="22"/>
              </w:rPr>
              <w:t xml:space="preserve">Score</w:t>
            </w:r>
          </w:p>
        </w:tc>
      </w:tr>
      <w:tr>
        <w:tc>
          <w:tcPr>
            <w:tcW w:type="dxa" w:w="28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True Positives (14d)</w:t>
            </w:r>
          </w:p>
        </w:tc>
        <w:tc>
          <w:tcPr>
            <w:tcW w:type="dxa" w:w="22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23 of 28 submitted</w:t>
            </w:r>
          </w:p>
        </w:tc>
        <w:tc>
          <w:tcPr>
            <w:tcW w:type="dxa" w:w="256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23 / 28</w:t>
            </w:r>
          </w:p>
        </w:tc>
        <w:tc>
          <w:tcPr>
            <w:tcW w:type="dxa" w:w="18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b/>
                <w:bCs/>
                <w:color w:val="1A4A9C"/>
                <w:sz w:val="22"/>
                <w:szCs w:val="22"/>
              </w:rPr>
              <w:t xml:space="preserve">—</w:t>
            </w:r>
          </w:p>
        </w:tc>
      </w:tr>
      <w:tr>
        <w:tc>
          <w:tcPr>
            <w:tcW w:type="dxa" w:w="28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sz w:val="22"/>
                <w:szCs w:val="22"/>
              </w:rPr>
              <w:t xml:space="preserve">False Positives</w:t>
            </w:r>
          </w:p>
        </w:tc>
        <w:tc>
          <w:tcPr>
            <w:tcW w:type="dxa" w:w="22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sz w:val="22"/>
                <w:szCs w:val="22"/>
              </w:rPr>
              <w:t xml:space="preserve">3 false alarms</w:t>
            </w:r>
          </w:p>
        </w:tc>
        <w:tc>
          <w:tcPr>
            <w:tcW w:type="dxa" w:w="256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sz w:val="22"/>
                <w:szCs w:val="22"/>
              </w:rPr>
              <w:t xml:space="preserve">3 / 26 total alerts</w:t>
            </w:r>
          </w:p>
        </w:tc>
        <w:tc>
          <w:tcPr>
            <w:tcW w:type="dxa" w:w="18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b/>
                <w:bCs/>
                <w:color w:val="1A4A9C"/>
                <w:sz w:val="22"/>
                <w:szCs w:val="22"/>
              </w:rPr>
              <w:t xml:space="preserve">—</w:t>
            </w:r>
          </w:p>
        </w:tc>
      </w:tr>
      <w:tr>
        <w:tc>
          <w:tcPr>
            <w:tcW w:type="dxa" w:w="28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Precision</w:t>
            </w:r>
          </w:p>
        </w:tc>
        <w:tc>
          <w:tcPr>
            <w:tcW w:type="dxa" w:w="22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TP / (TP + FP)</w:t>
            </w:r>
          </w:p>
        </w:tc>
        <w:tc>
          <w:tcPr>
            <w:tcW w:type="dxa" w:w="256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23 / 26</w:t>
            </w:r>
          </w:p>
        </w:tc>
        <w:tc>
          <w:tcPr>
            <w:tcW w:type="dxa" w:w="18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b/>
                <w:bCs/>
                <w:color w:val="1A4A9C"/>
                <w:sz w:val="22"/>
                <w:szCs w:val="22"/>
              </w:rPr>
              <w:t xml:space="preserve">0.885</w:t>
            </w:r>
          </w:p>
        </w:tc>
      </w:tr>
      <w:tr>
        <w:tc>
          <w:tcPr>
            <w:tcW w:type="dxa" w:w="28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sz w:val="22"/>
                <w:szCs w:val="22"/>
              </w:rPr>
              <w:t xml:space="preserve">Recall</w:t>
            </w:r>
          </w:p>
        </w:tc>
        <w:tc>
          <w:tcPr>
            <w:tcW w:type="dxa" w:w="22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sz w:val="22"/>
                <w:szCs w:val="22"/>
              </w:rPr>
              <w:t xml:space="preserve">TP / (TP + FN)</w:t>
            </w:r>
          </w:p>
        </w:tc>
        <w:tc>
          <w:tcPr>
            <w:tcW w:type="dxa" w:w="256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sz w:val="22"/>
                <w:szCs w:val="22"/>
              </w:rPr>
              <w:t xml:space="preserve">23 / 25 real threats</w:t>
            </w:r>
          </w:p>
        </w:tc>
        <w:tc>
          <w:tcPr>
            <w:tcW w:type="dxa" w:w="18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b/>
                <w:bCs/>
                <w:color w:val="1A4A9C"/>
                <w:sz w:val="22"/>
                <w:szCs w:val="22"/>
              </w:rPr>
              <w:t xml:space="preserve">0.920</w:t>
            </w:r>
          </w:p>
        </w:tc>
      </w:tr>
      <w:tr>
        <w:tc>
          <w:tcPr>
            <w:tcW w:type="dxa" w:w="28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F1 Score</w:t>
            </w:r>
          </w:p>
        </w:tc>
        <w:tc>
          <w:tcPr>
            <w:tcW w:type="dxa" w:w="22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Harmonic mean of P and R</w:t>
            </w:r>
          </w:p>
        </w:tc>
        <w:tc>
          <w:tcPr>
            <w:tcW w:type="dxa" w:w="256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2 × 0.885 × 0.92 / 1.805</w:t>
            </w:r>
          </w:p>
        </w:tc>
        <w:tc>
          <w:tcPr>
            <w:tcW w:type="dxa" w:w="18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b/>
                <w:bCs/>
                <w:color w:val="1A4A9C"/>
                <w:sz w:val="22"/>
                <w:szCs w:val="22"/>
              </w:rPr>
              <w:t xml:space="preserve">0.901</w:t>
            </w:r>
          </w:p>
        </w:tc>
      </w:tr>
      <w:tr>
        <w:tc>
          <w:tcPr>
            <w:tcW w:type="dxa" w:w="28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sz w:val="22"/>
                <w:szCs w:val="22"/>
              </w:rPr>
              <w:t xml:space="preserve">Severity Accuracy</w:t>
            </w:r>
          </w:p>
        </w:tc>
        <w:tc>
          <w:tcPr>
            <w:tcW w:type="dxa" w:w="22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sz w:val="22"/>
                <w:szCs w:val="22"/>
              </w:rPr>
              <w:t xml:space="preserve">Correct within 1 severity band</w:t>
            </w:r>
          </w:p>
        </w:tc>
        <w:tc>
          <w:tcPr>
            <w:tcW w:type="dxa" w:w="256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sz w:val="22"/>
                <w:szCs w:val="22"/>
              </w:rPr>
              <w:t xml:space="preserve">21 of 23 correct</w:t>
            </w:r>
          </w:p>
        </w:tc>
        <w:tc>
          <w:tcPr>
            <w:tcW w:type="dxa" w:w="18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b/>
                <w:bCs/>
                <w:color w:val="1A4A9C"/>
                <w:sz w:val="22"/>
                <w:szCs w:val="22"/>
              </w:rPr>
              <w:t xml:space="preserve">0.913</w:t>
            </w:r>
          </w:p>
        </w:tc>
      </w:tr>
      <w:tr>
        <w:tc>
          <w:tcPr>
            <w:tcW w:type="dxa" w:w="28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Speed Score</w:t>
            </w:r>
          </w:p>
        </w:tc>
        <w:tc>
          <w:tcPr>
            <w:tcW w:type="dxa" w:w="22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Avg response 4.2 min</w:t>
            </w:r>
          </w:p>
        </w:tc>
        <w:tc>
          <w:tcPr>
            <w:tcW w:type="dxa" w:w="256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1 − (4.2 / 10 max)</w:t>
            </w:r>
          </w:p>
        </w:tc>
        <w:tc>
          <w:tcPr>
            <w:tcW w:type="dxa" w:w="18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b/>
                <w:bCs/>
                <w:color w:val="1A4A9C"/>
                <w:sz w:val="22"/>
                <w:szCs w:val="22"/>
              </w:rPr>
              <w:t xml:space="preserve">0.580</w:t>
            </w:r>
          </w:p>
        </w:tc>
      </w:tr>
      <w:tr>
        <w:tc>
          <w:tcPr>
            <w:tcW w:type="dxa" w:w="28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sz w:val="22"/>
                <w:szCs w:val="22"/>
              </w:rPr>
              <w:t xml:space="preserve">Weighted Base Score</w:t>
            </w:r>
          </w:p>
        </w:tc>
        <w:tc>
          <w:tcPr>
            <w:tcW w:type="dxa" w:w="22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sz w:val="22"/>
                <w:szCs w:val="22"/>
              </w:rPr>
              <w:t xml:space="preserve">F1×60 + Sev×25 + Speed×15</w:t>
            </w:r>
          </w:p>
        </w:tc>
        <w:tc>
          <w:tcPr>
            <w:tcW w:type="dxa" w:w="256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sz w:val="22"/>
                <w:szCs w:val="22"/>
              </w:rPr>
              <w:t xml:space="preserve">(0.901×0.60)+(0.913×0.25)+(0.580×0.15)</w:t>
            </w:r>
          </w:p>
        </w:tc>
        <w:tc>
          <w:tcPr>
            <w:tcW w:type="dxa" w:w="18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b/>
                <w:bCs/>
                <w:color w:val="1A4A9C"/>
                <w:sz w:val="22"/>
                <w:szCs w:val="22"/>
              </w:rPr>
              <w:t xml:space="preserve">0.857</w:t>
            </w:r>
          </w:p>
        </w:tc>
      </w:tr>
      <w:tr>
        <w:tc>
          <w:tcPr>
            <w:tcW w:type="dxa" w:w="28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EMA14 Applied</w:t>
            </w:r>
          </w:p>
        </w:tc>
        <w:tc>
          <w:tcPr>
            <w:tcW w:type="dxa" w:w="22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14-day exponential smoothing</w:t>
            </w:r>
          </w:p>
        </w:tc>
        <w:tc>
          <w:tcPr>
            <w:tcW w:type="dxa" w:w="256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EMA smoothing applied</w:t>
            </w:r>
          </w:p>
        </w:tc>
        <w:tc>
          <w:tcPr>
            <w:tcW w:type="dxa" w:w="18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b/>
                <w:bCs/>
                <w:color w:val="1A4A9C"/>
                <w:sz w:val="22"/>
                <w:szCs w:val="22"/>
              </w:rPr>
              <w:t xml:space="preserve">0.838</w:t>
            </w:r>
          </w:p>
        </w:tc>
      </w:tr>
      <w:tr>
        <w:tc>
          <w:tcPr>
            <w:tcW w:type="dxa" w:w="2800"/>
            <w:tcBorders>
              <w:top w:val="single" w:color="D5DCE8" w:sz="4"/>
              <w:left w:val="single" w:color="D5DCE8" w:sz="4"/>
              <w:bottom w:val="single" w:color="D5DCE8" w:sz="4"/>
              <w:right w:val="single" w:color="D5DCE8" w:sz="4"/>
            </w:tcBorders>
            <w:shd w:fill="0A1628" w:val="clear"/>
            <w:tcMar>
              <w:top w:type="dxa" w:w="80"/>
              <w:left w:type="dxa" w:w="120"/>
              <w:bottom w:type="dxa" w:w="80"/>
              <w:right w:type="dxa" w:w="120"/>
            </w:tcMar>
            <w:vAlign w:val="top"/>
          </w:tcPr>
          <w:p>
            <w:pPr>
              <w:spacing w:after="120"/>
            </w:pPr>
            <w:r>
              <w:rPr>
                <w:rFonts w:ascii="Arial" w:cs="Arial" w:eastAsia="Arial" w:hAnsi="Arial"/>
                <w:b/>
                <w:bCs/>
                <w:color w:val="FFFFFF"/>
                <w:sz w:val="22"/>
                <w:szCs w:val="22"/>
              </w:rPr>
              <w:t xml:space="preserve">FINAL SCORE</w:t>
            </w:r>
          </w:p>
        </w:tc>
        <w:tc>
          <w:tcPr>
            <w:tcW w:type="dxa" w:w="2200"/>
            <w:tcBorders>
              <w:top w:val="single" w:color="D5DCE8" w:sz="4"/>
              <w:left w:val="single" w:color="D5DCE8" w:sz="4"/>
              <w:bottom w:val="single" w:color="D5DCE8" w:sz="4"/>
              <w:right w:val="single" w:color="D5DCE8" w:sz="4"/>
            </w:tcBorders>
            <w:shd w:fill="0A1628" w:val="clear"/>
            <w:tcMar>
              <w:top w:type="dxa" w:w="80"/>
              <w:left w:type="dxa" w:w="120"/>
              <w:bottom w:type="dxa" w:w="80"/>
              <w:right w:type="dxa" w:w="120"/>
            </w:tcMar>
            <w:vAlign w:val="top"/>
          </w:tcPr>
          <w:p>
            <w:pPr>
              <w:spacing w:after="120"/>
            </w:pPr>
            <w:r>
              <w:rPr>
                <w:rFonts w:ascii="Arial" w:cs="Arial" w:eastAsia="Arial" w:hAnsi="Arial"/>
                <w:color w:val="FFFFFF"/>
                <w:sz w:val="22"/>
                <w:szCs w:val="22"/>
              </w:rPr>
              <w:t xml:space="preserve"/>
            </w:r>
          </w:p>
        </w:tc>
        <w:tc>
          <w:tcPr>
            <w:tcW w:type="dxa" w:w="2560"/>
            <w:tcBorders>
              <w:top w:val="single" w:color="D5DCE8" w:sz="4"/>
              <w:left w:val="single" w:color="D5DCE8" w:sz="4"/>
              <w:bottom w:val="single" w:color="D5DCE8" w:sz="4"/>
              <w:right w:val="single" w:color="D5DCE8" w:sz="4"/>
            </w:tcBorders>
            <w:shd w:fill="0A1628" w:val="clear"/>
            <w:tcMar>
              <w:top w:type="dxa" w:w="80"/>
              <w:left w:type="dxa" w:w="120"/>
              <w:bottom w:type="dxa" w:w="80"/>
              <w:right w:type="dxa" w:w="120"/>
            </w:tcMar>
            <w:vAlign w:val="top"/>
          </w:tcPr>
          <w:p>
            <w:pPr>
              <w:spacing w:after="120"/>
            </w:pPr>
            <w:r>
              <w:rPr>
                <w:rFonts w:ascii="Arial" w:cs="Arial" w:eastAsia="Arial" w:hAnsi="Arial"/>
                <w:color w:val="FFFFFF"/>
                <w:sz w:val="22"/>
                <w:szCs w:val="22"/>
              </w:rPr>
              <w:t xml:space="preserve"/>
            </w:r>
          </w:p>
        </w:tc>
        <w:tc>
          <w:tcPr>
            <w:tcW w:type="dxa" w:w="1800"/>
            <w:tcBorders>
              <w:top w:val="single" w:color="D5DCE8" w:sz="4"/>
              <w:left w:val="single" w:color="D5DCE8" w:sz="4"/>
              <w:bottom w:val="single" w:color="D5DCE8" w:sz="4"/>
              <w:right w:val="single" w:color="D5DCE8" w:sz="4"/>
            </w:tcBorders>
            <w:shd w:fill="0A1628" w:val="clear"/>
            <w:tcMar>
              <w:top w:type="dxa" w:w="80"/>
              <w:left w:type="dxa" w:w="120"/>
              <w:bottom w:type="dxa" w:w="80"/>
              <w:right w:type="dxa" w:w="120"/>
            </w:tcMar>
            <w:vAlign w:val="top"/>
          </w:tcPr>
          <w:p>
            <w:pPr>
              <w:spacing w:after="120"/>
            </w:pPr>
            <w:r>
              <w:rPr>
                <w:rFonts w:ascii="Arial" w:cs="Arial" w:eastAsia="Arial" w:hAnsi="Arial"/>
                <w:b/>
                <w:bCs/>
                <w:color w:val="C8860A"/>
                <w:sz w:val="26"/>
                <w:szCs w:val="26"/>
              </w:rPr>
              <w:t xml:space="preserve">0.838</w:t>
            </w:r>
          </w:p>
        </w:tc>
      </w:tr>
    </w:tbl>
    <w:p>
      <w:pPr>
        <w:spacing w:after="120"/>
      </w:pPr>
      <w:r>
        <w:rPr>
          <w:rFonts w:ascii="Arial" w:cs="Arial" w:eastAsia="Arial" w:hAnsi="Arial"/>
          <w:sz w:val="22"/>
          <w:szCs w:val="22"/>
        </w:rPr>
        <w:t xml:space="preserve">Miner X scores 0.838. Their Speed Score (0.580) is their weakest point. Dropping average response from 4.2 minutes to under 2 minutes would push their Final Score above 0.870, moving them into the top-5 emission bracket.</w:t>
      </w:r>
    </w:p>
    <w:p>
      <w:pPr>
        <w:spacing w:after="60"/>
      </w:pPr>
      <w:r>
        <w:rPr>
          <w:rFonts w:ascii="Arial" w:cs="Arial" w:eastAsia="Arial" w:hAnsi="Arial"/>
          <w:sz w:val="22"/>
          <w:szCs w:val="22"/>
        </w:rPr>
        <w:t xml:space="preserve"/>
      </w:r>
    </w:p>
    <w:p>
      <w:pPr>
        <w:pStyle w:val="Heading2"/>
        <w:spacing w:before="220" w:after="120"/>
      </w:pPr>
      <w:r>
        <w:rPr>
          <w:rFonts w:ascii="Arial" w:cs="Arial" w:eastAsia="Arial" w:hAnsi="Arial"/>
          <w:b/>
          <w:bCs/>
          <w:color w:val="1A4A9C"/>
          <w:sz w:val="26"/>
          <w:szCs w:val="26"/>
        </w:rPr>
        <w:t xml:space="preserve">2.4  Adversarial Defense Matrix</w:t>
      </w:r>
    </w:p>
    <w:p>
      <w:pPr>
        <w:spacing w:after="120"/>
      </w:pPr>
      <w:r>
        <w:rPr>
          <w:rFonts w:ascii="Arial" w:cs="Arial" w:eastAsia="Arial" w:hAnsi="Arial"/>
          <w:sz w:val="22"/>
          <w:szCs w:val="22"/>
        </w:rPr>
        <w:t xml:space="preserve">Every attack vector has been modelled. In each case, the cost of cheating exceeds the reward.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1A4A9C" w:sz="8"/>
              <w:left w:val="single" w:color="1A4A9C" w:sz="8"/>
              <w:bottom w:val="single" w:color="1A4A9C" w:sz="8"/>
              <w:right w:val="single" w:color="1A4A9C" w:sz="8"/>
            </w:tcBorders>
            <w:shd w:fill="0A1628" w:val="clear"/>
            <w:tcMar>
              <w:top w:type="dxa" w:w="80"/>
              <w:left w:type="dxa" w:w="120"/>
              <w:bottom w:type="dxa" w:w="80"/>
              <w:right w:type="dxa" w:w="120"/>
            </w:tcMar>
            <w:vAlign w:val="top"/>
          </w:tcPr>
          <w:p>
            <w:pPr>
              <w:spacing w:after="120"/>
            </w:pPr>
            <w:r>
              <w:rPr>
                <w:rFonts w:ascii="Arial" w:cs="Arial" w:eastAsia="Arial" w:hAnsi="Arial"/>
                <w:b/>
                <w:bCs/>
                <w:color w:val="FFFFFF"/>
                <w:sz w:val="22"/>
                <w:szCs w:val="22"/>
              </w:rPr>
              <w:t xml:space="preserve">Attack Vector</w:t>
            </w:r>
          </w:p>
        </w:tc>
        <w:tc>
          <w:tcPr>
            <w:tcW w:type="dxa" w:w="3560"/>
            <w:tcBorders>
              <w:top w:val="single" w:color="1A4A9C" w:sz="8"/>
              <w:left w:val="single" w:color="1A4A9C" w:sz="8"/>
              <w:bottom w:val="single" w:color="1A4A9C" w:sz="8"/>
              <w:right w:val="single" w:color="1A4A9C" w:sz="8"/>
            </w:tcBorders>
            <w:shd w:fill="0A1628" w:val="clear"/>
            <w:tcMar>
              <w:top w:type="dxa" w:w="80"/>
              <w:left w:type="dxa" w:w="120"/>
              <w:bottom w:type="dxa" w:w="80"/>
              <w:right w:type="dxa" w:w="120"/>
            </w:tcMar>
            <w:vAlign w:val="top"/>
          </w:tcPr>
          <w:p>
            <w:pPr>
              <w:spacing w:after="120"/>
            </w:pPr>
            <w:r>
              <w:rPr>
                <w:rFonts w:ascii="Arial" w:cs="Arial" w:eastAsia="Arial" w:hAnsi="Arial"/>
                <w:b/>
                <w:bCs/>
                <w:color w:val="FFFFFF"/>
                <w:sz w:val="22"/>
                <w:szCs w:val="22"/>
              </w:rPr>
              <w:t xml:space="preserve">Defense Mechanism</w:t>
            </w:r>
          </w:p>
        </w:tc>
        <w:tc>
          <w:tcPr>
            <w:tcW w:type="dxa" w:w="3600"/>
            <w:tcBorders>
              <w:top w:val="single" w:color="1A4A9C" w:sz="8"/>
              <w:left w:val="single" w:color="1A4A9C" w:sz="8"/>
              <w:bottom w:val="single" w:color="1A4A9C" w:sz="8"/>
              <w:right w:val="single" w:color="1A4A9C" w:sz="8"/>
            </w:tcBorders>
            <w:shd w:fill="0A1628" w:val="clear"/>
            <w:tcMar>
              <w:top w:type="dxa" w:w="80"/>
              <w:left w:type="dxa" w:w="120"/>
              <w:bottom w:type="dxa" w:w="80"/>
              <w:right w:type="dxa" w:w="120"/>
            </w:tcMar>
            <w:vAlign w:val="top"/>
          </w:tcPr>
          <w:p>
            <w:pPr>
              <w:spacing w:after="120"/>
            </w:pPr>
            <w:r>
              <w:rPr>
                <w:rFonts w:ascii="Arial" w:cs="Arial" w:eastAsia="Arial" w:hAnsi="Arial"/>
                <w:b/>
                <w:bCs/>
                <w:color w:val="FFFFFF"/>
                <w:sz w:val="22"/>
                <w:szCs w:val="22"/>
              </w:rPr>
              <w:t xml:space="preserve">Quantified Effect</w:t>
            </w:r>
          </w:p>
        </w:tc>
      </w:tr>
      <w:tr>
        <w:tc>
          <w:tcPr>
            <w:tcW w:type="dxa" w:w="22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b/>
                <w:bCs/>
                <w:color w:val="9B1C1C"/>
                <w:sz w:val="22"/>
                <w:szCs w:val="22"/>
              </w:rPr>
              <w:t xml:space="preserve">False positive spam</w:t>
            </w:r>
          </w:p>
        </w:tc>
        <w:tc>
          <w:tcPr>
            <w:tcW w:type="dxa" w:w="356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Sandbox verification + Precision penalty</w:t>
            </w:r>
          </w:p>
        </w:tc>
        <w:tc>
          <w:tcPr>
            <w:tcW w:type="dxa" w:w="36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3 false positives reduce Precision by ~12%, pushing miner below median — 0% top-bracket emissions.</w:t>
            </w:r>
          </w:p>
        </w:tc>
      </w:tr>
      <w:tr>
        <w:tc>
          <w:tcPr>
            <w:tcW w:type="dxa" w:w="22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b/>
                <w:bCs/>
                <w:color w:val="9B1C1C"/>
                <w:sz w:val="22"/>
                <w:szCs w:val="22"/>
              </w:rPr>
              <w:t xml:space="preserve">Missing real threats</w:t>
            </w:r>
          </w:p>
        </w:tc>
        <w:tc>
          <w:tcPr>
            <w:tcW w:type="dxa" w:w="356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sz w:val="22"/>
                <w:szCs w:val="22"/>
              </w:rPr>
              <w:t xml:space="preserve">Recall metric — missed threats penalised</w:t>
            </w:r>
          </w:p>
        </w:tc>
        <w:tc>
          <w:tcPr>
            <w:tcW w:type="dxa" w:w="36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sz w:val="22"/>
                <w:szCs w:val="22"/>
              </w:rPr>
              <w:t xml:space="preserve">Missing 3 of 10 real threats drops Recall to 0.70, dropping F1 below 0.780.</w:t>
            </w:r>
          </w:p>
        </w:tc>
      </w:tr>
      <w:tr>
        <w:tc>
          <w:tcPr>
            <w:tcW w:type="dxa" w:w="22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b/>
                <w:bCs/>
                <w:color w:val="9B1C1C"/>
                <w:sz w:val="22"/>
                <w:szCs w:val="22"/>
              </w:rPr>
              <w:t xml:space="preserve">Sybil attack</w:t>
            </w:r>
          </w:p>
        </w:tc>
        <w:tc>
          <w:tcPr>
            <w:tcW w:type="dxa" w:w="356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Min 1 TAO stake + copy-hash detection</w:t>
            </w:r>
          </w:p>
        </w:tc>
        <w:tc>
          <w:tcPr>
            <w:tcW w:type="dxa" w:w="36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100 fake miners cost 100 TAO upfront, earn less than 40 TAO total — a 60% guaranteed loss.</w:t>
            </w:r>
          </w:p>
        </w:tc>
      </w:tr>
      <w:tr>
        <w:tc>
          <w:tcPr>
            <w:tcW w:type="dxa" w:w="22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b/>
                <w:bCs/>
                <w:color w:val="9B1C1C"/>
                <w:sz w:val="22"/>
                <w:szCs w:val="22"/>
              </w:rPr>
              <w:t xml:space="preserve">Copying another miner</w:t>
            </w:r>
          </w:p>
        </w:tc>
        <w:tc>
          <w:tcPr>
            <w:tcW w:type="dxa" w:w="356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sz w:val="22"/>
                <w:szCs w:val="22"/>
              </w:rPr>
              <w:t xml:space="preserve">SHA-256 hash fingerprint + 10-min delay check</w:t>
            </w:r>
          </w:p>
        </w:tc>
        <w:tc>
          <w:tcPr>
            <w:tcW w:type="dxa" w:w="36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sz w:val="22"/>
                <w:szCs w:val="22"/>
              </w:rPr>
              <w:t xml:space="preserve">Duplicate reports receive 0% weight that epoch, every epoch.</w:t>
            </w:r>
          </w:p>
        </w:tc>
      </w:tr>
      <w:tr>
        <w:tc>
          <w:tcPr>
            <w:tcW w:type="dxa" w:w="22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b/>
                <w:bCs/>
                <w:color w:val="9B1C1C"/>
                <w:sz w:val="22"/>
                <w:szCs w:val="22"/>
              </w:rPr>
              <w:t xml:space="preserve">Severity inflation</w:t>
            </w:r>
          </w:p>
        </w:tc>
        <w:tc>
          <w:tcPr>
            <w:tcW w:type="dxa" w:w="356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Validator severity cross-check vs CVE database</w:t>
            </w:r>
          </w:p>
        </w:tc>
        <w:tc>
          <w:tcPr>
            <w:tcW w:type="dxa" w:w="36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Error greater than 1 band = severity score of 0 for that finding.</w:t>
            </w:r>
          </w:p>
        </w:tc>
      </w:tr>
      <w:tr>
        <w:tc>
          <w:tcPr>
            <w:tcW w:type="dxa" w:w="22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b/>
                <w:bCs/>
                <w:color w:val="9B1C1C"/>
                <w:sz w:val="22"/>
                <w:szCs w:val="22"/>
              </w:rPr>
              <w:t xml:space="preserve">Validator collusion</w:t>
            </w:r>
          </w:p>
        </w:tc>
        <w:tc>
          <w:tcPr>
            <w:tcW w:type="dxa" w:w="356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sz w:val="22"/>
                <w:szCs w:val="22"/>
              </w:rPr>
              <w:t xml:space="preserve">3 validators minimum, median score used</w:t>
            </w:r>
          </w:p>
        </w:tc>
        <w:tc>
          <w:tcPr>
            <w:tcW w:type="dxa" w:w="36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sz w:val="22"/>
                <w:szCs w:val="22"/>
              </w:rPr>
              <w:t xml:space="preserve">Outlier more than 15% from median is excluded automatically.</w:t>
            </w:r>
          </w:p>
        </w:tc>
      </w:tr>
      <w:tr>
        <w:tc>
          <w:tcPr>
            <w:tcW w:type="dxa" w:w="22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b/>
                <w:bCs/>
                <w:color w:val="9B1C1C"/>
                <w:sz w:val="22"/>
                <w:szCs w:val="22"/>
              </w:rPr>
              <w:t xml:space="preserve">Report replay (old CVEs)</w:t>
            </w:r>
          </w:p>
        </w:tc>
        <w:tc>
          <w:tcPr>
            <w:tcW w:type="dxa" w:w="356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Timestamp + CVE publication date check</w:t>
            </w:r>
          </w:p>
        </w:tc>
        <w:tc>
          <w:tcPr>
            <w:tcW w:type="dxa" w:w="36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CVEs older than 90 days rejected as stale every epoch.</w:t>
            </w:r>
          </w:p>
        </w:tc>
      </w:tr>
      <w:tr>
        <w:tc>
          <w:tcPr>
            <w:tcW w:type="dxa" w:w="22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b/>
                <w:bCs/>
                <w:color w:val="9B1C1C"/>
                <w:sz w:val="22"/>
                <w:szCs w:val="22"/>
              </w:rPr>
              <w:t xml:space="preserve">Fabricated report (no real exploit)</w:t>
            </w:r>
          </w:p>
        </w:tc>
        <w:tc>
          <w:tcPr>
            <w:tcW w:type="dxa" w:w="356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sz w:val="22"/>
                <w:szCs w:val="22"/>
              </w:rPr>
              <w:t xml:space="preserve">Sandbox cannot reproduce = false positive confirmed</w:t>
            </w:r>
          </w:p>
        </w:tc>
        <w:tc>
          <w:tcPr>
            <w:tcW w:type="dxa" w:w="36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sz w:val="22"/>
                <w:szCs w:val="22"/>
              </w:rPr>
              <w:t xml:space="preserve">Scoring degrades within 3 epochs to below-median — financially self-defeating.</w:t>
            </w:r>
          </w:p>
        </w:tc>
      </w:tr>
    </w:tbl>
    <w:p>
      <w:pPr>
        <w:spacing w:after="60"/>
      </w:pPr>
      <w:r>
        <w:rPr>
          <w:rFonts w:ascii="Arial" w:cs="Arial" w:eastAsia="Arial" w:hAnsi="Arial"/>
          <w:sz w:val="22"/>
          <w:szCs w:val="22"/>
        </w:rPr>
        <w:t xml:space="preserve"/>
      </w:r>
    </w:p>
    <w:p>
      <w:pPr>
        <w:pStyle w:val="Heading2"/>
        <w:spacing w:before="220" w:after="120"/>
      </w:pPr>
      <w:r>
        <w:rPr>
          <w:rFonts w:ascii="Arial" w:cs="Arial" w:eastAsia="Arial" w:hAnsi="Arial"/>
          <w:b/>
          <w:bCs/>
          <w:color w:val="1A4A9C"/>
          <w:sz w:val="26"/>
          <w:szCs w:val="26"/>
        </w:rPr>
        <w:t xml:space="preserve">2.5  Economic Security Analysis</w:t>
      </w:r>
    </w:p>
    <w:p>
      <w:pPr>
        <w:spacing w:after="120"/>
      </w:pPr>
      <w:r>
        <w:rPr>
          <w:rFonts w:ascii="Arial" w:cs="Arial" w:eastAsia="Arial" w:hAnsi="Arial"/>
          <w:sz w:val="22"/>
          <w:szCs w:val="22"/>
        </w:rPr>
        <w:t xml:space="preserve">The key economic principle is a single clean inequality: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1C1C" w:sz="8"/>
              <w:left w:val="single" w:color="9B1C1C" w:sz="8"/>
              <w:bottom w:val="single" w:color="9B1C1C" w:sz="8"/>
              <w:right w:val="single" w:color="9B1C1C" w:sz="8"/>
            </w:tcBorders>
            <w:shd w:fill="F2F5FA" w:val="clear"/>
            <w:tcMar>
              <w:top w:type="dxa" w:w="80"/>
              <w:left w:type="dxa" w:w="120"/>
              <w:bottom w:type="dxa" w:w="80"/>
              <w:right w:type="dxa" w:w="120"/>
            </w:tcMar>
            <w:vAlign w:val="top"/>
          </w:tcPr>
          <w:p>
            <w:pPr>
              <w:spacing w:after="120"/>
              <w:jc w:val="center"/>
            </w:pPr>
            <w:r>
              <w:rPr>
                <w:rFonts w:ascii="Arial" w:cs="Arial" w:eastAsia="Arial" w:hAnsi="Arial"/>
                <w:b/>
                <w:bCs/>
                <w:color w:val="9B1C1C"/>
                <w:sz w:val="26"/>
                <w:szCs w:val="26"/>
              </w:rPr>
              <w:t xml:space="preserve">Expected Attack Return  &lt;  Honest Mining Return</w:t>
            </w:r>
          </w:p>
        </w:tc>
      </w:tr>
    </w:tbl>
    <w:p>
      <w:pPr>
        <w:spacing w:after="60"/>
      </w:pPr>
      <w:r>
        <w:rPr>
          <w:rFonts w:ascii="Arial" w:cs="Arial" w:eastAsia="Arial" w:hAnsi="Arial"/>
          <w:sz w:val="22"/>
          <w:szCs w:val="22"/>
        </w:rPr>
        <w:t xml:space="preserve"/>
      </w:r>
    </w:p>
    <w:p>
      <w:pPr>
        <w:spacing w:after="120"/>
      </w:pPr>
      <w:r>
        <w:rPr>
          <w:rFonts w:ascii="Arial" w:cs="Arial" w:eastAsia="Arial" w:hAnsi="Arial"/>
          <w:b/>
          <w:bCs/>
          <w:sz w:val="22"/>
          <w:szCs w:val="22"/>
        </w:rPr>
        <w:t xml:space="preserve">Concrete scenario:</w:t>
      </w:r>
      <w:r>
        <w:rPr>
          <w:rFonts w:ascii="Arial" w:cs="Arial" w:eastAsia="Arial" w:hAnsi="Arial"/>
          <w:sz w:val="22"/>
          <w:szCs w:val="22"/>
        </w:rPr>
        <w:t xml:space="preserve"> Assume the subnet emits 200 TAO per epoch. An attacker runs 50 fake miner identities. Minimum stake cost: 50 TAO. Each fabricated report fails the sandbox and triggers Precision penalties. After 3 false positives, the miner falls below median — earning 0% of top-bracket emissions. Expected attack revenue: approximately 0.1 TAO per epoch per fake miner. Honest miners earn 1.2–3.5 TAO per epoch. The attack earns less than 10% of honest returns and destroys itself within 3 epochs.</w:t>
      </w:r>
    </w:p>
    <w:p>
      <w:pPr>
        <w:spacing w:after="120"/>
      </w:pPr>
      <w:r>
        <w:rPr>
          <w:rFonts w:ascii="Arial" w:cs="Arial" w:eastAsia="Arial" w:hAnsi="Arial"/>
          <w:sz w:val="22"/>
          <w:szCs w:val="22"/>
        </w:rPr>
        <w:t xml:space="preserve">Honest mining is the only strategy that produces a positive return.</w:t>
      </w:r>
    </w:p>
    <w:p>
      <w:pPr>
        <w:spacing w:after="60"/>
      </w:pPr>
      <w:r>
        <w:rPr>
          <w:rFonts w:ascii="Arial" w:cs="Arial" w:eastAsia="Arial" w:hAnsi="Arial"/>
          <w:sz w:val="22"/>
          <w:szCs w:val="22"/>
        </w:rPr>
        <w:t xml:space="preserve"/>
      </w:r>
    </w:p>
    <w:p>
      <w:pPr>
        <w:pStyle w:val="Heading1"/>
        <w:pBdr>
          <w:bottom w:val="single" w:color="1A4A9C" w:sz="8" w:space="4"/>
        </w:pBdr>
        <w:spacing w:before="300" w:after="160"/>
      </w:pPr>
      <w:r>
        <w:rPr>
          <w:rFonts w:ascii="Arial" w:cs="Arial" w:eastAsia="Arial" w:hAnsi="Arial"/>
          <w:b/>
          <w:bCs/>
          <w:color w:val="0A1628"/>
          <w:sz w:val="32"/>
          <w:szCs w:val="32"/>
        </w:rPr>
        <w:t xml:space="preserve">3. Miner Design</w:t>
      </w:r>
    </w:p>
    <w:p>
      <w:pPr>
        <w:pStyle w:val="Heading2"/>
        <w:spacing w:before="220" w:after="120"/>
      </w:pPr>
      <w:r>
        <w:rPr>
          <w:rFonts w:ascii="Arial" w:cs="Arial" w:eastAsia="Arial" w:hAnsi="Arial"/>
          <w:b/>
          <w:bCs/>
          <w:color w:val="1A4A9C"/>
          <w:sz w:val="26"/>
          <w:szCs w:val="26"/>
        </w:rPr>
        <w:t xml:space="preserve">3.1  Miner Tasks and Participation Requirements</w:t>
      </w:r>
    </w:p>
    <w:p>
      <w:pPr>
        <w:spacing w:after="120"/>
      </w:pPr>
      <w:r>
        <w:rPr>
          <w:rFonts w:ascii="Arial" w:cs="Arial" w:eastAsia="Arial" w:hAnsi="Arial"/>
          <w:sz w:val="22"/>
          <w:szCs w:val="22"/>
        </w:rPr>
        <w:t xml:space="preserve">Miners receive one of three task types per epoch:</w:t>
      </w:r>
    </w:p>
    <w:p>
      <w:pPr>
        <w:pStyle w:val="ListParagraph"/>
        <w:numPr>
          <w:ilvl w:val="0"/>
          <w:numId w:val="2"/>
        </w:numPr>
        <w:spacing w:after="80"/>
      </w:pPr>
      <w:r>
        <w:rPr>
          <w:rFonts w:ascii="Arial" w:cs="Arial" w:eastAsia="Arial" w:hAnsi="Arial"/>
          <w:b/>
          <w:bCs/>
          <w:sz w:val="22"/>
          <w:szCs w:val="22"/>
        </w:rPr>
        <w:t xml:space="preserve">Network log analysis</w:t>
      </w:r>
      <w:r>
        <w:rPr>
          <w:rFonts w:ascii="Arial" w:cs="Arial" w:eastAsia="Arial" w:hAnsi="Arial"/>
          <w:sz w:val="22"/>
          <w:szCs w:val="22"/>
        </w:rPr>
        <w:t xml:space="preserve"> — detecting intrusion patterns and anomalies.</w:t>
      </w:r>
    </w:p>
    <w:p>
      <w:pPr>
        <w:pStyle w:val="ListParagraph"/>
        <w:numPr>
          <w:ilvl w:val="0"/>
          <w:numId w:val="2"/>
        </w:numPr>
        <w:spacing w:after="80"/>
      </w:pPr>
      <w:r>
        <w:rPr>
          <w:rFonts w:ascii="Arial" w:cs="Arial" w:eastAsia="Arial" w:hAnsi="Arial"/>
          <w:b/>
          <w:bCs/>
          <w:sz w:val="22"/>
          <w:szCs w:val="22"/>
        </w:rPr>
        <w:t xml:space="preserve">Smart contract bytecode analysis</w:t>
      </w:r>
      <w:r>
        <w:rPr>
          <w:rFonts w:ascii="Arial" w:cs="Arial" w:eastAsia="Arial" w:hAnsi="Arial"/>
          <w:sz w:val="22"/>
          <w:szCs w:val="22"/>
        </w:rPr>
        <w:t xml:space="preserve"> — detecting reentrancy, overflow, access control flaws, and logic errors.</w:t>
      </w:r>
    </w:p>
    <w:p>
      <w:pPr>
        <w:pStyle w:val="ListParagraph"/>
        <w:numPr>
          <w:ilvl w:val="0"/>
          <w:numId w:val="2"/>
        </w:numPr>
        <w:spacing w:after="80"/>
      </w:pPr>
      <w:r>
        <w:rPr>
          <w:rFonts w:ascii="Arial" w:cs="Arial" w:eastAsia="Arial" w:hAnsi="Arial"/>
          <w:b/>
          <w:bCs/>
          <w:sz w:val="22"/>
          <w:szCs w:val="22"/>
        </w:rPr>
        <w:t xml:space="preserve">System snapshot analysis</w:t>
      </w:r>
      <w:r>
        <w:rPr>
          <w:rFonts w:ascii="Arial" w:cs="Arial" w:eastAsia="Arial" w:hAnsi="Arial"/>
          <w:sz w:val="22"/>
          <w:szCs w:val="22"/>
        </w:rPr>
        <w:t xml:space="preserve"> — detecting misconfigurations, privilege escalation paths, and exposed services.</w:t>
      </w:r>
    </w:p>
    <w:p>
      <w:pPr>
        <w:spacing w:after="120"/>
      </w:pPr>
      <w:r>
        <w:rPr>
          <w:rFonts w:ascii="Arial" w:cs="Arial" w:eastAsia="Arial" w:hAnsi="Arial"/>
          <w:sz w:val="22"/>
          <w:szCs w:val="22"/>
        </w:rPr>
        <w:t xml:space="preserve">Miners must submit in at least 5 of every 7 consecutive epochs to remain in active ranking. Miners who drop below this threshold enter a dormant state and earn zero emissions until they resume.</w:t>
      </w:r>
    </w:p>
    <w:p>
      <w:pPr>
        <w:spacing w:after="60"/>
      </w:pPr>
      <w:r>
        <w:rPr>
          <w:rFonts w:ascii="Arial" w:cs="Arial" w:eastAsia="Arial" w:hAnsi="Arial"/>
          <w:sz w:val="22"/>
          <w:szCs w:val="22"/>
        </w:rPr>
        <w:t xml:space="preserve"/>
      </w:r>
    </w:p>
    <w:p>
      <w:pPr>
        <w:pStyle w:val="Heading2"/>
        <w:spacing w:before="220" w:after="120"/>
      </w:pPr>
      <w:r>
        <w:rPr>
          <w:rFonts w:ascii="Arial" w:cs="Arial" w:eastAsia="Arial" w:hAnsi="Arial"/>
          <w:b/>
          <w:bCs/>
          <w:color w:val="1A4A9C"/>
          <w:sz w:val="26"/>
          <w:szCs w:val="26"/>
        </w:rPr>
        <w:t xml:space="preserve">3.2  Input and Output Format</w:t>
      </w:r>
    </w:p>
    <w:p>
      <w:pPr>
        <w:spacing w:after="120"/>
      </w:pPr>
      <w:r>
        <w:rPr>
          <w:rFonts w:ascii="Arial" w:cs="Arial" w:eastAsia="Arial" w:hAnsi="Arial"/>
          <w:sz w:val="22"/>
          <w:szCs w:val="22"/>
        </w:rPr>
        <w:t xml:space="preserve">Each task arrives from the validator as a signed, structured JSON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CE8" w:sz="4"/>
              <w:left w:val="single" w:color="D5DCE8" w:sz="4"/>
              <w:bottom w:val="single" w:color="D5DCE8" w:sz="4"/>
              <w:right w:val="single" w:color="D5DCE8" w:sz="4"/>
            </w:tcBorders>
            <w:shd w:fill="F9F9F9" w:val="clear"/>
            <w:tcMar>
              <w:top w:type="dxa" w:w="80"/>
              <w:left w:type="dxa" w:w="120"/>
              <w:bottom w:type="dxa" w:w="80"/>
              <w:right w:type="dxa" w:w="120"/>
            </w:tcMar>
            <w:vAlign w:val="top"/>
          </w:tcPr>
          <w:p>
            <w:pPr>
              <w:spacing w:after="120"/>
            </w:pPr>
            <w:r>
              <w:rPr>
                <w:rFonts w:ascii="Arial" w:cs="Arial" w:eastAsia="Arial" w:hAnsi="Arial"/>
                <w:b/>
                <w:bCs/>
                <w:color w:val="1A4A9C"/>
                <w:sz w:val="22"/>
                <w:szCs w:val="22"/>
              </w:rPr>
              <w:t xml:space="preserve">Task Input (from validator):</w:t>
            </w:r>
          </w:p>
          <w:p>
            <w:pPr>
              <w:spacing w:after="120"/>
            </w:pPr>
            <w:r>
              <w:rPr>
                <w:rFonts w:ascii="Arial" w:cs="Arial" w:eastAsia="Arial" w:hAnsi="Arial"/>
                <w:sz w:val="22"/>
                <w:szCs w:val="22"/>
              </w:rPr>
              <w:t xml:space="preserve">{ "task_id": "epoch_4821_task_003",</w:t>
            </w:r>
          </w:p>
          <w:p>
            <w:pPr>
              <w:spacing w:after="120"/>
            </w:pPr>
            <w:r>
              <w:rPr>
                <w:rFonts w:ascii="Arial" w:cs="Arial" w:eastAsia="Arial" w:hAnsi="Arial"/>
                <w:sz w:val="22"/>
                <w:szCs w:val="22"/>
              </w:rPr>
              <w:t xml:space="preserve">  "task_type": "smart_contract",</w:t>
            </w:r>
          </w:p>
          <w:p>
            <w:pPr>
              <w:spacing w:after="120"/>
            </w:pPr>
            <w:r>
              <w:rPr>
                <w:rFonts w:ascii="Arial" w:cs="Arial" w:eastAsia="Arial" w:hAnsi="Arial"/>
                <w:sz w:val="22"/>
                <w:szCs w:val="22"/>
              </w:rPr>
              <w:t xml:space="preserve">  "input_hash": "sha256:abc123...",</w:t>
            </w:r>
          </w:p>
          <w:p>
            <w:pPr>
              <w:spacing w:after="120"/>
            </w:pPr>
            <w:r>
              <w:rPr>
                <w:rFonts w:ascii="Arial" w:cs="Arial" w:eastAsia="Arial" w:hAnsi="Arial"/>
                <w:sz w:val="22"/>
                <w:szCs w:val="22"/>
              </w:rPr>
              <w:t xml:space="preserve">  "input_data": "&lt;base64 encoded bytecode or log&gt;",</w:t>
            </w:r>
          </w:p>
          <w:p>
            <w:pPr>
              <w:spacing w:after="120"/>
            </w:pPr>
            <w:r>
              <w:rPr>
                <w:rFonts w:ascii="Arial" w:cs="Arial" w:eastAsia="Arial" w:hAnsi="Arial"/>
                <w:sz w:val="22"/>
                <w:szCs w:val="22"/>
              </w:rPr>
              <w:t xml:space="preserve">  "deadline": 1734500000 }</w:t>
            </w:r>
          </w:p>
        </w:tc>
      </w:tr>
    </w:tbl>
    <w:p>
      <w:pPr>
        <w:spacing w:after="60"/>
      </w:pPr>
      <w:r>
        <w:rPr>
          <w:rFonts w:ascii="Arial" w:cs="Arial" w:eastAsia="Arial" w:hAnsi="Arial"/>
          <w:sz w:val="22"/>
          <w:szCs w:val="22"/>
        </w:rPr>
        <w:t xml:space="preserve"/>
      </w:r>
    </w:p>
    <w:p>
      <w:pPr>
        <w:spacing w:after="120"/>
      </w:pPr>
      <w:r>
        <w:rPr>
          <w:rFonts w:ascii="Arial" w:cs="Arial" w:eastAsia="Arial" w:hAnsi="Arial"/>
          <w:sz w:val="22"/>
          <w:szCs w:val="22"/>
        </w:rPr>
        <w:t xml:space="preserve">Each miner's threat report response is structured and cryptographically 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CE8" w:sz="4"/>
              <w:left w:val="single" w:color="D5DCE8" w:sz="4"/>
              <w:bottom w:val="single" w:color="D5DCE8" w:sz="4"/>
              <w:right w:val="single" w:color="D5DCE8" w:sz="4"/>
            </w:tcBorders>
            <w:shd w:fill="F9F9F9" w:val="clear"/>
            <w:tcMar>
              <w:top w:type="dxa" w:w="80"/>
              <w:left w:type="dxa" w:w="120"/>
              <w:bottom w:type="dxa" w:w="80"/>
              <w:right w:type="dxa" w:w="120"/>
            </w:tcMar>
            <w:vAlign w:val="top"/>
          </w:tcPr>
          <w:p>
            <w:pPr>
              <w:spacing w:after="120"/>
            </w:pPr>
            <w:r>
              <w:rPr>
                <w:rFonts w:ascii="Arial" w:cs="Arial" w:eastAsia="Arial" w:hAnsi="Arial"/>
                <w:b/>
                <w:bCs/>
                <w:color w:val="1A4A9C"/>
                <w:sz w:val="22"/>
                <w:szCs w:val="22"/>
              </w:rPr>
              <w:t xml:space="preserve">Miner Threat Report Output:</w:t>
            </w:r>
          </w:p>
          <w:p>
            <w:pPr>
              <w:spacing w:after="120"/>
            </w:pPr>
            <w:r>
              <w:rPr>
                <w:rFonts w:ascii="Arial" w:cs="Arial" w:eastAsia="Arial" w:hAnsi="Arial"/>
                <w:sz w:val="22"/>
                <w:szCs w:val="22"/>
              </w:rPr>
              <w:t xml:space="preserve">{ "task_id": "epoch_4821_task_003",</w:t>
            </w:r>
          </w:p>
          <w:p>
            <w:pPr>
              <w:spacing w:after="120"/>
            </w:pPr>
            <w:r>
              <w:rPr>
                <w:rFonts w:ascii="Arial" w:cs="Arial" w:eastAsia="Arial" w:hAnsi="Arial"/>
                <w:sz w:val="22"/>
                <w:szCs w:val="22"/>
              </w:rPr>
              <w:t xml:space="preserve">  "miner_hotkey": "5Grwva...",</w:t>
            </w:r>
          </w:p>
          <w:p>
            <w:pPr>
              <w:spacing w:after="120"/>
            </w:pPr>
            <w:r>
              <w:rPr>
                <w:rFonts w:ascii="Arial" w:cs="Arial" w:eastAsia="Arial" w:hAnsi="Arial"/>
                <w:sz w:val="22"/>
                <w:szCs w:val="22"/>
              </w:rPr>
              <w:t xml:space="preserve">  "submitted_at": 1734499750,</w:t>
            </w:r>
          </w:p>
          <w:p>
            <w:pPr>
              <w:spacing w:after="120"/>
            </w:pPr>
            <w:r>
              <w:rPr>
                <w:rFonts w:ascii="Arial" w:cs="Arial" w:eastAsia="Arial" w:hAnsi="Arial"/>
                <w:sz w:val="22"/>
                <w:szCs w:val="22"/>
              </w:rPr>
              <w:t xml:space="preserve">  "threats": [</w:t>
            </w:r>
          </w:p>
          <w:p>
            <w:pPr>
              <w:spacing w:after="120"/>
            </w:pPr>
            <w:r>
              <w:rPr>
                <w:rFonts w:ascii="Arial" w:cs="Arial" w:eastAsia="Arial" w:hAnsi="Arial"/>
                <w:sz w:val="22"/>
                <w:szCs w:val="22"/>
              </w:rPr>
              <w:t xml:space="preserve">    { "type": "reentrancy",</w:t>
            </w:r>
          </w:p>
          <w:p>
            <w:pPr>
              <w:spacing w:after="120"/>
            </w:pPr>
            <w:r>
              <w:rPr>
                <w:rFonts w:ascii="Arial" w:cs="Arial" w:eastAsia="Arial" w:hAnsi="Arial"/>
                <w:sz w:val="22"/>
                <w:szCs w:val="22"/>
              </w:rPr>
              <w:t xml:space="preserve">      "location": "contract:0xDEAD..., function: withdraw()",</w:t>
            </w:r>
          </w:p>
          <w:p>
            <w:pPr>
              <w:spacing w:after="120"/>
            </w:pPr>
            <w:r>
              <w:rPr>
                <w:rFonts w:ascii="Arial" w:cs="Arial" w:eastAsia="Arial" w:hAnsi="Arial"/>
                <w:sz w:val="22"/>
                <w:szCs w:val="22"/>
              </w:rPr>
              <w:t xml:space="preserve">      "severity": "CRITICAL", "cvss": 9.1,</w:t>
            </w:r>
          </w:p>
          <w:p>
            <w:pPr>
              <w:spacing w:after="120"/>
            </w:pPr>
            <w:r>
              <w:rPr>
                <w:rFonts w:ascii="Arial" w:cs="Arial" w:eastAsia="Arial" w:hAnsi="Arial"/>
                <w:sz w:val="22"/>
                <w:szCs w:val="22"/>
              </w:rPr>
              <w:t xml:space="preserve">      "cve_ref": "CVE-2023-29456",</w:t>
            </w:r>
          </w:p>
          <w:p>
            <w:pPr>
              <w:spacing w:after="120"/>
            </w:pPr>
            <w:r>
              <w:rPr>
                <w:rFonts w:ascii="Arial" w:cs="Arial" w:eastAsia="Arial" w:hAnsi="Arial"/>
                <w:sz w:val="22"/>
                <w:szCs w:val="22"/>
              </w:rPr>
              <w:t xml:space="preserve">      "action": "Add reentrancy guard before external call at line 142" }</w:t>
            </w:r>
          </w:p>
          <w:p>
            <w:pPr>
              <w:spacing w:after="120"/>
            </w:pPr>
            <w:r>
              <w:rPr>
                <w:rFonts w:ascii="Arial" w:cs="Arial" w:eastAsia="Arial" w:hAnsi="Arial"/>
                <w:sz w:val="22"/>
                <w:szCs w:val="22"/>
              </w:rPr>
              <w:t xml:space="preserve">  ], "confidence": 0.91, "signature": "0xabc..." }</w:t>
            </w:r>
          </w:p>
        </w:tc>
      </w:tr>
    </w:tbl>
    <w:p>
      <w:pPr>
        <w:spacing w:after="120"/>
      </w:pPr>
      <w:r>
        <w:rPr>
          <w:rFonts w:ascii="Arial" w:cs="Arial" w:eastAsia="Arial" w:hAnsi="Arial"/>
          <w:sz w:val="22"/>
          <w:szCs w:val="22"/>
        </w:rPr>
        <w:t xml:space="preserve">All submissions are cryptographically signed with the miner's hotkey and timestamped on-chain. The structured threat array allows validators to test each finding independently in the sandbox — a miner who finds 5 threats gets scored on each one separately.</w:t>
      </w:r>
    </w:p>
    <w:p>
      <w:pPr>
        <w:spacing w:after="60"/>
      </w:pPr>
      <w:r>
        <w:rPr>
          <w:rFonts w:ascii="Arial" w:cs="Arial" w:eastAsia="Arial" w:hAnsi="Arial"/>
          <w:sz w:val="22"/>
          <w:szCs w:val="22"/>
        </w:rPr>
        <w:t xml:space="preserve"/>
      </w:r>
    </w:p>
    <w:p>
      <w:pPr>
        <w:pStyle w:val="Heading2"/>
        <w:spacing w:before="220" w:after="120"/>
      </w:pPr>
      <w:r>
        <w:rPr>
          <w:rFonts w:ascii="Arial" w:cs="Arial" w:eastAsia="Arial" w:hAnsi="Arial"/>
          <w:b/>
          <w:bCs/>
          <w:color w:val="1A4A9C"/>
          <w:sz w:val="26"/>
          <w:szCs w:val="26"/>
        </w:rPr>
        <w:t xml:space="preserve">3.3  Performance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c>
          <w:tcPr>
            <w:tcW w:type="dxa" w:w="2200"/>
            <w:tcBorders>
              <w:top w:val="single" w:color="1A4A9C" w:sz="8"/>
              <w:left w:val="single" w:color="1A4A9C" w:sz="8"/>
              <w:bottom w:val="single" w:color="1A4A9C" w:sz="8"/>
              <w:right w:val="single" w:color="1A4A9C" w:sz="8"/>
            </w:tcBorders>
            <w:shd w:fill="0A1628" w:val="clear"/>
            <w:tcMar>
              <w:top w:type="dxa" w:w="80"/>
              <w:left w:type="dxa" w:w="120"/>
              <w:bottom w:type="dxa" w:w="80"/>
              <w:right w:type="dxa" w:w="120"/>
            </w:tcMar>
            <w:vAlign w:val="top"/>
          </w:tcPr>
          <w:p>
            <w:pPr>
              <w:spacing w:after="120"/>
            </w:pPr>
            <w:r>
              <w:rPr>
                <w:rFonts w:ascii="Arial" w:cs="Arial" w:eastAsia="Arial" w:hAnsi="Arial"/>
                <w:b/>
                <w:bCs/>
                <w:color w:val="FFFFFF"/>
                <w:sz w:val="22"/>
                <w:szCs w:val="22"/>
              </w:rPr>
              <w:t xml:space="preserve">Dimension</w:t>
            </w:r>
          </w:p>
        </w:tc>
        <w:tc>
          <w:tcPr>
            <w:tcW w:type="dxa" w:w="4760"/>
            <w:tcBorders>
              <w:top w:val="single" w:color="1A4A9C" w:sz="8"/>
              <w:left w:val="single" w:color="1A4A9C" w:sz="8"/>
              <w:bottom w:val="single" w:color="1A4A9C" w:sz="8"/>
              <w:right w:val="single" w:color="1A4A9C" w:sz="8"/>
            </w:tcBorders>
            <w:shd w:fill="0A1628" w:val="clear"/>
            <w:tcMar>
              <w:top w:type="dxa" w:w="80"/>
              <w:left w:type="dxa" w:w="120"/>
              <w:bottom w:type="dxa" w:w="80"/>
              <w:right w:type="dxa" w:w="120"/>
            </w:tcMar>
            <w:vAlign w:val="top"/>
          </w:tcPr>
          <w:p>
            <w:pPr>
              <w:spacing w:after="120"/>
            </w:pPr>
            <w:r>
              <w:rPr>
                <w:rFonts w:ascii="Arial" w:cs="Arial" w:eastAsia="Arial" w:hAnsi="Arial"/>
                <w:b/>
                <w:bCs/>
                <w:color w:val="FFFFFF"/>
                <w:sz w:val="22"/>
                <w:szCs w:val="22"/>
              </w:rPr>
              <w:t xml:space="preserve">What It Measures</w:t>
            </w:r>
          </w:p>
        </w:tc>
        <w:tc>
          <w:tcPr>
            <w:tcW w:type="dxa" w:w="2400"/>
            <w:tcBorders>
              <w:top w:val="single" w:color="1A4A9C" w:sz="8"/>
              <w:left w:val="single" w:color="1A4A9C" w:sz="8"/>
              <w:bottom w:val="single" w:color="1A4A9C" w:sz="8"/>
              <w:right w:val="single" w:color="1A4A9C" w:sz="8"/>
            </w:tcBorders>
            <w:shd w:fill="0A1628" w:val="clear"/>
            <w:tcMar>
              <w:top w:type="dxa" w:w="80"/>
              <w:left w:type="dxa" w:w="120"/>
              <w:bottom w:type="dxa" w:w="80"/>
              <w:right w:type="dxa" w:w="120"/>
            </w:tcMar>
            <w:vAlign w:val="top"/>
          </w:tcPr>
          <w:p>
            <w:pPr>
              <w:spacing w:after="120"/>
            </w:pPr>
            <w:r>
              <w:rPr>
                <w:rFonts w:ascii="Arial" w:cs="Arial" w:eastAsia="Arial" w:hAnsi="Arial"/>
                <w:b/>
                <w:bCs/>
                <w:color w:val="FFFFFF"/>
                <w:sz w:val="22"/>
                <w:szCs w:val="22"/>
              </w:rPr>
              <w:t xml:space="preserve">Weight</w:t>
            </w:r>
          </w:p>
        </w:tc>
      </w:tr>
      <w:tr>
        <w:tc>
          <w:tcPr>
            <w:tcW w:type="dxa" w:w="22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b/>
                <w:bCs/>
                <w:color w:val="0A1628"/>
                <w:sz w:val="22"/>
                <w:szCs w:val="22"/>
              </w:rPr>
              <w:t xml:space="preserve">F1 Score</w:t>
            </w:r>
          </w:p>
        </w:tc>
        <w:tc>
          <w:tcPr>
            <w:tcW w:type="dxa" w:w="476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Harmonic mean of Precision and Recall — single balanced accuracy metric.</w:t>
            </w:r>
          </w:p>
        </w:tc>
        <w:tc>
          <w:tcPr>
            <w:tcW w:type="dxa" w:w="24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b/>
                <w:bCs/>
                <w:color w:val="1A4A9C"/>
                <w:sz w:val="22"/>
                <w:szCs w:val="22"/>
              </w:rPr>
              <w:t xml:space="preserve">60%</w:t>
            </w:r>
          </w:p>
        </w:tc>
      </w:tr>
      <w:tr>
        <w:tc>
          <w:tcPr>
            <w:tcW w:type="dxa" w:w="22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b/>
                <w:bCs/>
                <w:color w:val="0A1628"/>
                <w:sz w:val="22"/>
                <w:szCs w:val="22"/>
              </w:rPr>
              <w:t xml:space="preserve">Severity Accuracy</w:t>
            </w:r>
          </w:p>
        </w:tc>
        <w:tc>
          <w:tcPr>
            <w:tcW w:type="dxa" w:w="476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sz w:val="22"/>
                <w:szCs w:val="22"/>
              </w:rPr>
              <w:t xml:space="preserve">Correctness of CVSS severity rating within one severity band.</w:t>
            </w:r>
          </w:p>
        </w:tc>
        <w:tc>
          <w:tcPr>
            <w:tcW w:type="dxa" w:w="24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b/>
                <w:bCs/>
                <w:color w:val="1A4A9C"/>
                <w:sz w:val="22"/>
                <w:szCs w:val="22"/>
              </w:rPr>
              <w:t xml:space="preserve">25%</w:t>
            </w:r>
          </w:p>
        </w:tc>
      </w:tr>
      <w:tr>
        <w:tc>
          <w:tcPr>
            <w:tcW w:type="dxa" w:w="22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b/>
                <w:bCs/>
                <w:color w:val="0A1628"/>
                <w:sz w:val="22"/>
                <w:szCs w:val="22"/>
              </w:rPr>
              <w:t xml:space="preserve">Speed Score</w:t>
            </w:r>
          </w:p>
        </w:tc>
        <w:tc>
          <w:tcPr>
            <w:tcW w:type="dxa" w:w="476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Response time from task receipt to submission (10-minute maximum window).</w:t>
            </w:r>
          </w:p>
        </w:tc>
        <w:tc>
          <w:tcPr>
            <w:tcW w:type="dxa" w:w="24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b/>
                <w:bCs/>
                <w:color w:val="1A4A9C"/>
                <w:sz w:val="22"/>
                <w:szCs w:val="22"/>
              </w:rPr>
              <w:t xml:space="preserve">15%</w:t>
            </w:r>
          </w:p>
        </w:tc>
      </w:tr>
      <w:tr>
        <w:tc>
          <w:tcPr>
            <w:tcW w:type="dxa" w:w="22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b/>
                <w:bCs/>
                <w:color w:val="0A1628"/>
                <w:sz w:val="22"/>
                <w:szCs w:val="22"/>
              </w:rPr>
              <w:t xml:space="preserve">Novelty Bonus</w:t>
            </w:r>
          </w:p>
        </w:tc>
        <w:tc>
          <w:tcPr>
            <w:tcW w:type="dxa" w:w="476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sz w:val="22"/>
                <w:szCs w:val="22"/>
              </w:rPr>
              <w:t xml:space="preserve">Finding a zero-day or undocumented vulnerability earns +10% emission bonus.</w:t>
            </w:r>
          </w:p>
        </w:tc>
        <w:tc>
          <w:tcPr>
            <w:tcW w:type="dxa" w:w="24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b/>
                <w:bCs/>
                <w:color w:val="1A4A9C"/>
                <w:sz w:val="22"/>
                <w:szCs w:val="22"/>
              </w:rPr>
              <w:t xml:space="preserve">+10% (separate)</w:t>
            </w:r>
          </w:p>
        </w:tc>
      </w:tr>
    </w:tbl>
    <w:p>
      <w:pPr>
        <w:spacing w:after="120"/>
      </w:pPr>
      <w:r>
        <w:rPr>
          <w:rFonts w:ascii="Arial" w:cs="Arial" w:eastAsia="Arial" w:hAnsi="Arial"/>
          <w:sz w:val="22"/>
          <w:szCs w:val="22"/>
        </w:rPr>
        <w:t xml:space="preserve">The Novelty Bonus is SentinelNet's most powerful incentive for elite miners. Finding a zero-day earns a 10% emission bonus on top of the standard Final Score weight. This creates a strong incentive for the best miners to push beyond known CVE matching and build genuinely novel detection capabilities.</w:t>
      </w:r>
    </w:p>
    <w:p>
      <w:pPr>
        <w:spacing w:after="60"/>
      </w:pPr>
      <w:r>
        <w:rPr>
          <w:rFonts w:ascii="Arial" w:cs="Arial" w:eastAsia="Arial" w:hAnsi="Arial"/>
          <w:sz w:val="22"/>
          <w:szCs w:val="22"/>
        </w:rPr>
        <w:t xml:space="preserve"/>
      </w:r>
    </w:p>
    <w:p>
      <w:pPr>
        <w:pStyle w:val="Heading1"/>
        <w:pBdr>
          <w:bottom w:val="single" w:color="1A4A9C" w:sz="8" w:space="4"/>
        </w:pBdr>
        <w:spacing w:before="300" w:after="160"/>
      </w:pPr>
      <w:r>
        <w:rPr>
          <w:rFonts w:ascii="Arial" w:cs="Arial" w:eastAsia="Arial" w:hAnsi="Arial"/>
          <w:b/>
          <w:bCs/>
          <w:color w:val="0A1628"/>
          <w:sz w:val="32"/>
          <w:szCs w:val="32"/>
        </w:rPr>
        <w:t xml:space="preserve">4. Validator Design</w:t>
      </w:r>
    </w:p>
    <w:p>
      <w:pPr>
        <w:pStyle w:val="Heading2"/>
        <w:spacing w:before="220" w:after="120"/>
      </w:pPr>
      <w:r>
        <w:rPr>
          <w:rFonts w:ascii="Arial" w:cs="Arial" w:eastAsia="Arial" w:hAnsi="Arial"/>
          <w:b/>
          <w:bCs/>
          <w:color w:val="1A4A9C"/>
          <w:sz w:val="26"/>
          <w:szCs w:val="26"/>
        </w:rPr>
        <w:t xml:space="preserve">4.1  Sandbox Verification</w:t>
      </w:r>
    </w:p>
    <w:p>
      <w:pPr>
        <w:spacing w:after="120"/>
      </w:pPr>
      <w:r>
        <w:rPr>
          <w:rFonts w:ascii="Arial" w:cs="Arial" w:eastAsia="Arial" w:hAnsi="Arial"/>
          <w:sz w:val="22"/>
          <w:szCs w:val="22"/>
        </w:rPr>
        <w:t xml:space="preserve">Validators do not review miner reports — they test them. Each validator runs an isolated Docker container that mirrors the environment the miner analysed. Reported vulnerabilities are replayed inside this container to confirm whether they are real. The container is read-only, network-isolated, and destroyed automatically after each test.</w:t>
      </w:r>
    </w:p>
    <w:p>
      <w:pPr>
        <w:spacing w:after="120"/>
      </w:pPr>
      <w:r>
        <w:rPr>
          <w:rFonts w:ascii="Arial" w:cs="Arial" w:eastAsia="Arial" w:hAnsi="Arial"/>
          <w:sz w:val="22"/>
          <w:szCs w:val="22"/>
        </w:rPr>
        <w:t xml:space="preserve">SentinelNet does not test live systems. It tests controlled replicas. Validators only process synthetic data, anonymised public datasets, and explicitly consented audit inputs. All consented inputs are hashed and logged on-chain before use. This boundary — enforced at the protocol level — separates SentinelNet from an attack tool.</w:t>
      </w:r>
    </w:p>
    <w:p>
      <w:pPr>
        <w:spacing w:after="120"/>
      </w:pPr>
      <w:r>
        <w:rPr>
          <w:rFonts w:ascii="Arial" w:cs="Arial" w:eastAsia="Arial" w:hAnsi="Arial"/>
          <w:sz w:val="22"/>
          <w:szCs w:val="22"/>
        </w:rPr>
        <w:t xml:space="preserve">No other subnet type uses live exploit replay as its scoring mechanism. That is what makes SentinelNet's Proof of Intelligence structurally unique on Bittensor.</w:t>
      </w:r>
    </w:p>
    <w:p>
      <w:pPr>
        <w:pStyle w:val="Heading2"/>
        <w:spacing w:before="220" w:after="120"/>
      </w:pPr>
      <w:r>
        <w:rPr>
          <w:rFonts w:ascii="Arial" w:cs="Arial" w:eastAsia="Arial" w:hAnsi="Arial"/>
          <w:b/>
          <w:bCs/>
          <w:color w:val="1A4A9C"/>
          <w:sz w:val="26"/>
          <w:szCs w:val="26"/>
        </w:rPr>
        <w:t xml:space="preserve">4.2  Validator Onboarding</w:t>
      </w:r>
    </w:p>
    <w:p>
      <w:pPr>
        <w:spacing w:after="120"/>
      </w:pPr>
      <w:r>
        <w:rPr>
          <w:rFonts w:ascii="Arial" w:cs="Arial" w:eastAsia="Arial" w:hAnsi="Arial"/>
          <w:sz w:val="22"/>
          <w:szCs w:val="22"/>
        </w:rPr>
        <w:t xml:space="preserve">New validators follow a structured onboarding process. They cannot affect miner rankings until they have demonstrated scoring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28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b/>
                <w:bCs/>
                <w:color w:val="1A4A9C"/>
                <w:sz w:val="22"/>
                <w:szCs w:val="22"/>
              </w:rPr>
              <w:t xml:space="preserve">1. Stake Minimum TAO</w:t>
            </w:r>
          </w:p>
        </w:tc>
        <w:tc>
          <w:tcPr>
            <w:tcW w:type="dxa" w:w="656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Reduced 50% for first 60 days to encourage early participation.</w:t>
            </w:r>
          </w:p>
        </w:tc>
      </w:tr>
      <w:tr>
        <w:tc>
          <w:tcPr>
            <w:tcW w:type="dxa" w:w="28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b/>
                <w:bCs/>
                <w:color w:val="1A4A9C"/>
                <w:sz w:val="22"/>
                <w:szCs w:val="22"/>
              </w:rPr>
              <w:t xml:space="preserve">2. 7-Epoch Shadow Period</w:t>
            </w:r>
          </w:p>
        </w:tc>
        <w:tc>
          <w:tcPr>
            <w:tcW w:type="dxa" w:w="656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sz w:val="22"/>
                <w:szCs w:val="22"/>
              </w:rPr>
              <w:t xml:space="preserve">Validator scores are computed and compared — but NOT counted toward miner weights.</w:t>
            </w:r>
          </w:p>
        </w:tc>
      </w:tr>
      <w:tr>
        <w:tc>
          <w:tcPr>
            <w:tcW w:type="dxa" w:w="28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b/>
                <w:bCs/>
                <w:color w:val="1A4A9C"/>
                <w:sz w:val="22"/>
                <w:szCs w:val="22"/>
              </w:rPr>
              <w:t xml:space="preserve">3. Accuracy Check</w:t>
            </w:r>
          </w:p>
        </w:tc>
        <w:tc>
          <w:tcPr>
            <w:tcW w:type="dxa" w:w="656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Scores must deviate less than 15% from the existing validator median across all 7 shadow epochs.</w:t>
            </w:r>
          </w:p>
        </w:tc>
      </w:tr>
      <w:tr>
        <w:tc>
          <w:tcPr>
            <w:tcW w:type="dxa" w:w="28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b/>
                <w:bCs/>
                <w:color w:val="1A4A9C"/>
                <w:sz w:val="22"/>
                <w:szCs w:val="22"/>
              </w:rPr>
              <w:t xml:space="preserve">4. Full Status Granted</w:t>
            </w:r>
          </w:p>
        </w:tc>
        <w:tc>
          <w:tcPr>
            <w:tcW w:type="dxa" w:w="656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sz w:val="22"/>
                <w:szCs w:val="22"/>
              </w:rPr>
              <w:t xml:space="preserve">Scores now affect miner weights. Eligible for full 22% emission share.</w:t>
            </w:r>
          </w:p>
        </w:tc>
      </w:tr>
    </w:tbl>
    <w:p>
      <w:pPr>
        <w:spacing w:after="120"/>
      </w:pPr>
      <w:r>
        <w:rPr>
          <w:rFonts w:ascii="Arial" w:cs="Arial" w:eastAsia="Arial" w:hAnsi="Arial"/>
          <w:sz w:val="22"/>
          <w:szCs w:val="22"/>
        </w:rPr>
        <w:t xml:space="preserve">A minimum of three active validators is required for an epoch to be scored. If the active set drops below three, the epoch is deferred until the minimum is restored. This prevents any single validator from gaining undue influence during a low-participation period.</w:t>
      </w:r>
    </w:p>
    <w:p>
      <w:pPr>
        <w:spacing w:after="60"/>
      </w:pPr>
      <w:r>
        <w:rPr>
          <w:rFonts w:ascii="Arial" w:cs="Arial" w:eastAsia="Arial" w:hAnsi="Arial"/>
          <w:sz w:val="22"/>
          <w:szCs w:val="22"/>
        </w:rPr>
        <w:t xml:space="preserve"/>
      </w:r>
    </w:p>
    <w:p>
      <w:pPr>
        <w:pStyle w:val="Heading2"/>
        <w:spacing w:before="220" w:after="120"/>
      </w:pPr>
      <w:r>
        <w:rPr>
          <w:rFonts w:ascii="Arial" w:cs="Arial" w:eastAsia="Arial" w:hAnsi="Arial"/>
          <w:b/>
          <w:bCs/>
          <w:color w:val="1A4A9C"/>
          <w:sz w:val="26"/>
          <w:szCs w:val="26"/>
        </w:rPr>
        <w:t xml:space="preserve">4.3  Validator Incentives and Slashing</w:t>
      </w:r>
    </w:p>
    <w:p>
      <w:pPr>
        <w:spacing w:after="120"/>
      </w:pPr>
      <w:r>
        <w:rPr>
          <w:rFonts w:ascii="Arial" w:cs="Arial" w:eastAsia="Arial" w:hAnsi="Arial"/>
          <w:sz w:val="22"/>
          <w:szCs w:val="22"/>
        </w:rPr>
        <w:t xml:space="preserve">Validators earn 22% of epoch emissions — higher than most subnet designs — to reflect the genuine computational cost of running isolated sandbox simulations for every task. All slashing events are recorded on-chain.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1A4A9C" w:sz="8"/>
              <w:left w:val="single" w:color="1A4A9C" w:sz="8"/>
              <w:bottom w:val="single" w:color="1A4A9C" w:sz="8"/>
              <w:right w:val="single" w:color="1A4A9C" w:sz="8"/>
            </w:tcBorders>
            <w:shd w:fill="0A1628" w:val="clear"/>
            <w:tcMar>
              <w:top w:type="dxa" w:w="80"/>
              <w:left w:type="dxa" w:w="120"/>
              <w:bottom w:type="dxa" w:w="80"/>
              <w:right w:type="dxa" w:w="120"/>
            </w:tcMar>
            <w:vAlign w:val="top"/>
          </w:tcPr>
          <w:p>
            <w:pPr>
              <w:spacing w:after="120"/>
            </w:pPr>
            <w:r>
              <w:rPr>
                <w:rFonts w:ascii="Arial" w:cs="Arial" w:eastAsia="Arial" w:hAnsi="Arial"/>
                <w:b/>
                <w:bCs/>
                <w:color w:val="FFFFFF"/>
                <w:sz w:val="22"/>
                <w:szCs w:val="22"/>
              </w:rPr>
              <w:t xml:space="preserve">Infraction</w:t>
            </w:r>
          </w:p>
        </w:tc>
        <w:tc>
          <w:tcPr>
            <w:tcW w:type="dxa" w:w="2200"/>
            <w:tcBorders>
              <w:top w:val="single" w:color="1A4A9C" w:sz="8"/>
              <w:left w:val="single" w:color="1A4A9C" w:sz="8"/>
              <w:bottom w:val="single" w:color="1A4A9C" w:sz="8"/>
              <w:right w:val="single" w:color="1A4A9C" w:sz="8"/>
            </w:tcBorders>
            <w:shd w:fill="0A1628" w:val="clear"/>
            <w:tcMar>
              <w:top w:type="dxa" w:w="80"/>
              <w:left w:type="dxa" w:w="120"/>
              <w:bottom w:type="dxa" w:w="80"/>
              <w:right w:type="dxa" w:w="120"/>
            </w:tcMar>
            <w:vAlign w:val="top"/>
          </w:tcPr>
          <w:p>
            <w:pPr>
              <w:spacing w:after="120"/>
            </w:pPr>
            <w:r>
              <w:rPr>
                <w:rFonts w:ascii="Arial" w:cs="Arial" w:eastAsia="Arial" w:hAnsi="Arial"/>
                <w:b/>
                <w:bCs/>
                <w:color w:val="FFFFFF"/>
                <w:sz w:val="22"/>
                <w:szCs w:val="22"/>
              </w:rPr>
              <w:t xml:space="preserve">Penalty</w:t>
            </w:r>
          </w:p>
        </w:tc>
        <w:tc>
          <w:tcPr>
            <w:tcW w:type="dxa" w:w="4360"/>
            <w:tcBorders>
              <w:top w:val="single" w:color="1A4A9C" w:sz="8"/>
              <w:left w:val="single" w:color="1A4A9C" w:sz="8"/>
              <w:bottom w:val="single" w:color="1A4A9C" w:sz="8"/>
              <w:right w:val="single" w:color="1A4A9C" w:sz="8"/>
            </w:tcBorders>
            <w:shd w:fill="0A1628" w:val="clear"/>
            <w:tcMar>
              <w:top w:type="dxa" w:w="80"/>
              <w:left w:type="dxa" w:w="120"/>
              <w:bottom w:type="dxa" w:w="80"/>
              <w:right w:type="dxa" w:w="120"/>
            </w:tcMar>
            <w:vAlign w:val="top"/>
          </w:tcPr>
          <w:p>
            <w:pPr>
              <w:spacing w:after="120"/>
            </w:pPr>
            <w:r>
              <w:rPr>
                <w:rFonts w:ascii="Arial" w:cs="Arial" w:eastAsia="Arial" w:hAnsi="Arial"/>
                <w:b/>
                <w:bCs/>
                <w:color w:val="FFFFFF"/>
                <w:sz w:val="22"/>
                <w:szCs w:val="22"/>
              </w:rPr>
              <w:t xml:space="preserve">Recovery</w:t>
            </w:r>
          </w:p>
        </w:tc>
      </w:tr>
      <w:tr>
        <w:tc>
          <w:tcPr>
            <w:tcW w:type="dxa" w:w="28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b/>
                <w:bCs/>
                <w:sz w:val="22"/>
                <w:szCs w:val="22"/>
              </w:rPr>
              <w:t xml:space="preserve">1 epoch downtime</w:t>
            </w:r>
          </w:p>
        </w:tc>
        <w:tc>
          <w:tcPr>
            <w:tcW w:type="dxa" w:w="22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0% reward that epoch</w:t>
            </w:r>
          </w:p>
        </w:tc>
        <w:tc>
          <w:tcPr>
            <w:tcW w:type="dxa" w:w="436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Auto — rejoin next epoch.</w:t>
            </w:r>
          </w:p>
        </w:tc>
      </w:tr>
      <w:tr>
        <w:tc>
          <w:tcPr>
            <w:tcW w:type="dxa" w:w="28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b/>
                <w:bCs/>
                <w:sz w:val="22"/>
                <w:szCs w:val="22"/>
              </w:rPr>
              <w:t xml:space="preserve">3+ consecutive epochs missed</w:t>
            </w:r>
          </w:p>
        </w:tc>
        <w:tc>
          <w:tcPr>
            <w:tcW w:type="dxa" w:w="22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sz w:val="22"/>
                <w:szCs w:val="22"/>
              </w:rPr>
              <w:t xml:space="preserve">Removed from active set</w:t>
            </w:r>
          </w:p>
        </w:tc>
        <w:tc>
          <w:tcPr>
            <w:tcW w:type="dxa" w:w="436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sz w:val="22"/>
                <w:szCs w:val="22"/>
              </w:rPr>
              <w:t xml:space="preserve">Re-stake + 7-epoch shadow period.</w:t>
            </w:r>
          </w:p>
        </w:tc>
      </w:tr>
      <w:tr>
        <w:tc>
          <w:tcPr>
            <w:tcW w:type="dxa" w:w="28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b/>
                <w:bCs/>
                <w:sz w:val="22"/>
                <w:szCs w:val="22"/>
              </w:rPr>
              <w:t xml:space="preserve">Score deviation &gt;15% from median</w:t>
            </w:r>
          </w:p>
        </w:tc>
        <w:tc>
          <w:tcPr>
            <w:tcW w:type="dxa" w:w="22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50% weight reduction, 3 days</w:t>
            </w:r>
          </w:p>
        </w:tc>
        <w:tc>
          <w:tcPr>
            <w:tcW w:type="dxa" w:w="436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Auto after 3 days if corrected.</w:t>
            </w:r>
          </w:p>
        </w:tc>
      </w:tr>
      <w:tr>
        <w:tc>
          <w:tcPr>
            <w:tcW w:type="dxa" w:w="28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b/>
                <w:bCs/>
                <w:color w:val="9B1C1C"/>
                <w:sz w:val="22"/>
                <w:szCs w:val="22"/>
              </w:rPr>
              <w:t xml:space="preserve">Proven sandbox tampering</w:t>
            </w:r>
          </w:p>
        </w:tc>
        <w:tc>
          <w:tcPr>
            <w:tcW w:type="dxa" w:w="22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color w:val="9B1C1C"/>
                <w:sz w:val="22"/>
                <w:szCs w:val="22"/>
              </w:rPr>
              <w:t xml:space="preserve">Full stake slash + permanent removal</w:t>
            </w:r>
          </w:p>
        </w:tc>
        <w:tc>
          <w:tcPr>
            <w:tcW w:type="dxa" w:w="436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color w:val="9B1C1C"/>
                <w:sz w:val="22"/>
                <w:szCs w:val="22"/>
              </w:rPr>
              <w:t xml:space="preserve">No recovery. Final.</w:t>
            </w:r>
          </w:p>
        </w:tc>
      </w:tr>
    </w:tbl>
    <w:p>
      <w:pPr>
        <w:spacing w:after="120"/>
      </w:pPr>
      <w:r>
        <w:rPr>
          <w:rFonts w:ascii="Arial" w:cs="Arial" w:eastAsia="Arial" w:hAnsi="Arial"/>
          <w:sz w:val="22"/>
          <w:szCs w:val="22"/>
        </w:rPr>
        <w:t xml:space="preserve">Three validators score each task. The median score is used. An outlier more than 15% from the median is excluded automatically. If all three validators collude, task assignments rotate randomly each epoch — no validator can predict which tasks they will receive. The DAO can also trigger a revalidation audit on any epoch using a randomly selected backup validator set. Disputed slashes — except proven sandbox tampering — can be appealed to a DAO vote within 14 days.</w:t>
      </w:r>
    </w:p>
    <w:p>
      <w:pPr>
        <w:spacing w:after="60"/>
      </w:pPr>
      <w:r>
        <w:rPr>
          <w:rFonts w:ascii="Arial" w:cs="Arial" w:eastAsia="Arial" w:hAnsi="Arial"/>
          <w:sz w:val="22"/>
          <w:szCs w:val="22"/>
        </w:rPr>
        <w:t xml:space="preserve"/>
      </w:r>
    </w:p>
    <w:p>
      <w:pPr>
        <w:pStyle w:val="Heading1"/>
        <w:pBdr>
          <w:bottom w:val="single" w:color="1A4A9C" w:sz="8" w:space="4"/>
        </w:pBdr>
        <w:spacing w:before="300" w:after="160"/>
      </w:pPr>
      <w:r>
        <w:rPr>
          <w:rFonts w:ascii="Arial" w:cs="Arial" w:eastAsia="Arial" w:hAnsi="Arial"/>
          <w:b/>
          <w:bCs/>
          <w:color w:val="0A1628"/>
          <w:sz w:val="32"/>
          <w:szCs w:val="32"/>
        </w:rPr>
        <w:t xml:space="preserve">5. Business Logic and Market Rationale</w:t>
      </w:r>
    </w:p>
    <w:p>
      <w:pPr>
        <w:pStyle w:val="Heading2"/>
        <w:spacing w:before="220" w:after="120"/>
      </w:pPr>
      <w:r>
        <w:rPr>
          <w:rFonts w:ascii="Arial" w:cs="Arial" w:eastAsia="Arial" w:hAnsi="Arial"/>
          <w:b/>
          <w:bCs/>
          <w:color w:val="1A4A9C"/>
          <w:sz w:val="26"/>
          <w:szCs w:val="26"/>
        </w:rPr>
        <w:t xml:space="preserve">5.1  The Problem</w:t>
      </w:r>
    </w:p>
    <w:p>
      <w:pPr>
        <w:spacing w:after="120"/>
      </w:pPr>
      <w:r>
        <w:rPr>
          <w:rFonts w:ascii="Arial" w:cs="Arial" w:eastAsia="Arial" w:hAnsi="Arial"/>
          <w:sz w:val="22"/>
          <w:szCs w:val="22"/>
        </w:rPr>
        <w:t xml:space="preserve">The global cybersecurity market spends over $215 billion per year, yet breaches continue to grow. The average cost of a data breach in 2024 was $4.9 million (IBM). In DeFi alone, over $3.8 billion was lost to smart contract exploits in 2023 (Chainalysis). The problem is not insufficient spending — it is that detection is centralised, opaque, and inaccessible to smaller organisations.</w:t>
      </w:r>
    </w:p>
    <w:p>
      <w:pPr>
        <w:pStyle w:val="Heading2"/>
        <w:spacing w:before="220" w:after="120"/>
      </w:pPr>
      <w:r>
        <w:rPr>
          <w:rFonts w:ascii="Arial" w:cs="Arial" w:eastAsia="Arial" w:hAnsi="Arial"/>
          <w:b/>
          <w:bCs/>
          <w:color w:val="1A4A9C"/>
          <w:sz w:val="26"/>
          <w:szCs w:val="26"/>
        </w:rPr>
        <w:t xml:space="preserve">5.2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800"/>
        <w:gridCol w:w="5060"/>
      </w:tblGrid>
      <w:tr>
        <w:tc>
          <w:tcPr>
            <w:tcW w:type="dxa" w:w="3500"/>
            <w:tcBorders>
              <w:top w:val="single" w:color="1A4A9C" w:sz="8"/>
              <w:left w:val="single" w:color="1A4A9C" w:sz="8"/>
              <w:bottom w:val="single" w:color="1A4A9C" w:sz="8"/>
              <w:right w:val="single" w:color="1A4A9C" w:sz="8"/>
            </w:tcBorders>
            <w:shd w:fill="0A1628" w:val="clear"/>
            <w:tcMar>
              <w:top w:type="dxa" w:w="80"/>
              <w:left w:type="dxa" w:w="120"/>
              <w:bottom w:type="dxa" w:w="80"/>
              <w:right w:type="dxa" w:w="120"/>
            </w:tcMar>
            <w:vAlign w:val="top"/>
          </w:tcPr>
          <w:p>
            <w:pPr>
              <w:spacing w:after="120"/>
            </w:pPr>
            <w:r>
              <w:rPr>
                <w:rFonts w:ascii="Arial" w:cs="Arial" w:eastAsia="Arial" w:hAnsi="Arial"/>
                <w:b/>
                <w:bCs/>
                <w:color w:val="FFFFFF"/>
                <w:sz w:val="22"/>
                <w:szCs w:val="22"/>
              </w:rPr>
              <w:t xml:space="preserve">Existing Tools</w:t>
            </w:r>
          </w:p>
        </w:tc>
        <w:tc>
          <w:tcPr>
            <w:tcW w:type="dxa" w:w="800"/>
            <w:tcBorders>
              <w:top w:val="single" w:color="1A4A9C" w:sz="8"/>
              <w:left w:val="single" w:color="1A4A9C" w:sz="8"/>
              <w:bottom w:val="single" w:color="1A4A9C" w:sz="8"/>
              <w:right w:val="single" w:color="1A4A9C" w:sz="8"/>
            </w:tcBorders>
            <w:shd w:fill="0A1628" w:val="clear"/>
            <w:tcMar>
              <w:top w:type="dxa" w:w="80"/>
              <w:left w:type="dxa" w:w="120"/>
              <w:bottom w:type="dxa" w:w="80"/>
              <w:right w:type="dxa" w:w="120"/>
            </w:tcMar>
            <w:vAlign w:val="top"/>
          </w:tcPr>
          <w:p>
            <w:pPr>
              <w:spacing w:after="120"/>
            </w:pPr>
            <w:r>
              <w:rPr>
                <w:rFonts w:ascii="Arial" w:cs="Arial" w:eastAsia="Arial" w:hAnsi="Arial"/>
                <w:b/>
                <w:bCs/>
                <w:color w:val="FFFFFF"/>
                <w:sz w:val="22"/>
                <w:szCs w:val="22"/>
              </w:rPr>
              <w:t xml:space="preserve">vs</w:t>
            </w:r>
          </w:p>
        </w:tc>
        <w:tc>
          <w:tcPr>
            <w:tcW w:type="dxa" w:w="5060"/>
            <w:tcBorders>
              <w:top w:val="single" w:color="1A4A9C" w:sz="8"/>
              <w:left w:val="single" w:color="1A4A9C" w:sz="8"/>
              <w:bottom w:val="single" w:color="1A4A9C" w:sz="8"/>
              <w:right w:val="single" w:color="1A4A9C" w:sz="8"/>
            </w:tcBorders>
            <w:shd w:fill="0A1628" w:val="clear"/>
            <w:tcMar>
              <w:top w:type="dxa" w:w="80"/>
              <w:left w:type="dxa" w:w="120"/>
              <w:bottom w:type="dxa" w:w="80"/>
              <w:right w:type="dxa" w:w="120"/>
            </w:tcMar>
            <w:vAlign w:val="top"/>
          </w:tcPr>
          <w:p>
            <w:pPr>
              <w:spacing w:after="120"/>
            </w:pPr>
            <w:r>
              <w:rPr>
                <w:rFonts w:ascii="Arial" w:cs="Arial" w:eastAsia="Arial" w:hAnsi="Arial"/>
                <w:b/>
                <w:bCs/>
                <w:color w:val="FFFFFF"/>
                <w:sz w:val="22"/>
                <w:szCs w:val="22"/>
              </w:rPr>
              <w:t xml:space="preserve">SentinelNet Advantage</w:t>
            </w:r>
          </w:p>
        </w:tc>
      </w:tr>
      <w:tr>
        <w:tc>
          <w:tcPr>
            <w:tcW w:type="dxa" w:w="3500"/>
            <w:tcBorders>
              <w:top w:val="single" w:color="D5DCE8" w:sz="4"/>
              <w:left w:val="single" w:color="D5DCE8" w:sz="4"/>
              <w:bottom w:val="single" w:color="D5DCE8" w:sz="4"/>
              <w:right w:val="single" w:color="D5DCE8" w:sz="4"/>
            </w:tcBorders>
            <w:shd w:fill="FEF2F2" w:val="clear"/>
            <w:tcMar>
              <w:top w:type="dxa" w:w="80"/>
              <w:left w:type="dxa" w:w="120"/>
              <w:bottom w:type="dxa" w:w="80"/>
              <w:right w:type="dxa" w:w="120"/>
            </w:tcMar>
            <w:vAlign w:val="top"/>
          </w:tcPr>
          <w:p>
            <w:pPr>
              <w:spacing w:after="120"/>
            </w:pPr>
            <w:r>
              <w:rPr>
                <w:rFonts w:ascii="Arial" w:cs="Arial" w:eastAsia="Arial" w:hAnsi="Arial"/>
                <w:sz w:val="22"/>
                <w:szCs w:val="22"/>
              </w:rPr>
              <w:t xml:space="preserve">Crowdstrike / Darktrace — closed, proprietary. No external auditability. $50K–$500K/year.</w:t>
            </w:r>
          </w:p>
        </w:tc>
        <w:tc>
          <w:tcPr>
            <w:tcW w:type="dxa" w:w="8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b/>
                <w:bCs/>
                <w:color w:val="C8860A"/>
                <w:sz w:val="22"/>
                <w:szCs w:val="22"/>
              </w:rPr>
              <w:t xml:space="preserve">vs</w:t>
            </w:r>
          </w:p>
        </w:tc>
        <w:tc>
          <w:tcPr>
            <w:tcW w:type="dxa" w:w="506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Open + Verifiable. Every finding scored against sandbox result on-chain. Any auditor can reproduce.</w:t>
            </w:r>
          </w:p>
        </w:tc>
      </w:tr>
      <w:tr>
        <w:tc>
          <w:tcPr>
            <w:tcW w:type="dxa" w:w="35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sz w:val="22"/>
                <w:szCs w:val="22"/>
              </w:rPr>
              <w:t xml:space="preserve">Bug bounty platforms (HackerOne) — human-only, slow, inconsistent. No objective scoring at scale.</w:t>
            </w:r>
          </w:p>
        </w:tc>
        <w:tc>
          <w:tcPr>
            <w:tcW w:type="dxa" w:w="8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b/>
                <w:bCs/>
                <w:color w:val="C8860A"/>
                <w:sz w:val="22"/>
                <w:szCs w:val="22"/>
              </w:rPr>
              <w:t xml:space="preserve">vs</w:t>
            </w:r>
          </w:p>
        </w:tc>
        <w:tc>
          <w:tcPr>
            <w:tcW w:type="dxa" w:w="506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sz w:val="22"/>
                <w:szCs w:val="22"/>
              </w:rPr>
              <w:t xml:space="preserve">Decentralised + Scalable. Global miner competition scales throughput automatically.</w:t>
            </w:r>
          </w:p>
        </w:tc>
      </w:tr>
      <w:tr>
        <w:tc>
          <w:tcPr>
            <w:tcW w:type="dxa" w:w="3500"/>
            <w:tcBorders>
              <w:top w:val="single" w:color="D5DCE8" w:sz="4"/>
              <w:left w:val="single" w:color="D5DCE8" w:sz="4"/>
              <w:bottom w:val="single" w:color="D5DCE8" w:sz="4"/>
              <w:right w:val="single" w:color="D5DCE8" w:sz="4"/>
            </w:tcBorders>
            <w:shd w:fill="FEF2F2" w:val="clear"/>
            <w:tcMar>
              <w:top w:type="dxa" w:w="80"/>
              <w:left w:type="dxa" w:w="120"/>
              <w:bottom w:type="dxa" w:w="80"/>
              <w:right w:type="dxa" w:w="120"/>
            </w:tcMar>
            <w:vAlign w:val="top"/>
          </w:tcPr>
          <w:p>
            <w:pPr>
              <w:spacing w:after="120"/>
            </w:pPr>
            <w:r>
              <w:rPr>
                <w:rFonts w:ascii="Arial" w:cs="Arial" w:eastAsia="Arial" w:hAnsi="Arial"/>
                <w:sz w:val="22"/>
                <w:szCs w:val="22"/>
              </w:rPr>
              <w:t xml:space="preserve">LLM code scan tools (Copilot, GPT-4) — generalised, not optimised for threats. No verifiable ground truth.</w:t>
            </w:r>
          </w:p>
        </w:tc>
        <w:tc>
          <w:tcPr>
            <w:tcW w:type="dxa" w:w="8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b/>
                <w:bCs/>
                <w:color w:val="C8860A"/>
                <w:sz w:val="22"/>
                <w:szCs w:val="22"/>
              </w:rPr>
              <w:t xml:space="preserve">vs</w:t>
            </w:r>
          </w:p>
        </w:tc>
        <w:tc>
          <w:tcPr>
            <w:tcW w:type="dxa" w:w="506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ML-Native + Objective. Sandbox verification gives deterministic ground truth — not human opinion.</w:t>
            </w:r>
          </w:p>
        </w:tc>
      </w:tr>
      <w:tr>
        <w:tc>
          <w:tcPr>
            <w:tcW w:type="dxa" w:w="35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sz w:val="22"/>
                <w:szCs w:val="22"/>
              </w:rPr>
              <w:t xml:space="preserve">Other Bittensor subnets — none target structured cybersecurity detection at this specificity.</w:t>
            </w:r>
          </w:p>
        </w:tc>
        <w:tc>
          <w:tcPr>
            <w:tcW w:type="dxa" w:w="8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b/>
                <w:bCs/>
                <w:color w:val="C8860A"/>
                <w:sz w:val="22"/>
                <w:szCs w:val="22"/>
              </w:rPr>
              <w:t xml:space="preserve">vs</w:t>
            </w:r>
          </w:p>
        </w:tc>
        <w:tc>
          <w:tcPr>
            <w:tcW w:type="dxa" w:w="506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sz w:val="22"/>
                <w:szCs w:val="22"/>
              </w:rPr>
              <w:t xml:space="preserve">First-mover on Bittensor. No direct competitor subnet. Category-defining position.</w:t>
            </w:r>
          </w:p>
        </w:tc>
      </w:tr>
    </w:tbl>
    <w:p>
      <w:pPr>
        <w:spacing w:after="60"/>
      </w:pPr>
      <w:r>
        <w:rPr>
          <w:rFonts w:ascii="Arial" w:cs="Arial" w:eastAsia="Arial" w:hAnsi="Arial"/>
          <w:sz w:val="22"/>
          <w:szCs w:val="22"/>
        </w:rPr>
        <w:t xml:space="preserve"/>
      </w:r>
    </w:p>
    <w:p>
      <w:pPr>
        <w:pStyle w:val="Heading2"/>
        <w:spacing w:before="220" w:after="120"/>
      </w:pPr>
      <w:r>
        <w:rPr>
          <w:rFonts w:ascii="Arial" w:cs="Arial" w:eastAsia="Arial" w:hAnsi="Arial"/>
          <w:b/>
          <w:bCs/>
          <w:color w:val="1A4A9C"/>
          <w:sz w:val="26"/>
          <w:szCs w:val="26"/>
        </w:rPr>
        <w:t xml:space="preserve">5.3  Total Addressable Market</w:t>
      </w:r>
    </w:p>
    <w:p>
      <w:pPr>
        <w:spacing w:after="120"/>
      </w:pPr>
      <w:r>
        <w:rPr>
          <w:rFonts w:ascii="Arial" w:cs="Arial" w:eastAsia="Arial" w:hAnsi="Arial"/>
          <w:sz w:val="22"/>
          <w:szCs w:val="22"/>
        </w:rPr>
        <w:t xml:space="preserve">Smart contract auditing is a $1.2 billion annual market growing at 28% per year (MarketsandMarkets, 2024). Enterprise network threat detection is a $35 billion market. Capturing 0.1% of the smart contract audit market alone generates $1.2 million in annual protocol revenue.</w:t>
      </w:r>
    </w:p>
    <w:p>
      <w:pPr>
        <w:pStyle w:val="Heading2"/>
        <w:spacing w:before="220" w:after="120"/>
      </w:pPr>
      <w:r>
        <w:rPr>
          <w:rFonts w:ascii="Arial" w:cs="Arial" w:eastAsia="Arial" w:hAnsi="Arial"/>
          <w:b/>
          <w:bCs/>
          <w:color w:val="1A4A9C"/>
          <w:sz w:val="26"/>
          <w:szCs w:val="26"/>
        </w:rPr>
        <w:t xml:space="preserve">5.4  Path to Long-Term Sustainability</w:t>
      </w:r>
    </w:p>
    <w:p>
      <w:pPr>
        <w:spacing w:after="120"/>
      </w:pPr>
      <w:r>
        <w:rPr>
          <w:rFonts w:ascii="Arial" w:cs="Arial" w:eastAsia="Arial" w:hAnsi="Arial"/>
          <w:sz w:val="22"/>
          <w:szCs w:val="22"/>
        </w:rPr>
        <w:t xml:space="preserve">SentinelNet has three revenue streams that do not depend on TAO emissions alone:</w:t>
      </w:r>
    </w:p>
    <w:p>
      <w:pPr>
        <w:pStyle w:val="ListParagraph"/>
        <w:numPr>
          <w:ilvl w:val="0"/>
          <w:numId w:val="2"/>
        </w:numPr>
        <w:spacing w:after="80"/>
      </w:pPr>
      <w:r>
        <w:rPr>
          <w:rFonts w:ascii="Arial" w:cs="Arial" w:eastAsia="Arial" w:hAnsi="Arial"/>
          <w:b/>
          <w:bCs/>
          <w:sz w:val="22"/>
          <w:szCs w:val="22"/>
        </w:rPr>
        <w:t xml:space="preserve">Security-as-a-Service API:</w:t>
      </w:r>
      <w:r>
        <w:rPr>
          <w:rFonts w:ascii="Arial" w:cs="Arial" w:eastAsia="Arial" w:hAnsi="Arial"/>
          <w:sz w:val="22"/>
          <w:szCs w:val="22"/>
        </w:rPr>
        <w:t xml:space="preserve"> On-demand threat analysis for smart contracts and network logs. Free during beta, paid tiers for production use.</w:t>
      </w:r>
    </w:p>
    <w:p>
      <w:pPr>
        <w:pStyle w:val="ListParagraph"/>
        <w:numPr>
          <w:ilvl w:val="0"/>
          <w:numId w:val="2"/>
        </w:numPr>
        <w:spacing w:after="80"/>
      </w:pPr>
      <w:r>
        <w:rPr>
          <w:rFonts w:ascii="Arial" w:cs="Arial" w:eastAsia="Arial" w:hAnsi="Arial"/>
          <w:b/>
          <w:bCs/>
          <w:sz w:val="22"/>
          <w:szCs w:val="22"/>
        </w:rPr>
        <w:t xml:space="preserve">Enterprise Audit Marketplace:</w:t>
      </w:r>
      <w:r>
        <w:rPr>
          <w:rFonts w:ascii="Arial" w:cs="Arial" w:eastAsia="Arial" w:hAnsi="Arial"/>
          <w:sz w:val="22"/>
          <w:szCs w:val="22"/>
        </w:rPr>
        <w:t xml:space="preserve"> Organisations submit their own infrastructure for analysis by top-ranked miners. SentinelNet takes a 10% protocol fee.</w:t>
      </w:r>
    </w:p>
    <w:p>
      <w:pPr>
        <w:pStyle w:val="ListParagraph"/>
        <w:numPr>
          <w:ilvl w:val="0"/>
          <w:numId w:val="2"/>
        </w:numPr>
        <w:spacing w:after="80"/>
      </w:pPr>
      <w:r>
        <w:rPr>
          <w:rFonts w:ascii="Arial" w:cs="Arial" w:eastAsia="Arial" w:hAnsi="Arial"/>
          <w:b/>
          <w:bCs/>
          <w:sz w:val="22"/>
          <w:szCs w:val="22"/>
        </w:rPr>
        <w:t xml:space="preserve">Bounty Co-Funding:</w:t>
      </w:r>
      <w:r>
        <w:rPr>
          <w:rFonts w:ascii="Arial" w:cs="Arial" w:eastAsia="Arial" w:hAnsi="Arial"/>
          <w:sz w:val="22"/>
          <w:szCs w:val="22"/>
        </w:rPr>
        <w:t xml:space="preserve"> Protocols post security bounties. The DAO matches with TAO. Real-world bounties attract elite miners, raising overall detection quality.</w:t>
      </w:r>
    </w:p>
    <w:p>
      <w:pPr>
        <w:spacing w:after="60"/>
      </w:pPr>
      <w:r>
        <w:rPr>
          <w:rFonts w:ascii="Arial" w:cs="Arial" w:eastAsia="Arial" w:hAnsi="Arial"/>
          <w:sz w:val="22"/>
          <w:szCs w:val="22"/>
        </w:rPr>
        <w:t xml:space="preserve"/>
      </w:r>
    </w:p>
    <w:p>
      <w:pPr>
        <w:pStyle w:val="Heading1"/>
        <w:pBdr>
          <w:bottom w:val="single" w:color="1A4A9C" w:sz="8" w:space="4"/>
        </w:pBdr>
        <w:spacing w:before="300" w:after="160"/>
      </w:pPr>
      <w:r>
        <w:rPr>
          <w:rFonts w:ascii="Arial" w:cs="Arial" w:eastAsia="Arial" w:hAnsi="Arial"/>
          <w:b/>
          <w:bCs/>
          <w:color w:val="0A1628"/>
          <w:sz w:val="32"/>
          <w:szCs w:val="32"/>
        </w:rPr>
        <w:t xml:space="preserve">6. Go-To-Market Strategy</w:t>
      </w:r>
    </w:p>
    <w:p>
      <w:pPr>
        <w:pStyle w:val="Heading2"/>
        <w:spacing w:before="220" w:after="120"/>
      </w:pPr>
      <w:r>
        <w:rPr>
          <w:rFonts w:ascii="Arial" w:cs="Arial" w:eastAsia="Arial" w:hAnsi="Arial"/>
          <w:b/>
          <w:bCs/>
          <w:color w:val="1A4A9C"/>
          <w:sz w:val="26"/>
          <w:szCs w:val="26"/>
        </w:rPr>
        <w:t xml:space="preserve">6.1  Phased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240"/>
        <w:gridCol w:w="2080"/>
        <w:gridCol w:w="2160"/>
      </w:tblGrid>
      <w:tr>
        <w:tc>
          <w:tcPr>
            <w:tcW w:type="dxa" w:w="1440"/>
            <w:tcBorders>
              <w:top w:val="single" w:color="1A4A9C" w:sz="8"/>
              <w:left w:val="single" w:color="1A4A9C" w:sz="8"/>
              <w:bottom w:val="single" w:color="1A4A9C" w:sz="8"/>
              <w:right w:val="single" w:color="1A4A9C" w:sz="8"/>
            </w:tcBorders>
            <w:shd w:fill="0A1628" w:val="clear"/>
            <w:tcMar>
              <w:top w:type="dxa" w:w="80"/>
              <w:left w:type="dxa" w:w="120"/>
              <w:bottom w:type="dxa" w:w="80"/>
              <w:right w:type="dxa" w:w="120"/>
            </w:tcMar>
            <w:vAlign w:val="top"/>
          </w:tcPr>
          <w:p>
            <w:pPr>
              <w:spacing w:after="120"/>
            </w:pPr>
            <w:r>
              <w:rPr>
                <w:rFonts w:ascii="Arial" w:cs="Arial" w:eastAsia="Arial" w:hAnsi="Arial"/>
                <w:b/>
                <w:bCs/>
                <w:color w:val="FFFFFF"/>
                <w:sz w:val="22"/>
                <w:szCs w:val="22"/>
              </w:rPr>
              <w:t xml:space="preserve">Phase</w:t>
            </w:r>
          </w:p>
        </w:tc>
        <w:tc>
          <w:tcPr>
            <w:tcW w:type="dxa" w:w="1440"/>
            <w:tcBorders>
              <w:top w:val="single" w:color="1A4A9C" w:sz="8"/>
              <w:left w:val="single" w:color="1A4A9C" w:sz="8"/>
              <w:bottom w:val="single" w:color="1A4A9C" w:sz="8"/>
              <w:right w:val="single" w:color="1A4A9C" w:sz="8"/>
            </w:tcBorders>
            <w:shd w:fill="0A1628" w:val="clear"/>
            <w:tcMar>
              <w:top w:type="dxa" w:w="80"/>
              <w:left w:type="dxa" w:w="120"/>
              <w:bottom w:type="dxa" w:w="80"/>
              <w:right w:type="dxa" w:w="120"/>
            </w:tcMar>
            <w:vAlign w:val="top"/>
          </w:tcPr>
          <w:p>
            <w:pPr>
              <w:spacing w:after="120"/>
            </w:pPr>
            <w:r>
              <w:rPr>
                <w:rFonts w:ascii="Arial" w:cs="Arial" w:eastAsia="Arial" w:hAnsi="Arial"/>
                <w:b/>
                <w:bCs/>
                <w:color w:val="FFFFFF"/>
                <w:sz w:val="22"/>
                <w:szCs w:val="22"/>
              </w:rPr>
              <w:t xml:space="preserve">Timeline</w:t>
            </w:r>
          </w:p>
        </w:tc>
        <w:tc>
          <w:tcPr>
            <w:tcW w:type="dxa" w:w="2240"/>
            <w:tcBorders>
              <w:top w:val="single" w:color="1A4A9C" w:sz="8"/>
              <w:left w:val="single" w:color="1A4A9C" w:sz="8"/>
              <w:bottom w:val="single" w:color="1A4A9C" w:sz="8"/>
              <w:right w:val="single" w:color="1A4A9C" w:sz="8"/>
            </w:tcBorders>
            <w:shd w:fill="0A1628" w:val="clear"/>
            <w:tcMar>
              <w:top w:type="dxa" w:w="80"/>
              <w:left w:type="dxa" w:w="120"/>
              <w:bottom w:type="dxa" w:w="80"/>
              <w:right w:type="dxa" w:w="120"/>
            </w:tcMar>
            <w:vAlign w:val="top"/>
          </w:tcPr>
          <w:p>
            <w:pPr>
              <w:spacing w:after="120"/>
            </w:pPr>
            <w:r>
              <w:rPr>
                <w:rFonts w:ascii="Arial" w:cs="Arial" w:eastAsia="Arial" w:hAnsi="Arial"/>
                <w:b/>
                <w:bCs/>
                <w:color w:val="FFFFFF"/>
                <w:sz w:val="22"/>
                <w:szCs w:val="22"/>
              </w:rPr>
              <w:t xml:space="preserve">Target Users</w:t>
            </w:r>
          </w:p>
        </w:tc>
        <w:tc>
          <w:tcPr>
            <w:tcW w:type="dxa" w:w="2080"/>
            <w:tcBorders>
              <w:top w:val="single" w:color="1A4A9C" w:sz="8"/>
              <w:left w:val="single" w:color="1A4A9C" w:sz="8"/>
              <w:bottom w:val="single" w:color="1A4A9C" w:sz="8"/>
              <w:right w:val="single" w:color="1A4A9C" w:sz="8"/>
            </w:tcBorders>
            <w:shd w:fill="0A1628" w:val="clear"/>
            <w:tcMar>
              <w:top w:type="dxa" w:w="80"/>
              <w:left w:type="dxa" w:w="120"/>
              <w:bottom w:type="dxa" w:w="80"/>
              <w:right w:type="dxa" w:w="120"/>
            </w:tcMar>
            <w:vAlign w:val="top"/>
          </w:tcPr>
          <w:p>
            <w:pPr>
              <w:spacing w:after="120"/>
            </w:pPr>
            <w:r>
              <w:rPr>
                <w:rFonts w:ascii="Arial" w:cs="Arial" w:eastAsia="Arial" w:hAnsi="Arial"/>
                <w:b/>
                <w:bCs/>
                <w:color w:val="FFFFFF"/>
                <w:sz w:val="22"/>
                <w:szCs w:val="22"/>
              </w:rPr>
              <w:t xml:space="preserve">Key Incentive</w:t>
            </w:r>
          </w:p>
        </w:tc>
        <w:tc>
          <w:tcPr>
            <w:tcW w:type="dxa" w:w="2160"/>
            <w:tcBorders>
              <w:top w:val="single" w:color="1A4A9C" w:sz="8"/>
              <w:left w:val="single" w:color="1A4A9C" w:sz="8"/>
              <w:bottom w:val="single" w:color="1A4A9C" w:sz="8"/>
              <w:right w:val="single" w:color="1A4A9C" w:sz="8"/>
            </w:tcBorders>
            <w:shd w:fill="0A1628" w:val="clear"/>
            <w:tcMar>
              <w:top w:type="dxa" w:w="80"/>
              <w:left w:type="dxa" w:w="120"/>
              <w:bottom w:type="dxa" w:w="80"/>
              <w:right w:type="dxa" w:w="120"/>
            </w:tcMar>
            <w:vAlign w:val="top"/>
          </w:tcPr>
          <w:p>
            <w:pPr>
              <w:spacing w:after="120"/>
            </w:pPr>
            <w:r>
              <w:rPr>
                <w:rFonts w:ascii="Arial" w:cs="Arial" w:eastAsia="Arial" w:hAnsi="Arial"/>
                <w:b/>
                <w:bCs/>
                <w:color w:val="FFFFFF"/>
                <w:sz w:val="22"/>
                <w:szCs w:val="22"/>
              </w:rPr>
              <w:t xml:space="preserve">Scope</w:t>
            </w:r>
          </w:p>
        </w:tc>
      </w:tr>
      <w:tr>
        <w:tc>
          <w:tcPr>
            <w:tcW w:type="dxa" w:w="144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b/>
                <w:bCs/>
                <w:color w:val="1A4A9C"/>
                <w:sz w:val="22"/>
                <w:szCs w:val="22"/>
              </w:rPr>
              <w:t xml:space="preserve">Phase 1 — Beta</w:t>
            </w:r>
          </w:p>
        </w:tc>
        <w:tc>
          <w:tcPr>
            <w:tcW w:type="dxa" w:w="144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0–3 months</w:t>
            </w:r>
          </w:p>
        </w:tc>
        <w:tc>
          <w:tcPr>
            <w:tcW w:type="dxa" w:w="224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Security researchers, open-source projects</w:t>
            </w:r>
          </w:p>
        </w:tc>
        <w:tc>
          <w:tcPr>
            <w:tcW w:type="dxa" w:w="208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Free API + 1.4× miner multiplier</w:t>
            </w:r>
          </w:p>
        </w:tc>
        <w:tc>
          <w:tcPr>
            <w:tcW w:type="dxa" w:w="216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Smart contracts + common CVE logs</w:t>
            </w:r>
          </w:p>
        </w:tc>
      </w:tr>
      <w:tr>
        <w:tc>
          <w:tcPr>
            <w:tcW w:type="dxa" w:w="144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b/>
                <w:bCs/>
                <w:color w:val="1A4A9C"/>
                <w:sz w:val="22"/>
                <w:szCs w:val="22"/>
              </w:rPr>
              <w:t xml:space="preserve">Phase 2 — Growth</w:t>
            </w:r>
          </w:p>
        </w:tc>
        <w:tc>
          <w:tcPr>
            <w:tcW w:type="dxa" w:w="144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sz w:val="22"/>
                <w:szCs w:val="22"/>
              </w:rPr>
              <w:t xml:space="preserve">3–9 months</w:t>
            </w:r>
          </w:p>
        </w:tc>
        <w:tc>
          <w:tcPr>
            <w:tcW w:type="dxa" w:w="224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sz w:val="22"/>
                <w:szCs w:val="22"/>
              </w:rPr>
              <w:t xml:space="preserve">Web3 protocols, DeFi auditing firms</w:t>
            </w:r>
          </w:p>
        </w:tc>
        <w:tc>
          <w:tcPr>
            <w:tcW w:type="dxa" w:w="208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sz w:val="22"/>
                <w:szCs w:val="22"/>
              </w:rPr>
              <w:t xml:space="preserve">Leaderboard + bounty co-funding</w:t>
            </w:r>
          </w:p>
        </w:tc>
        <w:tc>
          <w:tcPr>
            <w:tcW w:type="dxa" w:w="216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sz w:val="22"/>
                <w:szCs w:val="22"/>
              </w:rPr>
              <w:t xml:space="preserve">Network logs, contract audits</w:t>
            </w:r>
          </w:p>
        </w:tc>
      </w:tr>
      <w:tr>
        <w:tc>
          <w:tcPr>
            <w:tcW w:type="dxa" w:w="144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b/>
                <w:bCs/>
                <w:color w:val="1A4A9C"/>
                <w:sz w:val="22"/>
                <w:szCs w:val="22"/>
              </w:rPr>
              <w:t xml:space="preserve">Phase 3 — Scale</w:t>
            </w:r>
          </w:p>
        </w:tc>
        <w:tc>
          <w:tcPr>
            <w:tcW w:type="dxa" w:w="144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9–18 months</w:t>
            </w:r>
          </w:p>
        </w:tc>
        <w:tc>
          <w:tcPr>
            <w:tcW w:type="dxa" w:w="224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Enterprise IT, insurance, regulators</w:t>
            </w:r>
          </w:p>
        </w:tc>
        <w:tc>
          <w:tcPr>
            <w:tcW w:type="dxa" w:w="208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SLA-backed API + licensing</w:t>
            </w:r>
          </w:p>
        </w:tc>
        <w:tc>
          <w:tcPr>
            <w:tcW w:type="dxa" w:w="216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Full enterprise threat surface</w:t>
            </w:r>
          </w:p>
        </w:tc>
      </w:tr>
    </w:tbl>
    <w:p>
      <w:pPr>
        <w:spacing w:after="60"/>
      </w:pPr>
      <w:r>
        <w:rPr>
          <w:rFonts w:ascii="Arial" w:cs="Arial" w:eastAsia="Arial" w:hAnsi="Arial"/>
          <w:sz w:val="22"/>
          <w:szCs w:val="22"/>
        </w:rPr>
        <w:t xml:space="preserve"/>
      </w:r>
    </w:p>
    <w:p>
      <w:pPr>
        <w:pStyle w:val="Heading2"/>
        <w:spacing w:before="220" w:after="120"/>
      </w:pPr>
      <w:r>
        <w:rPr>
          <w:rFonts w:ascii="Arial" w:cs="Arial" w:eastAsia="Arial" w:hAnsi="Arial"/>
          <w:b/>
          <w:bCs/>
          <w:color w:val="1A4A9C"/>
          <w:sz w:val="26"/>
          <w:szCs w:val="26"/>
        </w:rPr>
        <w:t xml:space="preserve">6.2  Anchor Community Partners</w:t>
      </w:r>
    </w:p>
    <w:p>
      <w:pPr>
        <w:spacing w:after="120"/>
      </w:pPr>
      <w:r>
        <w:rPr>
          <w:rFonts w:ascii="Arial" w:cs="Arial" w:eastAsia="Arial" w:hAnsi="Arial"/>
          <w:sz w:val="22"/>
          <w:szCs w:val="22"/>
        </w:rPr>
        <w:t xml:space="preserve">SentinelNet launches with three named anchor communities:</w:t>
      </w:r>
    </w:p>
    <w:p>
      <w:pPr>
        <w:pStyle w:val="ListParagraph"/>
        <w:numPr>
          <w:ilvl w:val="0"/>
          <w:numId w:val="2"/>
        </w:numPr>
        <w:spacing w:after="80"/>
      </w:pPr>
      <w:r>
        <w:rPr>
          <w:rFonts w:ascii="Arial" w:cs="Arial" w:eastAsia="Arial" w:hAnsi="Arial"/>
          <w:b/>
          <w:bCs/>
          <w:sz w:val="22"/>
          <w:szCs w:val="22"/>
        </w:rPr>
        <w:t xml:space="preserve">Code4rena</w:t>
      </w:r>
      <w:r>
        <w:rPr>
          <w:rFonts w:ascii="Arial" w:cs="Arial" w:eastAsia="Arial" w:hAnsi="Arial"/>
          <w:sz w:val="22"/>
          <w:szCs w:val="22"/>
        </w:rPr>
        <w:t xml:space="preserve"> — the largest smart contract audit competition platform. SentinelNet is positioned as a continuous audit alternative between competitions.</w:t>
      </w:r>
    </w:p>
    <w:p>
      <w:pPr>
        <w:pStyle w:val="ListParagraph"/>
        <w:numPr>
          <w:ilvl w:val="0"/>
          <w:numId w:val="2"/>
        </w:numPr>
        <w:spacing w:after="80"/>
      </w:pPr>
      <w:r>
        <w:rPr>
          <w:rFonts w:ascii="Arial" w:cs="Arial" w:eastAsia="Arial" w:hAnsi="Arial"/>
          <w:b/>
          <w:bCs/>
          <w:sz w:val="22"/>
          <w:szCs w:val="22"/>
        </w:rPr>
        <w:t xml:space="preserve">Immunefi</w:t>
      </w:r>
      <w:r>
        <w:rPr>
          <w:rFonts w:ascii="Arial" w:cs="Arial" w:eastAsia="Arial" w:hAnsi="Arial"/>
          <w:sz w:val="22"/>
          <w:szCs w:val="22"/>
        </w:rPr>
        <w:t xml:space="preserve"> — bug bounty community with 80,000+ registered security researchers. Free API access during beta, co-branded bounty programme for Phase 2.</w:t>
      </w:r>
    </w:p>
    <w:p>
      <w:pPr>
        <w:pStyle w:val="ListParagraph"/>
        <w:numPr>
          <w:ilvl w:val="0"/>
          <w:numId w:val="2"/>
        </w:numPr>
        <w:spacing w:after="80"/>
      </w:pPr>
      <w:r>
        <w:rPr>
          <w:rFonts w:ascii="Arial" w:cs="Arial" w:eastAsia="Arial" w:hAnsi="Arial"/>
          <w:b/>
          <w:bCs/>
          <w:sz w:val="22"/>
          <w:szCs w:val="22"/>
        </w:rPr>
        <w:t xml:space="preserve">Public Threat Leaderboard</w:t>
      </w:r>
      <w:r>
        <w:rPr>
          <w:rFonts w:ascii="Arial" w:cs="Arial" w:eastAsia="Arial" w:hAnsi="Arial"/>
          <w:sz w:val="22"/>
          <w:szCs w:val="22"/>
        </w:rPr>
        <w:t xml:space="preserve"> — a weekly public ranking on X (Twitter) showing which miners detected the most critical vulnerabilities that week, creating organic competitive tension that attracts elite researchers.</w:t>
      </w:r>
    </w:p>
    <w:p>
      <w:pPr>
        <w:pStyle w:val="Heading2"/>
        <w:spacing w:before="220" w:after="120"/>
      </w:pPr>
      <w:r>
        <w:rPr>
          <w:rFonts w:ascii="Arial" w:cs="Arial" w:eastAsia="Arial" w:hAnsi="Arial"/>
          <w:b/>
          <w:bCs/>
          <w:color w:val="1A4A9C"/>
          <w:sz w:val="26"/>
          <w:szCs w:val="26"/>
        </w:rPr>
        <w:t xml:space="preserve">6.3  Bootstrapping Mechanics</w:t>
      </w:r>
    </w:p>
    <w:p>
      <w:pPr>
        <w:spacing w:after="120"/>
      </w:pPr>
      <w:r>
        <w:rPr>
          <w:rFonts w:ascii="Arial" w:cs="Arial" w:eastAsia="Arial" w:hAnsi="Arial"/>
          <w:sz w:val="22"/>
          <w:szCs w:val="22"/>
        </w:rPr>
        <w:t xml:space="preserve">During the first 90 days, SentinelNet applies a 1.4× emission multiplier for miners who submit in every epoch. Validator stake requirements are reduced by 50% for the first 60 days. A public challenge dataset — a curated library of 500 known vulnerabilities across all three task types — is released two weeks before mainnet launch, allowing miner calibration against ground truth before real emissions begin.</w:t>
      </w:r>
    </w:p>
    <w:p>
      <w:pPr>
        <w:pStyle w:val="Heading2"/>
        <w:spacing w:before="220" w:after="120"/>
      </w:pPr>
      <w:r>
        <w:rPr>
          <w:rFonts w:ascii="Arial" w:cs="Arial" w:eastAsia="Arial" w:hAnsi="Arial"/>
          <w:b/>
          <w:bCs/>
          <w:color w:val="1A4A9C"/>
          <w:sz w:val="26"/>
          <w:szCs w:val="26"/>
        </w:rPr>
        <w:t xml:space="preserve">6.4  Managing Beta Signal Quality</w:t>
      </w:r>
    </w:p>
    <w:p>
      <w:pPr>
        <w:spacing w:after="120"/>
      </w:pPr>
      <w:r>
        <w:rPr>
          <w:rFonts w:ascii="Arial" w:cs="Arial" w:eastAsia="Arial" w:hAnsi="Arial"/>
          <w:sz w:val="22"/>
          <w:szCs w:val="22"/>
        </w:rPr>
        <w:t xml:space="preserve">Early API users receive lower-quality findings than users who join after competitive miners have optimised. SentinelNet addresses this with a </w:t>
      </w:r>
      <w:r>
        <w:rPr>
          <w:rFonts w:ascii="Arial" w:cs="Arial" w:eastAsia="Arial" w:hAnsi="Arial"/>
          <w:b/>
          <w:bCs/>
          <w:sz w:val="22"/>
          <w:szCs w:val="22"/>
        </w:rPr>
        <w:t xml:space="preserve">detection_confidence</w:t>
      </w:r>
      <w:r>
        <w:rPr>
          <w:rFonts w:ascii="Arial" w:cs="Arial" w:eastAsia="Arial" w:hAnsi="Arial"/>
          <w:sz w:val="22"/>
          <w:szCs w:val="22"/>
        </w:rPr>
        <w:t xml:space="preserve"> field in every API response, calculated from miner track record length, historical false positive rate, and task-type specialisation score. During beta, most findings show confidence scores of 40–65. A clear label explains that confidence reflects model maturity, not certainty. This prevents over-reliance on early outputs and protects user trust through the calibration period.</w:t>
      </w:r>
    </w:p>
    <w:p>
      <w:pPr>
        <w:spacing w:after="60"/>
      </w:pPr>
      <w:r>
        <w:rPr>
          <w:rFonts w:ascii="Arial" w:cs="Arial" w:eastAsia="Arial" w:hAnsi="Arial"/>
          <w:sz w:val="22"/>
          <w:szCs w:val="22"/>
        </w:rPr>
        <w:t xml:space="preserve"/>
      </w:r>
    </w:p>
    <w:p>
      <w:pPr>
        <w:pStyle w:val="Heading1"/>
        <w:pBdr>
          <w:bottom w:val="single" w:color="1A4A9C" w:sz="8" w:space="4"/>
        </w:pBdr>
        <w:spacing w:before="300" w:after="160"/>
      </w:pPr>
      <w:r>
        <w:rPr>
          <w:rFonts w:ascii="Arial" w:cs="Arial" w:eastAsia="Arial" w:hAnsi="Arial"/>
          <w:b/>
          <w:bCs/>
          <w:color w:val="0A1628"/>
          <w:sz w:val="32"/>
          <w:szCs w:val="32"/>
        </w:rPr>
        <w:t xml:space="preserve">7.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5000"/>
      </w:tblGrid>
      <w:tr>
        <w:tc>
          <w:tcPr>
            <w:tcW w:type="dxa" w:w="2400"/>
            <w:tcBorders>
              <w:top w:val="single" w:color="1A4A9C" w:sz="8"/>
              <w:left w:val="single" w:color="1A4A9C" w:sz="8"/>
              <w:bottom w:val="single" w:color="1A4A9C" w:sz="8"/>
              <w:right w:val="single" w:color="1A4A9C" w:sz="8"/>
            </w:tcBorders>
            <w:shd w:fill="0A1628" w:val="clear"/>
            <w:tcMar>
              <w:top w:type="dxa" w:w="80"/>
              <w:left w:type="dxa" w:w="120"/>
              <w:bottom w:type="dxa" w:w="80"/>
              <w:right w:type="dxa" w:w="120"/>
            </w:tcMar>
            <w:vAlign w:val="top"/>
          </w:tcPr>
          <w:p>
            <w:pPr>
              <w:spacing w:after="120"/>
            </w:pPr>
            <w:r>
              <w:rPr>
                <w:rFonts w:ascii="Arial" w:cs="Arial" w:eastAsia="Arial" w:hAnsi="Arial"/>
                <w:b/>
                <w:bCs/>
                <w:color w:val="FFFFFF"/>
                <w:sz w:val="22"/>
                <w:szCs w:val="22"/>
              </w:rPr>
              <w:t xml:space="preserve">Risk</w:t>
            </w:r>
          </w:p>
        </w:tc>
        <w:tc>
          <w:tcPr>
            <w:tcW w:type="dxa" w:w="1000"/>
            <w:tcBorders>
              <w:top w:val="single" w:color="1A4A9C" w:sz="8"/>
              <w:left w:val="single" w:color="1A4A9C" w:sz="8"/>
              <w:bottom w:val="single" w:color="1A4A9C" w:sz="8"/>
              <w:right w:val="single" w:color="1A4A9C" w:sz="8"/>
            </w:tcBorders>
            <w:shd w:fill="0A1628" w:val="clear"/>
            <w:tcMar>
              <w:top w:type="dxa" w:w="80"/>
              <w:left w:type="dxa" w:w="120"/>
              <w:bottom w:type="dxa" w:w="80"/>
              <w:right w:type="dxa" w:w="120"/>
            </w:tcMar>
            <w:vAlign w:val="top"/>
          </w:tcPr>
          <w:p>
            <w:pPr>
              <w:spacing w:after="120"/>
            </w:pPr>
            <w:r>
              <w:rPr>
                <w:rFonts w:ascii="Arial" w:cs="Arial" w:eastAsia="Arial" w:hAnsi="Arial"/>
                <w:b/>
                <w:bCs/>
                <w:color w:val="FFFFFF"/>
                <w:sz w:val="22"/>
                <w:szCs w:val="22"/>
              </w:rPr>
              <w:t xml:space="preserve">Likelihood</w:t>
            </w:r>
          </w:p>
        </w:tc>
        <w:tc>
          <w:tcPr>
            <w:tcW w:type="dxa" w:w="1000"/>
            <w:tcBorders>
              <w:top w:val="single" w:color="1A4A9C" w:sz="8"/>
              <w:left w:val="single" w:color="1A4A9C" w:sz="8"/>
              <w:bottom w:val="single" w:color="1A4A9C" w:sz="8"/>
              <w:right w:val="single" w:color="1A4A9C" w:sz="8"/>
            </w:tcBorders>
            <w:shd w:fill="0A1628" w:val="clear"/>
            <w:tcMar>
              <w:top w:type="dxa" w:w="80"/>
              <w:left w:type="dxa" w:w="120"/>
              <w:bottom w:type="dxa" w:w="80"/>
              <w:right w:type="dxa" w:w="120"/>
            </w:tcMar>
            <w:vAlign w:val="top"/>
          </w:tcPr>
          <w:p>
            <w:pPr>
              <w:spacing w:after="120"/>
            </w:pPr>
            <w:r>
              <w:rPr>
                <w:rFonts w:ascii="Arial" w:cs="Arial" w:eastAsia="Arial" w:hAnsi="Arial"/>
                <w:b/>
                <w:bCs/>
                <w:color w:val="FFFFFF"/>
                <w:sz w:val="22"/>
                <w:szCs w:val="22"/>
              </w:rPr>
              <w:t xml:space="preserve">Impact</w:t>
            </w:r>
          </w:p>
        </w:tc>
        <w:tc>
          <w:tcPr>
            <w:tcW w:type="dxa" w:w="5000"/>
            <w:tcBorders>
              <w:top w:val="single" w:color="1A4A9C" w:sz="8"/>
              <w:left w:val="single" w:color="1A4A9C" w:sz="8"/>
              <w:bottom w:val="single" w:color="1A4A9C" w:sz="8"/>
              <w:right w:val="single" w:color="1A4A9C" w:sz="8"/>
            </w:tcBorders>
            <w:shd w:fill="0A1628" w:val="clear"/>
            <w:tcMar>
              <w:top w:type="dxa" w:w="80"/>
              <w:left w:type="dxa" w:w="120"/>
              <w:bottom w:type="dxa" w:w="80"/>
              <w:right w:type="dxa" w:w="120"/>
            </w:tcMar>
            <w:vAlign w:val="top"/>
          </w:tcPr>
          <w:p>
            <w:pPr>
              <w:spacing w:after="120"/>
            </w:pPr>
            <w:r>
              <w:rPr>
                <w:rFonts w:ascii="Arial" w:cs="Arial" w:eastAsia="Arial" w:hAnsi="Arial"/>
                <w:b/>
                <w:bCs/>
                <w:color w:val="FFFFFF"/>
                <w:sz w:val="22"/>
                <w:szCs w:val="22"/>
              </w:rPr>
              <w:t xml:space="preserve">Mitigation</w:t>
            </w:r>
          </w:p>
        </w:tc>
      </w:tr>
      <w:tr>
        <w:tc>
          <w:tcPr>
            <w:tcW w:type="dxa" w:w="24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b/>
                <w:bCs/>
                <w:sz w:val="22"/>
                <w:szCs w:val="22"/>
              </w:rPr>
              <w:t xml:space="preserve">Sandbox escape — miner exploits validator environment</w:t>
            </w:r>
          </w:p>
        </w:tc>
        <w:tc>
          <w:tcPr>
            <w:tcW w:type="dxa" w:w="10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b/>
                <w:bCs/>
                <w:color w:val="145A32"/>
                <w:sz w:val="22"/>
                <w:szCs w:val="22"/>
              </w:rPr>
              <w:t xml:space="preserve">Low</w:t>
            </w:r>
          </w:p>
        </w:tc>
        <w:tc>
          <w:tcPr>
            <w:tcW w:type="dxa" w:w="10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b/>
                <w:bCs/>
                <w:color w:val="9B1C1C"/>
                <w:sz w:val="22"/>
                <w:szCs w:val="22"/>
              </w:rPr>
              <w:t xml:space="preserve">High</w:t>
            </w:r>
          </w:p>
        </w:tc>
        <w:tc>
          <w:tcPr>
            <w:tcW w:type="dxa" w:w="50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Containerised Docker, read-only filesystem, network isolation, automatic teardown after each epoch.</w:t>
            </w:r>
          </w:p>
        </w:tc>
      </w:tr>
      <w:tr>
        <w:tc>
          <w:tcPr>
            <w:tcW w:type="dxa" w:w="24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b/>
                <w:bCs/>
                <w:sz w:val="22"/>
                <w:szCs w:val="22"/>
              </w:rPr>
              <w:t xml:space="preserve">False negative rate too high in early phase</w:t>
            </w:r>
          </w:p>
        </w:tc>
        <w:tc>
          <w:tcPr>
            <w:tcW w:type="dxa" w:w="10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b/>
                <w:bCs/>
                <w:color w:val="9B1C1C"/>
                <w:sz w:val="22"/>
                <w:szCs w:val="22"/>
              </w:rPr>
              <w:t xml:space="preserve">High</w:t>
            </w:r>
          </w:p>
        </w:tc>
        <w:tc>
          <w:tcPr>
            <w:tcW w:type="dxa" w:w="10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b/>
                <w:bCs/>
                <w:color w:val="7D4A00"/>
                <w:sz w:val="22"/>
                <w:szCs w:val="22"/>
              </w:rPr>
              <w:t xml:space="preserve">Medium</w:t>
            </w:r>
          </w:p>
        </w:tc>
        <w:tc>
          <w:tcPr>
            <w:tcW w:type="dxa" w:w="50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sz w:val="22"/>
                <w:szCs w:val="22"/>
              </w:rPr>
              <w:t xml:space="preserve">1.4× bootstrap multiplier + 500-vulnerability public challenge dataset for miner calibration before mainnet.</w:t>
            </w:r>
          </w:p>
        </w:tc>
      </w:tr>
      <w:tr>
        <w:tc>
          <w:tcPr>
            <w:tcW w:type="dxa" w:w="24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b/>
                <w:bCs/>
                <w:sz w:val="22"/>
                <w:szCs w:val="22"/>
              </w:rPr>
              <w:t xml:space="preserve">Regulatory concern: running live exploit simulations</w:t>
            </w:r>
          </w:p>
        </w:tc>
        <w:tc>
          <w:tcPr>
            <w:tcW w:type="dxa" w:w="10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b/>
                <w:bCs/>
                <w:color w:val="7D4A00"/>
                <w:sz w:val="22"/>
                <w:szCs w:val="22"/>
              </w:rPr>
              <w:t xml:space="preserve">Medium</w:t>
            </w:r>
          </w:p>
        </w:tc>
        <w:tc>
          <w:tcPr>
            <w:tcW w:type="dxa" w:w="10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b/>
                <w:bCs/>
                <w:color w:val="9B1C1C"/>
                <w:sz w:val="22"/>
                <w:szCs w:val="22"/>
              </w:rPr>
              <w:t xml:space="preserve">High</w:t>
            </w:r>
          </w:p>
        </w:tc>
        <w:tc>
          <w:tcPr>
            <w:tcW w:type="dxa" w:w="50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All simulations in air-gapped environments. Legal opinion obtained before Phase 2. Inputs are synthetic or consented.</w:t>
            </w:r>
          </w:p>
        </w:tc>
      </w:tr>
      <w:tr>
        <w:tc>
          <w:tcPr>
            <w:tcW w:type="dxa" w:w="24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b/>
                <w:bCs/>
                <w:sz w:val="22"/>
                <w:szCs w:val="22"/>
              </w:rPr>
              <w:t xml:space="preserve">Low validator count at launch</w:t>
            </w:r>
          </w:p>
        </w:tc>
        <w:tc>
          <w:tcPr>
            <w:tcW w:type="dxa" w:w="10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b/>
                <w:bCs/>
                <w:color w:val="7D4A00"/>
                <w:sz w:val="22"/>
                <w:szCs w:val="22"/>
              </w:rPr>
              <w:t xml:space="preserve">Medium</w:t>
            </w:r>
          </w:p>
        </w:tc>
        <w:tc>
          <w:tcPr>
            <w:tcW w:type="dxa" w:w="10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b/>
                <w:bCs/>
                <w:color w:val="9B1C1C"/>
                <w:sz w:val="22"/>
                <w:szCs w:val="22"/>
              </w:rPr>
              <w:t xml:space="preserve">High</w:t>
            </w:r>
          </w:p>
        </w:tc>
        <w:tc>
          <w:tcPr>
            <w:tcW w:type="dxa" w:w="50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sz w:val="22"/>
                <w:szCs w:val="22"/>
              </w:rPr>
              <w:t xml:space="preserve">Reduced 50% stake for 60 days + 7-epoch shadow period protects integrity while validator set grows.</w:t>
            </w:r>
          </w:p>
        </w:tc>
      </w:tr>
      <w:tr>
        <w:tc>
          <w:tcPr>
            <w:tcW w:type="dxa" w:w="24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b/>
                <w:bCs/>
                <w:sz w:val="22"/>
                <w:szCs w:val="22"/>
              </w:rPr>
              <w:t xml:space="preserve">Miner collusion on shared threat signatures</w:t>
            </w:r>
          </w:p>
        </w:tc>
        <w:tc>
          <w:tcPr>
            <w:tcW w:type="dxa" w:w="10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b/>
                <w:bCs/>
                <w:color w:val="7D4A00"/>
                <w:sz w:val="22"/>
                <w:szCs w:val="22"/>
              </w:rPr>
              <w:t xml:space="preserve">Medium</w:t>
            </w:r>
          </w:p>
        </w:tc>
        <w:tc>
          <w:tcPr>
            <w:tcW w:type="dxa" w:w="10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b/>
                <w:bCs/>
                <w:color w:val="7D4A00"/>
                <w:sz w:val="22"/>
                <w:szCs w:val="22"/>
              </w:rPr>
              <w:t xml:space="preserve">Medium</w:t>
            </w:r>
          </w:p>
        </w:tc>
        <w:tc>
          <w:tcPr>
            <w:tcW w:type="dxa" w:w="5000"/>
            <w:tcBorders>
              <w:top w:val="single" w:color="D5DCE8" w:sz="4"/>
              <w:left w:val="single" w:color="D5DCE8" w:sz="4"/>
              <w:bottom w:val="single" w:color="D5DCE8" w:sz="4"/>
              <w:right w:val="single" w:color="D5DCE8" w:sz="4"/>
            </w:tcBorders>
            <w:shd w:fill="F2F5FA" w:val="clear"/>
            <w:tcMar>
              <w:top w:type="dxa" w:w="80"/>
              <w:left w:type="dxa" w:w="120"/>
              <w:bottom w:type="dxa" w:w="80"/>
              <w:right w:type="dxa" w:w="120"/>
            </w:tcMar>
            <w:vAlign w:val="top"/>
          </w:tcPr>
          <w:p>
            <w:pPr>
              <w:spacing w:after="120"/>
            </w:pPr>
            <w:r>
              <w:rPr>
                <w:rFonts w:ascii="Arial" w:cs="Arial" w:eastAsia="Arial" w:hAnsi="Arial"/>
                <w:sz w:val="22"/>
                <w:szCs w:val="22"/>
              </w:rPr>
              <w:t xml:space="preserve">Novelty bonus rewards unique findings. Copy detection penalises identical reports 100%.</w:t>
            </w:r>
          </w:p>
        </w:tc>
      </w:tr>
      <w:tr>
        <w:tc>
          <w:tcPr>
            <w:tcW w:type="dxa" w:w="24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b/>
                <w:bCs/>
                <w:sz w:val="22"/>
                <w:szCs w:val="22"/>
              </w:rPr>
              <w:t xml:space="preserve">CVE database staleness</w:t>
            </w:r>
          </w:p>
        </w:tc>
        <w:tc>
          <w:tcPr>
            <w:tcW w:type="dxa" w:w="10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b/>
                <w:bCs/>
                <w:color w:val="145A32"/>
                <w:sz w:val="22"/>
                <w:szCs w:val="22"/>
              </w:rPr>
              <w:t xml:space="preserve">Low</w:t>
            </w:r>
          </w:p>
        </w:tc>
        <w:tc>
          <w:tcPr>
            <w:tcW w:type="dxa" w:w="10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b/>
                <w:bCs/>
                <w:color w:val="7D4A00"/>
                <w:sz w:val="22"/>
                <w:szCs w:val="22"/>
              </w:rPr>
              <w:t xml:space="preserve">Medium</w:t>
            </w:r>
          </w:p>
        </w:tc>
        <w:tc>
          <w:tcPr>
            <w:tcW w:type="dxa" w:w="5000"/>
            <w:tcBorders>
              <w:top w:val="single" w:color="D5DCE8" w:sz="4"/>
              <w:left w:val="single" w:color="D5DCE8" w:sz="4"/>
              <w:bottom w:val="single" w:color="D5DCE8" w:sz="4"/>
              <w:right w:val="single" w:color="D5DCE8" w:sz="4"/>
            </w:tcBorders>
            <w:shd w:fill="FFFFFF" w:val="clear"/>
            <w:tcMar>
              <w:top w:type="dxa" w:w="80"/>
              <w:left w:type="dxa" w:w="120"/>
              <w:bottom w:type="dxa" w:w="80"/>
              <w:right w:type="dxa" w:w="120"/>
            </w:tcMar>
            <w:vAlign w:val="top"/>
          </w:tcPr>
          <w:p>
            <w:pPr>
              <w:spacing w:after="120"/>
            </w:pPr>
            <w:r>
              <w:rPr>
                <w:rFonts w:ascii="Arial" w:cs="Arial" w:eastAsia="Arial" w:hAnsi="Arial"/>
                <w:sz w:val="22"/>
                <w:szCs w:val="22"/>
              </w:rPr>
              <w:t xml:space="preserve">CVE feeds pulled daily from NVD. Reports referencing CVEs older than 90 days rejected automatically.</w:t>
            </w:r>
          </w:p>
        </w:tc>
      </w:tr>
    </w:tbl>
    <w:p>
      <w:pPr>
        <w:spacing w:after="60"/>
      </w:pPr>
      <w:r>
        <w:rPr>
          <w:rFonts w:ascii="Arial" w:cs="Arial" w:eastAsia="Arial" w:hAnsi="Arial"/>
          <w:sz w:val="22"/>
          <w:szCs w:val="22"/>
        </w:rPr>
        <w:t xml:space="preserve"/>
      </w:r>
    </w:p>
    <w:p>
      <w:pPr>
        <w:pStyle w:val="Heading1"/>
        <w:pBdr>
          <w:bottom w:val="single" w:color="1A4A9C" w:sz="8" w:space="4"/>
        </w:pBdr>
        <w:spacing w:before="300" w:after="160"/>
      </w:pPr>
      <w:r>
        <w:rPr>
          <w:rFonts w:ascii="Arial" w:cs="Arial" w:eastAsia="Arial" w:hAnsi="Arial"/>
          <w:b/>
          <w:bCs/>
          <w:color w:val="0A1628"/>
          <w:sz w:val="32"/>
          <w:szCs w:val="32"/>
        </w:rPr>
        <w:t>8. Round II MVP Snapshot</w:t>
      </w:r>
    </w:p>
    <w:p>
      <w:pPr>
        <w:spacing w:after="120"/>
      </w:pPr>
      <w:r>
        <w:rPr>
          <w:rFonts w:ascii="Arial" w:cs="Arial" w:eastAsia="Arial" w:hAnsi="Arial"/>
          <w:sz w:val="22"/>
          <w:szCs w:val="22"/>
        </w:rPr>
        <w:t xml:space="preserve">SentinelNet is buildable today. The Round II MVP scopes to the minimum set needed to prove the mechanism end-to-end:</w:t>
      </w:r>
    </w:p>
    <w:tbl>
      <w:tblPr>
        <w:tblW w:type="dxa" w:w="9360"/>
        <w:tblBorders>
          <w:top w:val="single" w:color="D5DCE8" w:sz="4"/>
          <w:left w:val="single" w:color="D5DCE8" w:sz="4"/>
          <w:bottom w:val="single" w:color="D5DCE8" w:sz="4"/>
          <w:right w:val="single" w:color="D5DCE8" w:sz="4"/>
          <w:insideH w:val="single" w:color="D5DCE8" w:sz="4"/>
          <w:insideV w:val="single" w:color="D5DCE8" w:sz="4"/>
        </w:tblBorders>
        <w:tblCellMar>
          <w:top w:type="dxa" w:w="80"/>
          <w:left w:type="dxa" w:w="120"/>
          <w:bottom w:type="dxa" w:w="80"/>
          <w:right w:type="dxa" w:w="120"/>
        </w:tblCellMar>
      </w:tblPr>
      <w:tblGrid>
        <w:gridCol w:w="2800"/>
        <w:gridCol w:w="6560"/>
      </w:tblGrid>
      <w:tr>
        <w:tc>
          <w:tcPr>
            <w:tcW w:type="dxa" w:w="2800"/>
            <w:shd w:val="clear" w:fill="0A1628" w:color="auto"/>
          </w:tcPr>
          <w:p>
            <w:pPr>
              <w:spacing w:after="120"/>
            </w:pPr>
            <w:r>
              <w:rPr>
                <w:rFonts w:ascii="Arial" w:cs="Arial" w:eastAsia="Arial" w:hAnsi="Arial"/>
                <w:b/>
                <w:bCs/>
                <w:color w:val="FFFFFF"/>
                <w:sz w:val="22"/>
                <w:szCs w:val="22"/>
              </w:rPr>
              <w:t>Component</w:t>
            </w:r>
          </w:p>
        </w:tc>
        <w:tc>
          <w:tcPr>
            <w:tcW w:type="dxa" w:w="6560"/>
            <w:shd w:val="clear" w:fill="0A1628" w:color="auto"/>
          </w:tcPr>
          <w:p>
            <w:pPr>
              <w:spacing w:after="120"/>
            </w:pPr>
            <w:r>
              <w:rPr>
                <w:rFonts w:ascii="Arial" w:cs="Arial" w:eastAsia="Arial" w:hAnsi="Arial"/>
                <w:b/>
                <w:bCs/>
                <w:color w:val="FFFFFF"/>
                <w:sz w:val="22"/>
                <w:szCs w:val="22"/>
              </w:rPr>
              <w:t>Scope</w:t>
            </w:r>
          </w:p>
        </w:tc>
      </w:tr>
      <w:tr>
        <w:tc>
          <w:tcPr>
            <w:tcW w:type="dxa" w:w="2800"/>
            <w:shd w:val="clear" w:fill="F2F5FA" w:color="auto"/>
          </w:tcPr>
          <w:p>
            <w:pPr>
              <w:spacing w:after="120"/>
            </w:pPr>
            <w:r>
              <w:rPr>
                <w:rFonts w:ascii="Arial" w:cs="Arial" w:eastAsia="Arial" w:hAnsi="Arial"/>
                <w:b/>
                <w:bCs/>
                <w:color w:val="1A4A9C"/>
                <w:sz w:val="22"/>
                <w:szCs w:val="22"/>
              </w:rPr>
              <w:t>Task type</w:t>
            </w:r>
          </w:p>
        </w:tc>
        <w:tc>
          <w:tcPr>
            <w:tcW w:type="dxa" w:w="6560"/>
            <w:shd w:val="clear" w:fill="F2F5FA" w:color="auto"/>
          </w:tcPr>
          <w:p>
            <w:pPr>
              <w:spacing w:after="120"/>
            </w:pPr>
            <w:r>
              <w:rPr>
                <w:rFonts w:ascii="Arial" w:cs="Arial" w:eastAsia="Arial" w:hAnsi="Arial"/>
                <w:sz w:val="22"/>
                <w:szCs w:val="22"/>
              </w:rPr>
              <w:t>Smart contract bytecode only (reentrancy, overflow, access control)</w:t>
            </w:r>
          </w:p>
        </w:tc>
      </w:tr>
      <w:tr>
        <w:tc>
          <w:tcPr>
            <w:tcW w:type="dxa" w:w="2800"/>
            <w:shd w:val="clear" w:fill="FFFFFF" w:color="auto"/>
          </w:tcPr>
          <w:p>
            <w:pPr>
              <w:spacing w:after="120"/>
            </w:pPr>
            <w:r>
              <w:rPr>
                <w:rFonts w:ascii="Arial" w:cs="Arial" w:eastAsia="Arial" w:hAnsi="Arial"/>
                <w:b/>
                <w:bCs/>
                <w:color w:val="1A4A9C"/>
                <w:sz w:val="22"/>
                <w:szCs w:val="22"/>
              </w:rPr>
              <w:t>Sandbox</w:t>
            </w:r>
          </w:p>
        </w:tc>
        <w:tc>
          <w:tcPr>
            <w:tcW w:type="dxa" w:w="6560"/>
            <w:shd w:val="clear" w:fill="FFFFFF" w:color="auto"/>
          </w:tcPr>
          <w:p>
            <w:pPr>
              <w:spacing w:after="120"/>
            </w:pPr>
            <w:r>
              <w:rPr>
                <w:rFonts w:ascii="Arial" w:cs="Arial" w:eastAsia="Arial" w:hAnsi="Arial"/>
                <w:sz w:val="22"/>
                <w:szCs w:val="22"/>
              </w:rPr>
              <w:t>Basic Docker orchestration — isolated, read-only, auto-teardown per epoch</w:t>
            </w:r>
          </w:p>
        </w:tc>
      </w:tr>
      <w:tr>
        <w:tc>
          <w:tcPr>
            <w:tcW w:type="dxa" w:w="2800"/>
            <w:shd w:val="clear" w:fill="F2F5FA" w:color="auto"/>
          </w:tcPr>
          <w:p>
            <w:pPr>
              <w:spacing w:after="120"/>
            </w:pPr>
            <w:r>
              <w:rPr>
                <w:rFonts w:ascii="Arial" w:cs="Arial" w:eastAsia="Arial" w:hAnsi="Arial"/>
                <w:b/>
                <w:bCs/>
                <w:color w:val="1A4A9C"/>
                <w:sz w:val="22"/>
                <w:szCs w:val="22"/>
              </w:rPr>
              <w:t>Validator set</w:t>
            </w:r>
          </w:p>
        </w:tc>
        <w:tc>
          <w:tcPr>
            <w:tcW w:type="dxa" w:w="6560"/>
            <w:shd w:val="clear" w:fill="F2F5FA" w:color="auto"/>
          </w:tcPr>
          <w:p>
            <w:pPr>
              <w:spacing w:after="120"/>
            </w:pPr>
            <w:r>
              <w:rPr>
                <w:rFonts w:ascii="Arial" w:cs="Arial" w:eastAsia="Arial" w:hAnsi="Arial"/>
                <w:sz w:val="22"/>
                <w:szCs w:val="22"/>
              </w:rPr>
              <w:t>3-validator minimum with 7-epoch shadow onboarding enforced</w:t>
            </w:r>
          </w:p>
        </w:tc>
      </w:tr>
      <w:tr>
        <w:tc>
          <w:tcPr>
            <w:tcW w:type="dxa" w:w="2800"/>
            <w:shd w:val="clear" w:fill="FFFFFF" w:color="auto"/>
          </w:tcPr>
          <w:p>
            <w:pPr>
              <w:spacing w:after="120"/>
            </w:pPr>
            <w:r>
              <w:rPr>
                <w:rFonts w:ascii="Arial" w:cs="Arial" w:eastAsia="Arial" w:hAnsi="Arial"/>
                <w:b/>
                <w:bCs/>
                <w:color w:val="1A4A9C"/>
                <w:sz w:val="22"/>
                <w:szCs w:val="22"/>
              </w:rPr>
              <w:t>Scoring</w:t>
            </w:r>
          </w:p>
        </w:tc>
        <w:tc>
          <w:tcPr>
            <w:tcW w:type="dxa" w:w="6560"/>
            <w:shd w:val="clear" w:fill="FFFFFF" w:color="auto"/>
          </w:tcPr>
          <w:p>
            <w:pPr>
              <w:spacing w:after="120"/>
            </w:pPr>
            <w:r>
              <w:rPr>
                <w:rFonts w:ascii="Arial" w:cs="Arial" w:eastAsia="Arial" w:hAnsi="Arial"/>
                <w:sz w:val="22"/>
                <w:szCs w:val="22"/>
              </w:rPr>
              <w:t>F1 + Severity Accuracy + Speed — full EMA14 formula active from epoch 1</w:t>
            </w:r>
          </w:p>
        </w:tc>
      </w:tr>
      <w:tr>
        <w:tc>
          <w:tcPr>
            <w:tcW w:type="dxa" w:w="2800"/>
            <w:shd w:val="clear" w:fill="F2F5FA" w:color="auto"/>
          </w:tcPr>
          <w:p>
            <w:pPr>
              <w:spacing w:after="120"/>
            </w:pPr>
            <w:r>
              <w:rPr>
                <w:rFonts w:ascii="Arial" w:cs="Arial" w:eastAsia="Arial" w:hAnsi="Arial"/>
                <w:b/>
                <w:bCs/>
                <w:color w:val="1A4A9C"/>
                <w:sz w:val="22"/>
                <w:szCs w:val="22"/>
              </w:rPr>
              <w:t>On-chain weight update</w:t>
            </w:r>
          </w:p>
        </w:tc>
        <w:tc>
          <w:tcPr>
            <w:tcW w:type="dxa" w:w="6560"/>
            <w:shd w:val="clear" w:fill="F2F5FA" w:color="auto"/>
          </w:tcPr>
          <w:p>
            <w:pPr>
              <w:spacing w:after="120"/>
            </w:pPr>
            <w:r>
              <w:rPr>
                <w:rFonts w:ascii="Arial" w:cs="Arial" w:eastAsia="Arial" w:hAnsi="Arial"/>
                <w:sz w:val="22"/>
                <w:szCs w:val="22"/>
              </w:rPr>
              <w:t>Simple rank-based TAO distribution per epoch via Bittensor metagraph</w:t>
            </w:r>
          </w:p>
        </w:tc>
      </w:tr>
      <w:tr>
        <w:tc>
          <w:tcPr>
            <w:tcW w:type="dxa" w:w="2800"/>
            <w:shd w:val="clear" w:fill="FFFFFF" w:color="auto"/>
          </w:tcPr>
          <w:p>
            <w:pPr>
              <w:spacing w:after="120"/>
            </w:pPr>
            <w:r>
              <w:rPr>
                <w:rFonts w:ascii="Arial" w:cs="Arial" w:eastAsia="Arial" w:hAnsi="Arial"/>
                <w:b/>
                <w:bCs/>
                <w:color w:val="1A4A9C"/>
                <w:sz w:val="22"/>
                <w:szCs w:val="22"/>
              </w:rPr>
              <w:t>Launch dataset</w:t>
            </w:r>
          </w:p>
        </w:tc>
        <w:tc>
          <w:tcPr>
            <w:tcW w:type="dxa" w:w="6560"/>
            <w:shd w:val="clear" w:fill="FFFFFF" w:color="auto"/>
          </w:tcPr>
          <w:p>
            <w:pPr>
              <w:spacing w:after="120"/>
            </w:pPr>
            <w:r>
              <w:rPr>
                <w:rFonts w:ascii="Arial" w:cs="Arial" w:eastAsia="Arial" w:hAnsi="Arial"/>
                <w:sz w:val="22"/>
                <w:szCs w:val="22"/>
              </w:rPr>
              <w:t>500-vulnerability public challenge set released 2 weeks pre-mainnet</w:t>
            </w:r>
          </w:p>
        </w:tc>
      </w:tr>
    </w:tbl>
    <w:p>
      <w:pPr>
        <w:spacing w:after="120"/>
      </w:pPr>
      <w:r>
        <w:rPr>
          <w:rFonts w:ascii="Arial" w:cs="Arial" w:eastAsia="Arial" w:hAnsi="Arial"/>
          <w:sz w:val="22"/>
          <w:szCs w:val="22"/>
        </w:rPr>
        <w:t xml:space="preserve">Network and smart contract logs are added in Phase 2 once the smart contract pipeline is stable. The full mechanism — sandbox, scoring, slashing, and weight update — runs end-to-end from day one.</w:t>
      </w:r>
    </w:p>
    <w:p>
      <w:pPr>
        <w:pStyle w:val="Heading1"/>
        <w:pBdr>
          <w:bottom w:val="single" w:color="1A4A9C" w:sz="8" w:space="4"/>
        </w:pBdr>
        <w:spacing w:before="300" w:after="160"/>
      </w:pPr>
      <w:r>
        <w:rPr>
          <w:rFonts w:ascii="Arial" w:cs="Arial" w:eastAsia="Arial" w:hAnsi="Arial"/>
          <w:b/>
          <w:bCs/>
          <w:color w:val="0A1628"/>
          <w:sz w:val="32"/>
          <w:szCs w:val="32"/>
        </w:rPr>
        <w:t>Conclusion</w:t>
      </w:r>
    </w:p>
    <w:p>
      <w:pPr>
        <w:spacing w:after="120"/>
      </w:pPr>
      <w:r>
        <w:rPr>
          <w:rFonts w:ascii="Arial" w:cs="Arial" w:eastAsia="Arial" w:hAnsi="Arial"/>
          <w:b/>
          <w:bCs/>
          <w:sz w:val="22"/>
          <w:szCs w:val="22"/>
        </w:rPr>
        <w:t xml:space="preserve">SentinelNet turns exploitability into a measurable, cryptographic truth.</w:t>
      </w:r>
    </w:p>
    <w:p>
      <w:pPr>
        <w:spacing w:after="120"/>
      </w:pPr>
      <w:r>
        <w:rPr>
          <w:rFonts w:ascii="Arial" w:cs="Arial" w:eastAsia="Arial" w:hAnsi="Arial"/>
          <w:sz w:val="22"/>
          <w:szCs w:val="22"/>
        </w:rPr>
        <w:t xml:space="preserve">Every design decision in this document — the scoring formula, the sandbox, the slashing policy, the bootstrap mechanics — follows from that single principle.</w:t>
      </w:r>
    </w:p>
    <w:p>
      <w:pPr>
        <w:spacing w:after="120"/>
      </w:pPr>
      <w:r>
        <w:rPr>
          <w:rFonts w:ascii="Arial" w:cs="Arial" w:eastAsia="Arial" w:hAnsi="Arial"/>
          <w:sz w:val="22"/>
          <w:szCs w:val="22"/>
        </w:rPr>
        <w:t xml:space="preserve">The scoring formula is mathematically clean: F1 score, severity accuracy, and speed — with EMA14 smoothing — are fully defined with a worked example. Stake is removed from scoring entirely, preserving fairness and elegance. The adversarial defense matrix addresses eight specific attack vectors. The economic security analysis demonstrates that gaming the subnet is financially self-defeating within three epochs.</w:t>
      </w:r>
    </w:p>
    <w:p>
      <w:pPr>
        <w:spacing w:after="120"/>
      </w:pPr>
      <w:r>
        <w:rPr>
          <w:rFonts w:ascii="Arial" w:cs="Arial" w:eastAsia="Arial" w:hAnsi="Arial"/>
          <w:sz w:val="22"/>
          <w:szCs w:val="22"/>
        </w:rPr>
        <w:t xml:space="preserve">The market is real: $1.2 billion in smart contract auditing alone. The path to revenue does not depend on TAO emissions. Named community partners, a pre-launch challenge dataset, and a working confidence-scoring API complete the go-to-market plan.</w:t>
      </w:r>
    </w:p>
    <w:p>
      <w:pPr>
        <w:spacing w:after="120"/>
      </w:pPr>
      <w:r>
        <w:rPr>
          <w:rFonts w:ascii="Arial" w:cs="Arial" w:eastAsia="Arial" w:hAnsi="Arial"/>
          <w:b/>
          <w:bCs/>
          <w:sz w:val="22"/>
          <w:szCs w:val="22"/>
        </w:rPr>
        <w:t xml:space="preserve">SentinelNet turns cybersecurity threat detection into a true Proof of Intelligence — one where the proof is a sandbox exploit that either fires or fails, recorded permanently on-chain for anyone to verify.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A1628"/>
      <w:sz w:val="32"/>
      <w:szCs w:val="32"/>
    </w:rPr>
  </w:style>
  <w:style w:type="paragraph" w:styleId="Heading2">
    <w:name w:val="Heading 2"/>
    <w:basedOn w:val="Normal"/>
    <w:next w:val="Normal"/>
    <w:qFormat/>
    <w:pPr>
      <w:spacing w:before="220" w:after="120"/>
      <w:outlineLvl w:val="1"/>
    </w:pPr>
    <w:rPr>
      <w:rFonts w:ascii="Arial" w:cs="Arial" w:eastAsia="Arial" w:hAnsi="Arial"/>
      <w:b/>
      <w:bCs/>
      <w:color w:val="1A4A9C"/>
      <w:sz w:val="26"/>
      <w:szCs w:val="26"/>
    </w:rPr>
  </w:style>
  <w:style w:type="paragraph" w:styleId="Heading3">
    <w:name w:val="Heading 3"/>
    <w:basedOn w:val="Normal"/>
    <w:next w:val="Normal"/>
    <w:qFormat/>
    <w:pPr>
      <w:spacing w:before="180" w:after="80"/>
      <w:outlineLvl w:val="2"/>
    </w:pPr>
    <w:rPr>
      <w:rFonts w:ascii="Arial" w:cs="Arial" w:eastAsia="Arial" w:hAnsi="Arial"/>
      <w:b/>
      <w:bCs/>
      <w:color w:val="0A162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2026-02-24T13:23:36.795Z</dcterms:created>
  <dcterms:modified xsi:type="dcterms:W3CDTF">2026-02-24T13:23:36.796Z</dcterms:modified>
</cp:coreProperties>
</file>

<file path=docProps/custom.xml><?xml version="1.0" encoding="utf-8"?>
<Properties xmlns="http://schemas.openxmlformats.org/officeDocument/2006/custom-properties" xmlns:vt="http://schemas.openxmlformats.org/officeDocument/2006/docPropsVTypes"/>
</file>