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판촉의 인과 효과와 마진 누수 진단</w:t>
      </w:r>
    </w:p>
    <w:p>
      <w:pPr>
        <w:spacing w:after="60"/>
      </w:pPr>
      <w:r>
        <w:rPr>
          <w:color w:val="595959"/>
          <w:sz w:val="24"/>
          <w:szCs w:val="24"/>
        </w:rPr>
        <w:t xml:space="preserve">dunnhumby "The Complete Journey" — 이탈 방지 및 마케팅 효율 최적화 전략</w:t>
      </w:r>
    </w:p>
    <w:p>
      <w:pPr>
        <w:pBdr>
          <w:bottom w:val="single" w:color="BFBFBF" w:sz="6" w:space="6"/>
        </w:pBdr>
        <w:spacing w:after="200"/>
      </w:pPr>
      <w:r>
        <w:rPr>
          <w:color w:val="595959"/>
          <w:sz w:val="19"/>
          <w:szCs w:val="19"/>
        </w:rPr>
        <w:t xml:space="preserve">YBIGTA DA 26-2 Project 2 : Business Insight  |  데이터: dunnhumby The Complete Journey (2,500가구 × 2년 × 259만 거래라인)  |  분석 환경: Google BigQuery (</w:t>
      </w:r>
      <w:r>
        <w:rPr>
          <w:rFonts w:ascii="Consolas" w:cs="Consolas" w:eastAsia="Consolas" w:hAnsi="Consolas"/>
          <w:color w:val="595959"/>
          <w:sz w:val="19"/>
          <w:szCs w:val="19"/>
          <w:shd w:fill="F2F2F2" w:val="clear"/>
        </w:rPr>
        <w:t xml:space="preserve">ybigta-505002</w:t>
      </w:r>
      <w:r>
        <w:rPr>
          <w:color w:val="595959"/>
          <w:sz w:val="19"/>
          <w:szCs w:val="19"/>
        </w:rPr>
        <w:t xml:space="preserve">) + Tableau</w:t>
      </w:r>
    </w:p>
    <w:p>
      <w:pPr>
        <w:pStyle w:val="Heading1"/>
        <w:spacing w:after="100" w:before="240"/>
      </w:pPr>
      <w:r>
        <w:t xml:space="preserve">요약 (Executive Summary)</w:t>
      </w:r>
    </w:p>
    <w:p>
      <w:pPr>
        <w:spacing w:after="60" w:before="60"/>
      </w:pPr>
      <w:r>
        <w:rPr>
          <w:b/>
          <w:bCs/>
        </w:rPr>
        <w:t xml:space="preserve">핵심 주장: 판촉 성과는 "무엇을, 어떻게 세느냐"에 따라 부호가 뒤집힌다.</w:t>
      </w:r>
    </w:p>
    <w:p>
      <w:pPr>
        <w:spacing w:after="60" w:before="60"/>
      </w:pPr>
      <w:r>
        <w:t xml:space="preserve">횡단면(관찰) 지표로 성과를 재면 아래 네 가지 축 모두에서 잘못된 결론에 도달하며, 인과 설계로 재면 결론이 반전된다.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1"/>
        <w:gridCol w:w="4442"/>
        <w:gridCol w:w="3873"/>
      </w:tblGrid>
      <w:tr>
        <w:trPr>
          <w:tblHeader/>
        </w:trPr>
        <w:tc>
          <w:tcPr>
            <w:tcW w:type="dxa" w:w="711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축</w:t>
            </w:r>
          </w:p>
        </w:tc>
        <w:tc>
          <w:tcPr>
            <w:tcW w:type="dxa" w:w="4442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횡단면이 말하는 것</w:t>
            </w:r>
          </w:p>
        </w:tc>
        <w:tc>
          <w:tcPr>
            <w:tcW w:type="dxa" w:w="3873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인과 추정이 말하는 것</w:t>
            </w:r>
          </w:p>
        </w:tc>
      </w:tr>
      <w:tr>
        <w:trPr>
          <w:tblHeader w:val="false"/>
        </w:trPr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4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SOFT DRINKS = 최대 할인 누수원 (회수율 0.78)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최대 수익원</w:t>
            </w:r>
            <w:r>
              <w:rPr>
                <w:sz w:val="19"/>
                <w:szCs w:val="19"/>
              </w:rPr>
              <w:t xml:space="preserve"> (+31.4%, t=13.9)</w:t>
            </w:r>
          </w:p>
        </w:tc>
      </w:tr>
      <w:tr>
        <w:trPr>
          <w:tblHeader w:val="false"/>
        </w:trPr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고객</w:t>
            </w:r>
          </w:p>
        </w:tc>
        <w:tc>
          <w:tcPr>
            <w:tcW w:type="dxa" w:w="4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Q5(할인 최다 의존) = 할인 25.4% 소모, 매출 15.1% 생성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판촉이 수익을 내는 유일한 집단</w:t>
            </w:r>
            <w:r>
              <w:rPr>
                <w:sz w:val="19"/>
                <w:szCs w:val="19"/>
              </w:rPr>
              <w:t xml:space="preserve"> (+11.7%, t=14.9)</w:t>
            </w:r>
          </w:p>
        </w:tc>
      </w:tr>
      <w:tr>
        <w:trPr>
          <w:tblHeader w:val="false"/>
        </w:trPr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매장</w:t>
            </w:r>
          </w:p>
        </w:tc>
        <w:tc>
          <w:tcPr>
            <w:tcW w:type="dxa" w:w="4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진열 리프트 1.96배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1.29~1.42배</w:t>
            </w:r>
            <w:r>
              <w:rPr>
                <w:sz w:val="19"/>
                <w:szCs w:val="19"/>
              </w:rPr>
              <w:t xml:space="preserve"> — 격차의 ~70%가 선택편의</w:t>
            </w:r>
          </w:p>
        </w:tc>
      </w:tr>
      <w:tr>
        <w:trPr>
          <w:tblHeader w:val="false"/>
        </w:trPr>
        <w:tc>
          <w:tcPr>
            <w:tcW w:type="dxa" w:w="7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측정 관점</w:t>
            </w:r>
          </w:p>
        </w:tc>
        <w:tc>
          <w:tcPr>
            <w:tcW w:type="dxa" w:w="44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프로모션 상품 매출 +102% (GRAPES)</w:t>
            </w:r>
          </w:p>
        </w:tc>
        <w:tc>
          <w:tcPr>
            <w:tcW w:type="dxa" w:w="38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가구 카테고리 지출 </w:t>
            </w:r>
            <w:r>
              <w:rPr>
                <w:b/>
                <w:bCs/>
                <w:sz w:val="19"/>
                <w:szCs w:val="19"/>
              </w:rPr>
              <w:t xml:space="preserve">−30%</w:t>
            </w:r>
            <w:r>
              <w:rPr>
                <w:sz w:val="19"/>
                <w:szCs w:val="19"/>
              </w:rPr>
              <w:t xml:space="preserve"> — 격차는 전환과 마진 이전</w:t>
            </w:r>
          </w:p>
        </w:tc>
      </w:tr>
    </w:tbl>
    <w:p>
      <w:pPr>
        <w:spacing w:after="160"/>
      </w:pPr>
    </w:p>
    <w:p>
      <w:pPr>
        <w:spacing w:after="60" w:before="60"/>
      </w:pPr>
      <w:r>
        <w:rPr>
          <w:b/>
          <w:bCs/>
        </w:rPr>
        <w:t xml:space="preserve">최종 권고 (3줄):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전단지·진열은 카테고리 축으로 최적화</w:t>
      </w:r>
      <w:r>
        <w:t xml:space="preserve"> — 신선 농산물(16개 중 14개 순손실, 탄력성 평균 0.60)은 축소하고, 가공식품 확대 명단 19개(BEEF, SOFT DRINKS 등)에 집중한다. 근거는 </w:t>
      </w:r>
      <w:r>
        <w:rPr>
          <w:b/>
          <w:bCs/>
        </w:rPr>
        <w:t xml:space="preserve">기회비용</w:t>
      </w:r>
      <w:r>
        <w:t xml:space="preserve">이다: 농산물 판촉의 장바구니 전체 기여는 0과 구분되지 않는데(+$0.43, t=0.96), 같은 지면을 MEAT에 쓰면 +$3.92(t=6.3), GROCERY에 쓰면 +$2.95(t=11.3)가 나온다(§4.7).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쿠폰은 재설계</w:t>
      </w:r>
      <w:r>
        <w:t xml:space="preserve"> — 현행 프로그램의 증분 효과는 검출 불가(ITT +$0.02/주, t=0.7). 효과는 사용 관문을 통과한 7.9%에만 존재하며, 사용은 할인의존 상위 분위(Q5, 사용률 37.3%)의 행동이다. 유지 시 사전 할인의존도 기준으로 타겟팅하고 Q1 발송은 중단한다.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성과 지표를 교체</w:t>
      </w:r>
      <w:r>
        <w:t xml:space="preserve"> — "프로모션 상품 매출 리프트"는 42개 카테고리 전부에서 양수가 나오는 지표로, 의사결정 정보가 없다. </w:t>
      </w:r>
      <w:r>
        <w:rPr>
          <w:b/>
          <w:bCs/>
        </w:rPr>
        <w:t xml:space="preserve">가구 관점 순수취액</w:t>
      </w:r>
      <w:r>
        <w:t xml:space="preserve">과 </w:t>
      </w:r>
      <w:r>
        <w:rPr>
          <w:b/>
          <w:bCs/>
        </w:rPr>
        <w:t xml:space="preserve">노출(intent-to-treat) 기준</w:t>
      </w:r>
      <w:r>
        <w:t xml:space="preserve">으로 측정해야 한다.</w:t>
      </w:r>
    </w:p>
    <w:p>
      <w:pPr>
        <w:pStyle w:val="Heading1"/>
        <w:spacing w:after="100" w:before="240"/>
      </w:pPr>
      <w:r>
        <w:t xml:space="preserve">1. 문제 정의</w:t>
      </w:r>
    </w:p>
    <w:p>
      <w:pPr>
        <w:spacing w:after="60" w:before="60"/>
      </w:pPr>
      <w:r>
        <w:t xml:space="preserve">Kickoff가 제시한 Big theme는 *"고객·마케팅·매장 데이터를 종합하여 이탈 방지 및 마케팅 효율 최적화 전략 제안"*이며, sub goal은 ①고객 세그먼트/이탈 위험군 정의, ②마케팅 개입의 실제 성과 검증, ③매장 프로모션의 동시 구매 효과 파악이다.</w:t>
      </w:r>
    </w:p>
    <w:p>
      <w:pPr>
        <w:spacing w:after="60" w:before="60"/>
      </w:pPr>
      <w:r>
        <w:rPr>
          <w:b/>
          <w:bCs/>
        </w:rPr>
        <w:t xml:space="preserve">이탈에 대한 선결 판정.</w:t>
      </w:r>
      <w:r>
        <w:t xml:space="preserve"> 이 패널은 공식 문서(User Guide) 첫 문장이 정의하듯 *frequent shoppers* 2,500가구만 추출한 표본이다. 실측 결과 165일 홀드아웃(DAY 548~711) 재구매율이 전 구간 96~98%이고, 기존 규칙으로 'Churned' 라벨이 붙은 354가구조차 86.7%가 복귀했다. </w:t>
      </w:r>
      <w:r>
        <w:rPr>
          <w:b/>
          <w:bCs/>
        </w:rPr>
        <w:t xml:space="preserve">이 데이터로 문자 그대로의 이탈은 측정할 수 없다.</w:t>
      </w:r>
      <w:r>
        <w:t xml:space="preserve"> 따라서 본 분석은 이탈 축을 "누가 떠나는가"에서 </w:t>
      </w:r>
      <w:r>
        <w:rPr>
          <w:b/>
          <w:bCs/>
        </w:rPr>
        <w:t xml:space="preserve">"어떤 고객·카테고리에서 마진이 새는가"</w:t>
      </w:r>
      <w:r>
        <w:t xml:space="preserve">로 재정의하고, 위험군을 구매 축소(down-trading)와 할인 의존 관점에서 정의했다.</w:t>
      </w:r>
    </w:p>
    <w:p>
      <w:pPr>
        <w:pStyle w:val="Heading1"/>
        <w:spacing w:after="100" w:before="240"/>
      </w:pPr>
      <w:r>
        <w:t xml:space="preserve">2. 데이터와 검증</w:t>
      </w:r>
    </w:p>
    <w:p>
      <w:pPr>
        <w:pStyle w:val="Heading2"/>
        <w:spacing w:after="100" w:before="240"/>
      </w:pPr>
      <w:r>
        <w:t xml:space="preserve">2.1 데이터 구성 (8개 테이블)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7"/>
        <w:gridCol w:w="1539"/>
        <w:gridCol w:w="4410"/>
      </w:tblGrid>
      <w:tr>
        <w:trPr>
          <w:tblHeader/>
        </w:trPr>
        <w:tc>
          <w:tcPr>
            <w:tcW w:type="dxa" w:w="3077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테이블</w:t>
            </w:r>
          </w:p>
        </w:tc>
        <w:tc>
          <w:tcPr>
            <w:tcW w:type="dxa" w:w="1539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행수</w:t>
            </w:r>
          </w:p>
        </w:tc>
        <w:tc>
          <w:tcPr>
            <w:tcW w:type="dxa" w:w="441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0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transaction_data</w:t>
            </w:r>
          </w:p>
        </w:tc>
        <w:tc>
          <w:tcPr>
            <w:tcW w:type="dxa" w:w="15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2,595,732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거래 라인 (2,500가구, 매장 582개, DAY 1~711)</w:t>
            </w:r>
          </w:p>
        </w:tc>
      </w:tr>
      <w:tr>
        <w:trPr>
          <w:tblHeader w:val="false"/>
        </w:trPr>
        <w:tc>
          <w:tcPr>
            <w:tcW w:type="dxa" w:w="30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15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92,353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상품 (DEPARTMENT / COMMODITY_DESC 307개 / 브랜드)</w:t>
            </w:r>
          </w:p>
        </w:tc>
      </w:tr>
      <w:tr>
        <w:trPr>
          <w:tblHeader w:val="false"/>
        </w:trPr>
        <w:tc>
          <w:tcPr>
            <w:tcW w:type="dxa" w:w="30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hh_demographic</w:t>
            </w:r>
          </w:p>
        </w:tc>
        <w:tc>
          <w:tcPr>
            <w:tcW w:type="dxa" w:w="15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801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인구통계 (가구의 32%, 매출의 55.8%)</w:t>
            </w:r>
          </w:p>
        </w:tc>
      </w:tr>
      <w:tr>
        <w:trPr>
          <w:tblHeader w:val="false"/>
        </w:trPr>
        <w:tc>
          <w:tcPr>
            <w:tcW w:type="dxa" w:w="30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campaign_desc / campaign_table</w:t>
            </w:r>
          </w:p>
        </w:tc>
        <w:tc>
          <w:tcPr>
            <w:tcW w:type="dxa" w:w="15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30 / 7,208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캠페인 30개, 1,584가구에 배정</w:t>
            </w:r>
          </w:p>
        </w:tc>
      </w:tr>
      <w:tr>
        <w:trPr>
          <w:tblHeader w:val="false"/>
        </w:trPr>
        <w:tc>
          <w:tcPr>
            <w:tcW w:type="dxa" w:w="30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coupon / coupon_redempt</w:t>
            </w:r>
          </w:p>
        </w:tc>
        <w:tc>
          <w:tcPr>
            <w:tcW w:type="dxa" w:w="15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124,548 / 2,318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쿠폰-상품 매핑 / 실제 사용 (434가구)</w:t>
            </w:r>
          </w:p>
        </w:tc>
      </w:tr>
      <w:tr>
        <w:trPr>
          <w:tblHeader w:val="false"/>
        </w:trPr>
        <w:tc>
          <w:tcPr>
            <w:tcW w:type="dxa" w:w="30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causal_data</w:t>
            </w:r>
          </w:p>
        </w:tc>
        <w:tc>
          <w:tcPr>
            <w:tcW w:type="dxa" w:w="15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36,786,524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상품×매장×주차 진열(display)·전단지(mailer) 노출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t xml:space="preserve">2.2 공식 문서(User Guide) 대조에서 확인·정정한 사항</w:t>
      </w:r>
    </w:p>
    <w:p>
      <w:pPr>
        <w:spacing w:after="60" w:before="60"/>
      </w:pPr>
      <w:r>
        <w:t xml:space="preserve">분석 전 dunnhumby 공식 User Guide(2014)를 표 이미지까지 추출해 대조했다. 주요 확인 사항: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display/mailer 코드는 완전히 문서화되어 있다</w:t>
      </w:r>
      <w:r>
        <w:t xml:space="preserve"> (display 0~7,9,A / mailer 0,A,C,D,F,H,J,L,P,X,Z). 데이터 실측 분포와 정확히 일치.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mailer는 단일 처치가 아니다</w:t>
      </w:r>
      <w:r>
        <w:t xml:space="preserve"> — 광고(A,C,D,F,H,L) / </w:t>
      </w:r>
      <w:r>
        <w:rPr>
          <w:b/>
          <w:bCs/>
        </w:rPr>
        <w:t xml:space="preserve">쿠폰(J,P: 307,493행)</w:t>
      </w:r>
      <w:r>
        <w:t xml:space="preserve"> / </w:t>
      </w:r>
      <w:r>
        <w:rPr>
          <w:b/>
          <w:bCs/>
        </w:rPr>
        <w:t xml:space="preserve">무료 증정(X,Z: 140,276행)</w:t>
      </w:r>
      <w:r>
        <w:t xml:space="preserve">이 혼재. 무료 증정을 처치에 포함하면 동어반복이 되므로 본 분석의 전단지 처치는 광고 코드만 사용한다.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정가 공식</w:t>
      </w:r>
      <w:r>
        <w:t xml:space="preserve">: 문서 본문의 두 공식은 예시 표와 라벨이 뒤바뀌어 있다. 예시가 옳으며, 정가 = (SALES_VALue − RETAIL_DISC − COUPON_MATCH_DISC) / QUANTITY. COUPON_DISC(제조사 쿠폰)는 선반가와 무관하므로 빼지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RETAIL_DISC는 판촉 할인이 아니라 로열티카드 할인</w:t>
      </w:r>
      <w:r>
        <w:t xml:space="preserve">이며 전체 라인의 50.2%에 붙어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TypeA 캠페인(배정의 55%)은 쿠폰 pool 중 16개만 발송되고 어느 16개인지 데이터에 없다</w:t>
      </w:r>
      <w:r>
        <w:t xml:space="preserve"> → 쿠폰 단위 분석은 TypeB/C로 한정.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causal_data는 이벤트 로그다</w:t>
      </w:r>
      <w:r>
        <w:t xml:space="preserve"> — display=0 &amp; mailer=0인 행이 정확히 0건. 거래와의 조인 실패(78.3%)는 결측이 아니라 "프로모션 없음 = 대조군"을 뜻한다. 단 이 해석은 causal_data가 커버하는 범위(매장 115개=매출 98.5%, 상품 68,377개=매출 82.4%, WEEK 9~101) 안에서만 유효하므로 모든 분석 표본을 이 범위로 한정했다. 커버리지 감사 결과 범위 내 미관측 라인은 224만 중 52건(0.002%)뿐이다.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QUANTITY 함정</w:t>
      </w:r>
      <w:r>
        <w:t xml:space="preserve">: 계량판매 상품이 그램 단위로 기록되어 상위 0.89% 라인이 총수량의 98.7%를 차지한다(매출 비중은 7.5%). 수량은 winsorize(상한 20)했고, 주 지표는 영향을 받지 않는 net_sales를 사용했다. 민감도: 상한 10/20/50/무제한에서 수량 리프트 +24.14~24.25%로 불변.</w:t>
      </w:r>
    </w:p>
    <w:p>
      <w:pPr>
        <w:pStyle w:val="Heading1"/>
        <w:spacing w:after="100" w:before="240"/>
      </w:pPr>
      <w:r>
        <w:t xml:space="preserve">3. 분석 설계 — 세 가지 식별 전략</w:t>
      </w:r>
    </w:p>
    <w:p>
      <w:pPr>
        <w:spacing w:after="60" w:before="60"/>
      </w:pPr>
      <w:r>
        <w:t xml:space="preserve">같은 질문("판촉이 효과가 있는가")을 서로 다른 비교 축으로 세 번 식별했다. 각 설계는 서로 다른 교란을 통제한다.</w:t>
      </w:r>
    </w:p>
    <w:p>
      <w:pPr>
        <w:pStyle w:val="Heading2"/>
        <w:spacing w:after="100" w:before="240"/>
      </w:pPr>
      <w:r>
        <w:t xml:space="preserve">설계 A. 가구-카테고리 쌍 내부 비교 (구매기회 설계)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단위: 가구 × COMMODITY_DESC × DAY = 구매기회(그 가구가 그 카테고리를 </w:t>
      </w:r>
      <w:r>
        <w:rPr>
          <w:b/>
          <w:bCs/>
        </w:rPr>
        <w:t xml:space="preserve">실제로 산 날</w:t>
      </w:r>
      <w:r>
        <w:t xml:space="preserve">). 총 1,405,014건 / 290개 카테고리.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비교: 같은 가구·같은 카테고리 안에서 </w:t>
      </w:r>
      <w:r>
        <w:rPr>
          <w:b/>
          <w:bCs/>
        </w:rPr>
        <w:t xml:space="preserve">전단지(광고 코드) 노출 구매기회 vs 비노출 구매기회</w:t>
      </w:r>
      <w:r>
        <w:t xml:space="preserve">. 시간 순서가 아니라 두 무더기의 평균 차이이며, 가구가 스스로의 대조군이 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처치 정제: 쿠폰(J/P)·무료(X/Z)·</w:t>
      </w:r>
      <w:r>
        <w:rPr>
          <w:b/>
          <w:bCs/>
        </w:rPr>
        <w:t xml:space="preserve">진열 동반</w:t>
      </w:r>
      <w:r>
        <w:t xml:space="preserve"> 구매기회 제외 (진열 미제외 시 SOFT DRINKS 효과가 29% 과대추정됨을 확인).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표본 필터: 구매기회 ≥5 &amp; 노출 ≥2 &amp; 비노출 ≥2. 1단계 강도: 노출 시 실현 할인율 0.09→0.30.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측정 범위</w:t>
      </w:r>
      <w:r>
        <w:t xml:space="preserve">: 구매기회가 "산 날"이므로 이 설계가 재는 것은 </w:t>
      </w:r>
      <w:r>
        <w:rPr>
          <w:b/>
          <w:bCs/>
        </w:rPr>
        <w:t xml:space="preserve">내연적 마진</w:t>
      </w:r>
      <w:r>
        <w:t xml:space="preserve">(산 김에 얼마나 더/덜 샀는가)이다. "안 살 사람을 사게 만들었는가"라는 외연적 효과는 잡히지 않는다(한계 7).</w:t>
      </w:r>
    </w:p>
    <w:p>
      <w:pPr>
        <w:pStyle w:val="Heading2"/>
        <w:spacing w:after="100" w:before="240"/>
      </w:pPr>
      <w:r>
        <w:t xml:space="preserve">설계 B. 점포×주차 균형 패널 (준실험 설계)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단위: 상품 500개(causal 매장 매출 상위) × 매장 115개 × 주차 93개 = 5,347,500행, 미판매 셀 0 채움.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식별: </w:t>
      </w:r>
      <w:r>
        <w:rPr>
          <w:b/>
          <w:bCs/>
        </w:rPr>
        <w:t xml:space="preserve">같은 상품·같은 주에 어떤 매장은 진열하고 어떤 매장은 안 한</w:t>
      </w:r>
      <w:r>
        <w:t xml:space="preserve"> 변동(상품-주차 셀의 18.0%). 상품-주차 FE + 상품×매장 FE(완전 DiD), 상품 클러스터 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전단지는 매장 간 변동이 없어(공존 셀 0.22%) 이 설계로는 식별 불가 → 대신 </w:t>
      </w:r>
      <w:r>
        <w:rPr>
          <w:b/>
          <w:bCs/>
        </w:rPr>
        <w:t xml:space="preserve">점포-주차 내부의 상품 간 변동</w:t>
      </w:r>
      <w:r>
        <w:t xml:space="preserve">(점포×주차 FE)으로 식별.</w:t>
      </w:r>
    </w:p>
    <w:p>
      <w:pPr>
        <w:pStyle w:val="Heading2"/>
        <w:spacing w:after="100" w:before="240"/>
      </w:pPr>
      <w:r>
        <w:t xml:space="preserve">설계 C. 쿠폰 캠페인 staggered DiD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처치 1,584가구(첫 수신 DAY 224~659 분산) vs 무처치 916가구. DAY 1~223이 전 가구 공통 사전기간.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결과: 매장 전체 지출(이벤트 스터디) + </w:t>
      </w:r>
      <w:r>
        <w:rPr>
          <w:b/>
          <w:bCs/>
        </w:rPr>
        <w:t xml:space="preserve">캠페인 표적상품 지출</w:t>
      </w:r>
      <w:r>
        <w:t xml:space="preserve">(TypeB/C 25개 캠페인, 캠페인 FE, 가구 클러스터 SE).</w:t>
      </w:r>
    </w:p>
    <w:p>
      <w:pPr>
        <w:pStyle w:val="Heading1"/>
        <w:spacing w:after="100" w:before="240"/>
      </w:pPr>
      <w:r>
        <w:t xml:space="preserve">4. 결과</w:t>
      </w:r>
    </w:p>
    <w:p>
      <w:pPr>
        <w:pStyle w:val="Heading2"/>
        <w:spacing w:after="100" w:before="240"/>
      </w:pPr>
      <w:r>
        <w:t xml:space="preserve">4.1 [매장] 진열의 순수 효과 — 리프트의 70%는 선택편의 (설계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7"/>
        <w:gridCol w:w="1641"/>
        <w:gridCol w:w="2188"/>
      </w:tblGrid>
      <w:tr>
        <w:trPr>
          <w:tblHeader/>
        </w:trPr>
        <w:tc>
          <w:tcPr>
            <w:tcW w:type="dxa" w:w="5197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스펙</w:t>
            </w:r>
          </w:p>
        </w:tc>
        <w:tc>
          <w:tcPr>
            <w:tcW w:type="dxa" w:w="1641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리프트</w:t>
            </w:r>
          </w:p>
        </w:tc>
        <w:tc>
          <w:tcPr>
            <w:tcW w:type="dxa" w:w="2188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 (클러스터)</w:t>
            </w:r>
          </w:p>
        </w:tc>
      </w:tr>
      <w:tr>
        <w:trPr>
          <w:tblHeader w:val="false"/>
        </w:trPr>
        <w:tc>
          <w:tcPr>
            <w:tcW w:type="dxa" w:w="5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단순 비교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1.962배</w:t>
            </w:r>
          </w:p>
        </w:tc>
        <w:tc>
          <w:tcPr>
            <w:tcW w:type="dxa" w:w="2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 상품-주차 FE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1.693배</w:t>
            </w:r>
          </w:p>
        </w:tc>
        <w:tc>
          <w:tcPr>
            <w:tcW w:type="dxa" w:w="2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15.0</w:t>
            </w:r>
          </w:p>
        </w:tc>
      </w:tr>
      <w:tr>
        <w:trPr>
          <w:tblHeader w:val="false"/>
        </w:trPr>
        <w:tc>
          <w:tcPr>
            <w:tcW w:type="dxa" w:w="5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 상품×매장 FE (완전 DiD)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1.421배</w:t>
            </w:r>
          </w:p>
        </w:tc>
        <w:tc>
          <w:tcPr>
            <w:tcW w:type="dxa" w:w="2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15.1</w:t>
            </w:r>
          </w:p>
        </w:tc>
      </w:tr>
      <w:tr>
        <w:trPr>
          <w:tblHeader w:val="false"/>
        </w:trPr>
        <w:tc>
          <w:tcPr>
            <w:tcW w:type="dxa" w:w="51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사전수준 보정 하한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1.291배</w:t>
            </w:r>
          </w:p>
        </w:tc>
        <w:tc>
          <w:tcPr>
            <w:tcW w:type="dxa" w:w="2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가격 교란의 설계적 소멸</w:t>
      </w:r>
      <w:r>
        <w:t xml:space="preserve">: 처치·대조 매장 간 할인율 격차가 pooled 10.58%p → 상품-주차 셀 내부 </w:t>
      </w:r>
      <w:r>
        <w:rPr>
          <w:b/>
          <w:bCs/>
        </w:rPr>
        <w:t xml:space="preserve">0.10%p</w:t>
      </w:r>
      <w:r>
        <w:t xml:space="preserve">. 가격이 상품-주차 단위로 전사 통일되어 있어, FE가 "진열 효과 vs 가격 효과"를 자동 분리한다.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이벤트 스터디</w:t>
      </w:r>
      <w:r>
        <w:t xml:space="preserve">(진열 개시 전후 ±3주): 사전 계수가 −3주와 −2주에서 동일하게 0.0153(효과의 10.5%)로 평평하고, 개시 주 0.1454로 점프 후 +3주에 정확히 사전 수준으로 복귀. 가속하는 선택편의가 아니라 수준 차이다. 잔존 선택편의는 약 10%로 추정한다.</w:t>
      </w:r>
    </w:p>
    <w:p>
      <w:pPr>
        <w:pStyle w:val="Heading2"/>
        <w:spacing w:after="100" w:before="240"/>
      </w:pPr>
      <w:r>
        <w:t xml:space="preserve">4.2 [매장] 전단지의 인과 효과와 용량반응 (설계 A·B)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전단지 개시 이벤트 스터디(설계 B)</w:t>
      </w:r>
      <w:r>
        <w:t xml:space="preserve">: 사전 계수 −0.0078(t=−0.74)로 </w:t>
      </w:r>
      <w:r>
        <w:rPr>
          <w:b/>
          <w:bCs/>
        </w:rPr>
        <w:t xml:space="preserve">완전한 null</w:t>
      </w:r>
      <w:r>
        <w:t xml:space="preserve"> — 평행추세 검정 통과. 개시 주 +0.4397(t=12.7), 사후 2주 모두 null(수량 잠식 없음).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지면 위치 용량반응(설계 A, 9,407쌍)</w:t>
      </w:r>
      <w:r>
        <w:t xml:space="preserve">: 노출 없음 1.762개 → 내지(A/C) 2.164개(+22.8%) → </w:t>
      </w:r>
      <w:r>
        <w:rPr>
          <w:b/>
          <w:bCs/>
        </w:rPr>
        <w:t xml:space="preserve">1면(D) 2.380개(+35.1%)</w:t>
      </w:r>
      <w:r>
        <w:t xml:space="preserve">, 1면 vs 내지 t=12.04. 순수취액도 +9.6% → +12.3%로 단조. 단조 용량반응은 효과가 인공물이 아니라는 내적 타당성 증거이며, "1면은 희소 자원 — 확대 명단 카테고리에 배정"이라는 실행 방안이 나온다.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동시 구매(halo)</w:t>
      </w:r>
      <w:r>
        <w:t xml:space="preserve">: 전단지 노출 구매기회의 당일 나머지-매장 지출이 +$2.05(+3.0%, t=10.7)로 focal 카테고리 효과(+$0.19)의 10배. 단 트립 타이밍 내생성(전단지를 보고 장보기를 계획) 때문에 </w:t>
      </w:r>
      <w:r>
        <w:rPr>
          <w:b/>
          <w:bCs/>
        </w:rPr>
        <w:t xml:space="preserve">상한</w:t>
      </w:r>
      <w:r>
        <w:t xml:space="preserve">으로만 제시한다. 카테고리·부서별 분해는 §4.7.</w:t>
      </w:r>
    </w:p>
    <w:p>
      <w:pPr>
        <w:pStyle w:val="Heading2"/>
        <w:spacing w:after="100" w:before="240"/>
      </w:pPr>
      <w:r>
        <w:t xml:space="preserve">4.3 [카테고리] 72개 카테고리 판정 — 신선 농산물이 구조적 손실원 (설계 A)</w:t>
      </w:r>
    </w:p>
    <w:p>
      <w:pPr>
        <w:spacing w:after="60" w:before="60"/>
      </w:pPr>
      <w:r>
        <w:t xml:space="preserve">비교쌍 100개 이상인 72개 카테고리(총 27,625쌍)에 동일 파이프라인을 적용하고, 당일 순수취액 효과 + Benjamini-Hochberg FDR 5% 보정 + 유의한 잠식만 반영해 분류했다.</w:t>
      </w:r>
    </w:p>
    <w:p>
      <w:pPr>
        <w:spacing w:after="60" w:before="60"/>
      </w:pPr>
      <w:r>
        <w:rPr>
          <w:b/>
          <w:bCs/>
        </w:rPr>
        <w:t xml:space="preserve">판정: 확대 19 / 축소 25 / 판정불가 28</w:t>
      </w:r>
      <w:r>
        <w:t xml:space="preserve"> (유의 이익 26%, 유의 손실 35%)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7"/>
        <w:gridCol w:w="8339"/>
      </w:tblGrid>
      <w:tr>
        <w:trPr>
          <w:tblHeader/>
        </w:trPr>
        <w:tc>
          <w:tcPr>
            <w:tcW w:type="dxa" w:w="687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8339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대표 카테고리 (효과, t)</w:t>
            </w:r>
          </w:p>
        </w:tc>
      </w:tr>
      <w:tr>
        <w:trPr>
          <w:tblHeader w:val="false"/>
        </w:trPr>
        <w:tc>
          <w:tcPr>
            <w:tcW w:type="dxa" w:w="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확대</w:t>
            </w:r>
          </w:p>
        </w:tc>
        <w:tc>
          <w:tcPr>
            <w:tcW w:type="dxa" w:w="8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BEEF (+$1.67, 14.9) · SOFT DRINKS (+$1.28, 13.9) · CANDY-PACKAGED (+$1.24, 5.1) · DELI MEATS (+$0.95, 9.1) · FROZEN PIZZA (+$0.71, 6.1)</w:t>
            </w:r>
          </w:p>
        </w:tc>
      </w:tr>
      <w:tr>
        <w:trPr>
          <w:tblHeader w:val="false"/>
        </w:trPr>
        <w:tc>
          <w:tcPr>
            <w:tcW w:type="dxa" w:w="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축소</w:t>
            </w:r>
          </w:p>
        </w:tc>
        <w:tc>
          <w:tcPr>
            <w:tcW w:type="dxa" w:w="83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GRAPES (−$1.07, −19.9) · MELONS (−$0.71, −7.1) · TOMATOES (−$0.70, −15.6) · ONIONS (−$0.44, −9.4) · APPLES (−$0.31, −6.5)</w:t>
            </w:r>
          </w:p>
        </w:tc>
      </w:tr>
    </w:tbl>
    <w:p>
      <w:pPr>
        <w:spacing w:after="160"/>
      </w:pPr>
    </w:p>
    <w:p>
      <w:pPr>
        <w:spacing w:after="60" w:before="60"/>
      </w:pPr>
      <w:r>
        <w:rPr>
          <w:b/>
          <w:bCs/>
        </w:rPr>
        <w:t xml:space="preserve">핵심 패턴 — PRODUCE(신선 농산물) 16개 중 14개가 순손실.</w:t>
      </w:r>
      <w:r>
        <w:t xml:space="preserve"> 부서 평균 탄력성 0.60, 할인율 29.3%, 순수취액 −14.3%. 생리적 소비 한계 + 부패성(비축 불가) + 평균 이상의 할인율이 겹친 구조적 결과다. 농산물 내 예외 2개(CITRUS 1.49, STONE FRUIT 1.28)는 정확히 탄력성&gt;1인 카테고리다. 부서별 순수취액: DRUG GM +9.8% / MEAT +6.6% / DELI +5.8% / GROCERY +5.1% / </w:t>
      </w:r>
      <w:r>
        <w:rPr>
          <w:b/>
          <w:bCs/>
        </w:rPr>
        <w:t xml:space="preserve">PRODUCE −14.3%</w:t>
      </w:r>
      <w:r>
        <w:t xml:space="preserve">. (단 이 수치는 해당 카테고리 </w:t>
      </w:r>
      <w:r>
        <w:rPr>
          <w:b/>
          <w:bCs/>
        </w:rPr>
        <w:t xml:space="preserve">안에서만</w:t>
      </w:r>
      <w:r>
        <w:t xml:space="preserve"> 잰 것이다. 장바구니 전체로 확장한 판정은 §4.7.)</w:t>
      </w:r>
    </w:p>
    <w:p>
      <w:pPr>
        <w:spacing w:after="60" w:before="60"/>
      </w:pPr>
      <w:r>
        <w:rPr>
          <w:b/>
          <w:bCs/>
        </w:rPr>
        <w:t xml:space="preserve">용량 검증</w:t>
      </w:r>
      <w:r>
        <w:t xml:space="preserve">: 상품 규격 문자열의 매출 67.5%가 파싱 가능해 용량(oz) 기준으로 재추정했다. SOFT DRINKS 수량 +40.6% vs 용량 +38.1%, </w:t>
      </w:r>
      <w:r>
        <w:rPr>
          <w:b/>
          <w:bCs/>
        </w:rPr>
        <w:t xml:space="preserve">팩 크기 −1.8%</w:t>
      </w:r>
      <w:r>
        <w:t xml:space="preserve"> — 대용량 전환이 아니라 실제 소비 증가다.</w:t>
      </w:r>
    </w:p>
    <w:p>
      <w:pPr>
        <w:pStyle w:val="Heading2"/>
        <w:spacing w:after="100" w:before="240"/>
      </w:pPr>
      <w:r>
        <w:t xml:space="preserve">4.4 [고객] 할인의존도가 판촉 반응성을 가른다 (설계 A)</w:t>
      </w:r>
    </w:p>
    <w:p>
      <w:pPr>
        <w:spacing w:after="60" w:before="60"/>
      </w:pPr>
      <w:r>
        <w:t xml:space="preserve">할인의존도 = 받은 로열티 할인액 ÷ 정가 기준 구매액 (가구 단위). 분포는 1.0~44%(중앙값 14.8%)로 좁아, 고정 임계값 대신 5분위를 사용했다.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2"/>
        <w:gridCol w:w="3424"/>
        <w:gridCol w:w="1245"/>
        <w:gridCol w:w="1245"/>
      </w:tblGrid>
      <w:tr>
        <w:trPr>
          <w:tblHeader/>
        </w:trPr>
        <w:tc>
          <w:tcPr>
            <w:tcW w:type="dxa" w:w="3112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분위</w:t>
            </w:r>
          </w:p>
        </w:tc>
        <w:tc>
          <w:tcPr>
            <w:tcW w:type="dxa" w:w="3424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전단지 순수취액 효과</w:t>
            </w:r>
          </w:p>
        </w:tc>
        <w:tc>
          <w:tcPr>
            <w:tcW w:type="dxa" w:w="1245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</w:t>
            </w:r>
          </w:p>
        </w:tc>
        <w:tc>
          <w:tcPr>
            <w:tcW w:type="dxa" w:w="1245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탄력성</w:t>
            </w:r>
          </w:p>
        </w:tc>
      </w:tr>
      <w:tr>
        <w:trPr>
          <w:tblHeader w:val="false"/>
        </w:trP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Q1 (비의존)</w:t>
            </w:r>
          </w:p>
        </w:tc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−1.5%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−1.9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0.87</w:t>
            </w:r>
          </w:p>
        </w:tc>
      </w:tr>
      <w:tr>
        <w:trPr>
          <w:tblHeader w:val="false"/>
        </w:trP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Q2</w:t>
            </w:r>
          </w:p>
        </w:tc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+1.3%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1.8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1.01</w:t>
            </w:r>
          </w:p>
        </w:tc>
      </w:tr>
      <w:tr>
        <w:trPr>
          <w:tblHeader w:val="false"/>
        </w:trP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Q3</w:t>
            </w:r>
          </w:p>
        </w:tc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+5.2%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7.2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1.16</w:t>
            </w:r>
          </w:p>
        </w:tc>
      </w:tr>
      <w:tr>
        <w:trPr>
          <w:tblHeader w:val="false"/>
        </w:trP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Q4</w:t>
            </w:r>
          </w:p>
        </w:tc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+6.7%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9.0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1.28</w:t>
            </w:r>
          </w:p>
        </w:tc>
      </w:tr>
      <w:tr>
        <w:trPr>
          <w:tblHeader w:val="false"/>
        </w:trPr>
        <w:tc>
          <w:tcPr>
            <w:tcW w:type="dxa" w:w="31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Q5 (최다 의존)</w:t>
            </w:r>
          </w:p>
        </w:tc>
        <w:tc>
          <w:tcPr>
            <w:tcW w:type="dxa" w:w="3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+11.7%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14.9</w:t>
            </w:r>
          </w:p>
        </w:tc>
        <w:tc>
          <w:tcPr>
            <w:tcW w:type="dxa" w:w="12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1.44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완전 단조이며, 탄력성이 1.0을 통과하는 지점(Q2)과 효과 부호가 바뀌는 지점이 일치</w:t>
      </w:r>
      <w:r>
        <w:t xml:space="preserve">한다 (독립적으로 계산된 두 지표의 이론 정합).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분할표본 검증</w:t>
      </w:r>
      <w:r>
        <w:t xml:space="preserve">: 할인의존도를 DAY 1~350로만 산출하고 효과를 DAY 351 이후로만 추정해도 −1.4% → +12.7%로 동일 — 순환논리가 아니라 표본 밖 예측력이 있는 타겟팅 지표다.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카테고리 구성 교란 배제</w:t>
      </w:r>
      <w:r>
        <w:t xml:space="preserve">: 5개 분위 공통 55개 카테고리로 재가중해도 −1.5% → +12.5%로 유지 — 가구 수준 현상이다.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한편 할인의존도는 </w:t>
      </w:r>
      <w:r>
        <w:rPr>
          <w:b/>
          <w:bCs/>
        </w:rPr>
        <w:t xml:space="preserve">이탈을 예측하지 못한다</w:t>
      </w:r>
      <w:r>
        <w:t xml:space="preserve">(홀드아웃 방문 리텐션과 상관 −0.013). 할인의존도가 가르는 것은 리텐션이 아니라 </w:t>
      </w:r>
      <w:r>
        <w:rPr>
          <w:b/>
          <w:bCs/>
        </w:rPr>
        <w:t xml:space="preserve">수익성</w:t>
      </w:r>
      <w:r>
        <w:t xml:space="preserve">이다: Q5는 전체 할인의 25.4%를 받아 매출의 15.1%를 만들고, Q1은 12.7%로 22.4%를 만든다.</w:t>
      </w:r>
    </w:p>
    <w:p>
      <w:pPr>
        <w:pStyle w:val="Heading2"/>
        <w:spacing w:after="100" w:before="240"/>
      </w:pPr>
      <w:r>
        <w:t xml:space="preserve">4.5 [고객] 쿠폰 캠페인 — ITT는 null, 효과는 '사용 관문' 뒤에만 (설계 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선택 진단</w:t>
      </w:r>
      <w:r>
        <w:t xml:space="preserve">: 캠페인 수신 가구의 사전 주당 지출 $32.21 vs 무수신 $8.23(4배) — 무수신 대조군은 라이트 쇼퍼이므로 장기 비교는 평균회귀에 오염된다. 단기 창과 표적상품 결과만 신뢰한다.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표적상품 ITT: +$0.023/주 (t=0.70) — 검출 불가.</w:t>
      </w:r>
      <w:r>
        <w:t xml:space="preserve"> 캠페인 기간 매장 전체 지출도 전 구간 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사용 분해</w:t>
      </w:r>
      <w:r>
        <w:t xml:space="preserve">: 수신+미사용(TypeB/C 셀의 92.1%) −$0.06(t=−1.96) / </w:t>
      </w:r>
      <w:r>
        <w:rPr>
          <w:b/>
          <w:bCs/>
        </w:rPr>
        <w:t xml:space="preserve">수신+사용(7.9%) +$1.00/주(t=4.69)</w:t>
      </w:r>
      <w:r>
        <w:t xml:space="preserve">. 사용 자체가 내생적이므로 후자는 인과가 아니지만, 구조는 명확하다 — </w:t>
      </w:r>
      <w:r>
        <w:rPr>
          <w:b/>
          <w:bCs/>
        </w:rPr>
        <w:t xml:space="preserve">쿠폰은 사용 관문을 통과해야만 작동하며, 92%는 관문 앞에서 멈춘다.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퍼널의 미스매치</w:t>
      </w:r>
      <w:r>
        <w:t xml:space="preserve">: 캠페인 수신률은 분위 무관 63~74.5%로 평평하고 </w:t>
      </w:r>
      <w:r>
        <w:rPr>
          <w:b/>
          <w:bCs/>
        </w:rPr>
        <w:t xml:space="preserve">Q5가 오히려 최저(63.0%)</w:t>
      </w:r>
      <w:r>
        <w:t xml:space="preserve">인데, 사용률은 Q1~Q4 약 25% vs </w:t>
      </w:r>
      <w:r>
        <w:rPr>
          <w:b/>
          <w:bCs/>
        </w:rPr>
        <w:t xml:space="preserve">Q5 37.3%</w:t>
      </w:r>
      <w:r>
        <w:t xml:space="preserve">. 현행 타겟팅은 반응성과 무상관이며, 유일하게 반응하는 집단을 가장 적게 겨냥한다.</w:t>
      </w:r>
    </w:p>
    <w:p>
      <w:pPr>
        <w:pStyle w:val="Heading2"/>
        <w:spacing w:after="100" w:before="240"/>
      </w:pPr>
      <w:r>
        <w:t xml:space="preserve">4.6 [측정] 네 번째 반전 — 상품 KPI와 가구 KPI는 다른 답을 준다</w:t>
      </w:r>
    </w:p>
    <w:p>
      <w:pPr>
        <w:spacing w:after="60" w:before="60"/>
      </w:pPr>
      <w:r>
        <w:t xml:space="preserve">설계 B(상품·매장 관점)로 42개 공통 카테고리의 전단지 효과를 재추정하면 </w:t>
      </w:r>
      <w:r>
        <w:rPr>
          <w:b/>
          <w:bCs/>
        </w:rPr>
        <w:t xml:space="preserve">42개 전부 양수</w:t>
      </w:r>
      <w:r>
        <w:t xml:space="preserve">(+15~274%)다. 반면 설계 A(가구 관점)는 절반이 음수다(상관 0.096). 모순이 아니라 측정 대상의 차이다: 프로모션 상품의 매출은 브랜드 전환·매장 전환·체리피킹으로 항상 증가하지만, 가구가 그 카테고리에 쓰는 돈은 할인 이전분만큼 줄 수 있다. GRAPES가 극단 사례(상품 +102% vs 가구 −30%)다. </w:t>
      </w:r>
      <w:r>
        <w:rPr>
          <w:b/>
          <w:bCs/>
        </w:rPr>
        <w:t xml:space="preserve">점장 대시보드의 "프로모션 리프트"가 항상 성공으로 보이는 이유이며, 성과 지표를 가구 관점으로 교체해야 하는 이유다.</w:t>
      </w:r>
    </w:p>
    <w:p>
      <w:pPr>
        <w:pStyle w:val="Heading2"/>
        <w:spacing w:after="100" w:before="240"/>
      </w:pPr>
      <w:r>
        <w:t xml:space="preserve">4.7 [카테고리] halo 분해 — 농산물 축소 권고의 자체 검정 (설계 A)</w:t>
      </w:r>
    </w:p>
    <w:p>
      <w:pPr>
        <w:spacing w:after="60" w:before="60"/>
      </w:pPr>
      <w:r>
        <w:t xml:space="preserve">§4.3의 판정은 </w:t>
      </w:r>
      <w:r>
        <w:rPr>
          <w:b/>
          <w:bCs/>
        </w:rPr>
        <w:t xml:space="preserve">해당 카테고리 안에서만</w:t>
      </w:r>
      <w:r>
        <w:t xml:space="preserve"> 측정한 값이다. 그러나 신선식품 판촉의 통상적 명분은 집객이다 — "포도를 보고 와서 다른 것도 산다". 이 반론을 검정하기 위해 halo(당일 나머지-장바구니 지출 효과)를 카테고리별로 분해했다. 의사결정에 필요한 값은 focal이 아니라 </w:t>
      </w:r>
      <w:r>
        <w:rPr>
          <w:b/>
          <w:bCs/>
        </w:rPr>
        <w:t xml:space="preserve">장바구니 합계 = focal + halo</w:t>
      </w:r>
      <w:r>
        <w:t xml:space="preserve">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536"/>
        <w:gridCol w:w="1344"/>
        <w:gridCol w:w="1344"/>
        <w:gridCol w:w="1920"/>
        <w:gridCol w:w="962"/>
      </w:tblGrid>
      <w:tr>
        <w:trPr>
          <w:tblHeader/>
        </w:trPr>
        <w:tc>
          <w:tcPr>
            <w:tcW w:type="dxa" w:w="19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부서</w:t>
            </w:r>
          </w:p>
        </w:tc>
        <w:tc>
          <w:tcPr>
            <w:tcW w:type="dxa" w:w="153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focal($)</w:t>
            </w:r>
          </w:p>
        </w:tc>
        <w:tc>
          <w:tcPr>
            <w:tcW w:type="dxa" w:w="1344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halo($)</w:t>
            </w:r>
          </w:p>
        </w:tc>
        <w:tc>
          <w:tcPr>
            <w:tcW w:type="dxa" w:w="1344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t(halo)</w:t>
            </w:r>
          </w:p>
        </w:tc>
        <w:tc>
          <w:tcPr>
            <w:tcW w:type="dxa" w:w="192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장바구니 합계($)</w:t>
            </w:r>
          </w:p>
        </w:tc>
        <w:tc>
          <w:tcPr>
            <w:tcW w:type="dxa" w:w="962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MEAT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+0.80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+3.13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5.17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+3.92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6.30</w:t>
            </w:r>
          </w:p>
        </w:tc>
      </w:tr>
      <w:tr>
        <w:trPr>
          <w:tblHeader w:val="false"/>
        </w:trPr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GROCERY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+0.22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+2.72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10.53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+2.95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11.25</w:t>
            </w:r>
          </w:p>
        </w:tc>
      </w:tr>
      <w:tr>
        <w:trPr>
          <w:tblHeader w:val="false"/>
        </w:trPr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DELI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+0.53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+2.67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2.40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+3.21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2.84</w:t>
            </w:r>
          </w:p>
        </w:tc>
      </w:tr>
      <w:tr>
        <w:trPr>
          <w:tblHeader w:val="false"/>
        </w:trPr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MEAT-PCKGD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+0.17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+1.10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1.33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+1.27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1.52</w:t>
            </w:r>
          </w:p>
        </w:tc>
      </w:tr>
      <w:tr>
        <w:trPr>
          <w:tblHeader w:val="false"/>
        </w:trPr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PRODUCE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−0.39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+0.83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1.83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+0.43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0.96</w:t>
            </w:r>
          </w:p>
        </w:tc>
      </w:tr>
      <w:tr>
        <w:trPr>
          <w:tblHeader w:val="false"/>
        </w:trPr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DRUG GM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+0.43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−0.29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−0.26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+0.14</w:t>
            </w:r>
          </w:p>
        </w:tc>
        <w:tc>
          <w:tcPr>
            <w:tcW w:type="dxa" w:w="9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0.13</w:t>
            </w:r>
          </w:p>
        </w:tc>
      </w:tr>
    </w:tbl>
    <w:p>
      <w:pPr>
        <w:spacing w:after="160"/>
      </w:pPr>
    </w:p>
    <w:p>
      <w:pPr>
        <w:spacing w:after="60" w:before="60"/>
      </w:pPr>
      <w:r>
        <w:rPr>
          <w:b/>
          <w:bCs/>
        </w:rPr>
        <w:t xml:space="preserve">① 집객 가설은 지지되지 않는다.</w:t>
      </w:r>
      <w:r>
        <w:t xml:space="preserve"> 농산물 halo는 식품 부서 중 가장 낮고(MEAT의 1/4, GROCERY의 1/3) 통계적으로 유의하지도 않다.</w:t>
      </w:r>
    </w:p>
    <w:p>
      <w:pPr>
        <w:spacing w:after="60" w:before="60"/>
      </w:pPr>
      <w:r>
        <w:rPr>
          <w:b/>
          <w:bCs/>
        </w:rPr>
        <w:t xml:space="preserve">② 다만 권고의 논리는 "가치 파괴"가 아니라 "기회비용"이다.</w:t>
      </w:r>
      <w:r>
        <w:t xml:space="preserve"> 농산물의 장바구니 합계 +$0.43은 0과 구분되지 않는다(t=0.96). 즉 농산물 판촉이 총액을 깎는다는 증거는 없다. 있는 것은 </w:t>
      </w:r>
      <w:r>
        <w:rPr>
          <w:b/>
          <w:bCs/>
        </w:rPr>
        <w:t xml:space="preserve">측정 가능한 기여가 없다</w:t>
      </w:r>
      <w:r>
        <w:t xml:space="preserve">는 사실이며, 동일 지면을 MEAT·GROCERY에 쓰면 +$2.9~3.9가 나온다는 대안 비교다.</w:t>
      </w:r>
    </w:p>
    <w:p>
      <w:pPr>
        <w:spacing w:after="60" w:before="60"/>
      </w:pPr>
      <w:r>
        <w:rPr>
          <w:b/>
          <w:bCs/>
        </w:rPr>
        <w:t xml:space="preserve">③ focal 지표는 확대 명단의 가치를 5배 과소평가한다.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2"/>
        <w:gridCol w:w="1101"/>
        <w:gridCol w:w="2642"/>
        <w:gridCol w:w="2641"/>
      </w:tblGrid>
      <w:tr>
        <w:trPr>
          <w:tblHeader/>
        </w:trPr>
        <w:tc>
          <w:tcPr>
            <w:tcW w:type="dxa" w:w="2642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1101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focal</w:t>
            </w:r>
          </w:p>
        </w:tc>
        <w:tc>
          <w:tcPr>
            <w:tcW w:type="dxa" w:w="2642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halo (t)</w:t>
            </w:r>
          </w:p>
        </w:tc>
        <w:tc>
          <w:tcPr>
            <w:tcW w:type="dxa" w:w="2641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장바구니 합계 (t)</w:t>
            </w:r>
          </w:p>
        </w:tc>
      </w:tr>
      <w:tr>
        <w:trPr>
          <w:tblHeader w:val="false"/>
        </w:trPr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SOFT DRINKS</w:t>
            </w:r>
          </w:p>
        </w:tc>
        <w:tc>
          <w:tcPr>
            <w:tcW w:type="dxa" w:w="11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+1.28</w:t>
            </w:r>
          </w:p>
        </w:tc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+5.74 (7.87)</w:t>
            </w:r>
          </w:p>
        </w:tc>
        <w:tc>
          <w:tcPr>
            <w:tcW w:type="dxa" w:w="2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+7.01 (9.40)</w:t>
            </w:r>
          </w:p>
        </w:tc>
      </w:tr>
      <w:tr>
        <w:trPr>
          <w:tblHeader w:val="false"/>
        </w:trPr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BEEF</w:t>
            </w:r>
          </w:p>
        </w:tc>
        <w:tc>
          <w:tcPr>
            <w:tcW w:type="dxa" w:w="11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+1.67</w:t>
            </w:r>
          </w:p>
        </w:tc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+5.18 (6.99)</w:t>
            </w:r>
          </w:p>
        </w:tc>
        <w:tc>
          <w:tcPr>
            <w:tcW w:type="dxa" w:w="2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+6.85 (8.81)</w:t>
            </w:r>
          </w:p>
        </w:tc>
      </w:tr>
      <w:tr>
        <w:trPr>
          <w:tblHeader w:val="false"/>
        </w:trPr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BAG SNACKS</w:t>
            </w:r>
          </w:p>
        </w:tc>
        <w:tc>
          <w:tcPr>
            <w:tcW w:type="dxa" w:w="11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+0.34</w:t>
            </w:r>
          </w:p>
        </w:tc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+6.78 (5.14)</w:t>
            </w:r>
          </w:p>
        </w:tc>
        <w:tc>
          <w:tcPr>
            <w:tcW w:type="dxa" w:w="2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+7.12 (5.32)</w:t>
            </w:r>
          </w:p>
        </w:tc>
      </w:tr>
      <w:tr>
        <w:trPr>
          <w:tblHeader w:val="false"/>
        </w:trPr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FROZEN PIZZA</w:t>
            </w:r>
          </w:p>
        </w:tc>
        <w:tc>
          <w:tcPr>
            <w:tcW w:type="dxa" w:w="11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+0.71</w:t>
            </w:r>
          </w:p>
        </w:tc>
        <w:tc>
          <w:tcPr>
            <w:tcW w:type="dxa" w:w="2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+5.88 (4.29)</w:t>
            </w:r>
          </w:p>
        </w:tc>
        <w:tc>
          <w:tcPr>
            <w:tcW w:type="dxa" w:w="26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+6.59 (4.70)</w:t>
            </w:r>
          </w:p>
        </w:tc>
      </w:tr>
    </w:tbl>
    <w:p>
      <w:pPr>
        <w:spacing w:after="160"/>
      </w:pPr>
    </w:p>
    <w:p>
      <w:pPr>
        <w:spacing w:after="60" w:before="60"/>
      </w:pPr>
      <w:r>
        <w:t xml:space="preserve">§4.6의 측정 축 반전을 보강하는 결과다.</w:t>
      </w:r>
    </w:p>
    <w:p>
      <w:pPr>
        <w:spacing w:after="60" w:before="60"/>
      </w:pPr>
      <w:r>
        <w:rPr>
          <w:b/>
          <w:bCs/>
        </w:rPr>
        <w:t xml:space="preserve">유보 사항.</w:t>
      </w:r>
      <w:r>
        <w:t xml:space="preserve"> halo는 트립 타이밍 내생성 때문에 </w:t>
      </w:r>
      <w:r>
        <w:rPr>
          <w:b/>
          <w:bCs/>
        </w:rPr>
        <w:t xml:space="preserve">상한</w:t>
      </w:r>
      <w:r>
        <w:t xml:space="preserve">이다. 따라서 위 결론은 절대 수준이 아니라 </w:t>
      </w:r>
      <w:r>
        <w:rPr>
          <w:b/>
          <w:bCs/>
        </w:rPr>
        <w:t xml:space="preserve">부서 간 상대 비교</w:t>
      </w:r>
      <w:r>
        <w:t xml:space="preserve">에만 의존한다(편의가 모든 카테고리에 유사하게 걸린다는 가정). 또한 72개 카테고리 판정은 </w:t>
      </w:r>
      <w:r>
        <w:rPr>
          <w:b/>
          <w:bCs/>
        </w:rPr>
        <w:t xml:space="preserve">focal 기준을 유지</w:t>
      </w:r>
      <w:r>
        <w:t xml:space="preserve">했다 — 카테고리 단위 halo의 t값이 약해(|t|&gt;3이 8개뿐) 판정 기준을 바꿀 근거가 못 된다. 장바구니 합계는 보조 지표로 병기한다. 개별 예외로 ONIONS(+6.06, t=2.05)·APPLES(+2.76, t=1.71)가 양수로 뒤집히나 BH 보정에서 살아남지 않는다.</w:t>
      </w:r>
    </w:p>
    <w:p>
      <w:pPr>
        <w:pStyle w:val="Heading1"/>
        <w:spacing w:after="100" w:before="240"/>
      </w:pPr>
      <w:r>
        <w:t xml:space="preserve">5. 강건성 검정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검정</w:t>
            </w:r>
          </w:p>
        </w:tc>
        <w:tc>
          <w:tcPr>
            <w:tcW w:type="dxa" w:w="7221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다중검정 (BH FDR 5%, 72개)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유의 45 → 44개, 1개만 탈락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winsorize 상한 10/20/50/무제한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수량 리프트 +24.14~24.25%, 불변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분할표본 (의존도 산출/효과 추정 기간 분리)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이질성 기울기 유지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공통 카테고리 재가중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이질성 기울기 유지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용량(oz) 기준 재추정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수량 결과와 일치, 팩 크기 이동 없음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진열 개시 이벤트 스터디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사전추세 평평(0.0153), 종료 후 복귀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전단지 개시 이벤트 스터디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사전추세 null (t=−0.74)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causal 커버리지 감사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범위 내 미관측 0.002%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팀원 독립 재현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당일 수량 +26.8/+27.5%, 56일 잠식 −0.031/−0.031, 부호 반전 +7.8/+7.9% 등 상호 일치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halo 카테고리 분해 (집객 가설 검정)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농산물 halo가 식품 부서 중 최저(+$0.83, t=1.83) — 집객 논리 기각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로컬 DuckDB 독립 재구축</w:t>
            </w:r>
          </w:p>
        </w:tc>
        <w:tc>
          <w:tcPr>
            <w:tcW w:type="dxa" w:w="72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원본 CSV에서 재구축한 파이프라인이 BigQuery와 일치 (금액 합계 정확 일치, 구매기회 1,405,014건, halo 72개 카테고리 6개 지표 최대절대차 0.000000)</w:t>
            </w:r>
          </w:p>
        </w:tc>
      </w:tr>
    </w:tbl>
    <w:p>
      <w:pPr>
        <w:spacing w:after="160"/>
      </w:pPr>
    </w:p>
    <w:p>
      <w:pPr>
        <w:spacing w:after="60" w:before="60"/>
      </w:pPr>
      <w:r>
        <w:rPr>
          <w:b/>
          <w:bCs/>
        </w:rPr>
        <w:t xml:space="preserve">분석 과정에서 스스로 발견·수정한 오류</w:t>
      </w:r>
      <w:r>
        <w:t xml:space="preserve">: 초기 카테고리 분류가 노이즈가 큰 사후 성분(net_total)을 포함해 APPLES 등 15개 카테고리를 오분류했다. 당일 효과 + 유의 잠식만 반영하도록 수정했고, 이전에 보고한 "49% 손실"은 "유의 손실 35%"로 정정한다. CHICKEN은 축소가 아니라 판정불가(t=−1.49)다.</w:t>
      </w:r>
    </w:p>
    <w:p>
      <w:pPr>
        <w:pStyle w:val="Heading1"/>
        <w:spacing w:after="100" w:before="240"/>
      </w:pPr>
      <w:r>
        <w:t xml:space="preserve">6. 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원가·마진 부재</w:t>
      </w:r>
      <w:r>
        <w:t xml:space="preserve"> — 측정한 것은 증분 '매출'(소매업체 수취액)이며 증분 '마진'이 아니다. 제조사 분담금도 관측 불가.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경쟁점 구매 미관측</w:t>
      </w:r>
      <w:r>
        <w:t xml:space="preserve"> — 단일 리테일러 패널이므로 지출 감소가 소비 감소인지 경쟁점 이동인지 구분 불가.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진열 추정치의 잔존 편의 ~10%</w:t>
      </w:r>
      <w:r>
        <w:t xml:space="preserve"> — 이벤트 스터디 사전수준 기준. 1.29~1.42배 구간으로 제시.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쿠폰 대조군의 근본적 비교성 한계</w:t>
      </w:r>
      <w:r>
        <w:t xml:space="preserve"> — 수신/무수신 가구의 사전 지출이 4배 차이. 무작위 배정이 아니므로 쿠폰 결론은 "검출 불가"이지 "효과 없음의 증명"이 아니다.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halo(+3.0%)는 상한</w:t>
      </w:r>
      <w:r>
        <w:t xml:space="preserve"> — 트립 타이밍 내생성 미제거. §4.7의 부서별 분해도 같은 제약을 받으므로 절대 수준이 아닌 상대 비교로만 해석해야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정육 카운터류(매출 33%)는 규격 정보가 없어 용량 검증 대상 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외연적 효과(구매 유발) 미측정</w:t>
      </w:r>
      <w:r>
        <w:t xml:space="preserve"> — 설계 A의 구매기회가 "실제로 산 날"이므로, 측정된 것은 내연적 마진이다. 판촉이 비구매자를 구매자로 전환시켰는지는 이 설계로 알 수 없다.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집객(매장 방문) 효과 미식별</w:t>
      </w:r>
      <w:r>
        <w:t xml:space="preserve"> — 전단지는 전사 일괄 집행이라(매장 간 공존 셀 0.22%) 처치 변동이 시간축에만 남아 계절 효과와 분리되지 않는다. §4.7의 halo가 이 질문에 대한 최선의 간접 근거이나 인과가 아니다. 매장 간 변동이 있는 </w:t>
      </w:r>
      <w:r>
        <w:rPr>
          <w:b/>
          <w:bCs/>
        </w:rPr>
        <w:t xml:space="preserve">진열</w:t>
      </w:r>
      <w:r>
        <w:t xml:space="preserve">을 이용한 집객 분석은 향후 과제로 남는다.</w:t>
      </w:r>
    </w:p>
    <w:p>
      <w:pPr>
        <w:pStyle w:val="Heading1"/>
        <w:spacing w:after="100" w:before="240"/>
      </w:pPr>
      <w:r>
        <w:t xml:space="preserve">7. 실행 권고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2865"/>
        <w:gridCol w:w="5456"/>
      </w:tblGrid>
      <w:tr>
        <w:trPr>
          <w:tblHeader/>
        </w:trPr>
        <w:tc>
          <w:tcPr>
            <w:tcW w:type="dxa" w:w="705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2865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권고</w:t>
            </w:r>
          </w:p>
        </w:tc>
        <w:tc>
          <w:tcPr>
            <w:tcW w:type="dxa" w:w="545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신선 농산물 판촉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할인 깊이 축소 (중단이 아님). 뺀 지면은 MEAT·GROCERY로 재배치</w:t>
            </w:r>
          </w:p>
        </w:tc>
        <w:tc>
          <w:tcPr>
            <w:tcW w:type="dxa" w:w="5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탄력성 0.1~0.6, 순수취액 −10~−30%. </w:t>
            </w:r>
            <w:r>
              <w:rPr>
                <w:b/>
                <w:bCs/>
                <w:sz w:val="19"/>
                <w:szCs w:val="19"/>
              </w:rPr>
              <w:t xml:space="preserve">기회비용 근거</w:t>
            </w:r>
            <w:r>
              <w:rPr>
                <w:sz w:val="19"/>
                <w:szCs w:val="19"/>
              </w:rPr>
              <w:t xml:space="preserve">: 장바구니 기여 +$0.43(t=0.96, 유의하지 않음) vs MEAT +$3.92, GROCERY +$2.95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확대 명단 19개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전단지 1면·진열 우선 배정</w:t>
            </w:r>
          </w:p>
        </w:tc>
        <w:tc>
          <w:tcPr>
            <w:tcW w:type="dxa" w:w="5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1면&gt;내지 용량반응 t=12, 진열 효과 1.29~1.42배. 장바구니 기준 가치는 focal의 5배(SOFT DRINKS +$1.28→+$7.01)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진열-전단지 병행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SOFT DRINKS류는 병행(각각 +31%p 독립 기여), COLD CEREAL류는 전단지만</w:t>
            </w:r>
          </w:p>
        </w:tc>
        <w:tc>
          <w:tcPr>
            <w:tcW w:type="dxa" w:w="5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진열 단독 효과 +31.0(t=8.1) vs −2.6(t=−1.2)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쿠폰 프로그램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재설계. 유지 시 사전 할인의존도 상위 분위 타겟, Q1 중단</w:t>
            </w:r>
          </w:p>
        </w:tc>
        <w:tc>
          <w:tcPr>
            <w:tcW w:type="dxa" w:w="5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ITT null, 사용률 Q5 37.3% vs Q1 25.5%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성과 측정 체계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상품 리프트·실현 할인 기준 지표 폐기 → 가구 순수취액·노출(ITT) 기준</w:t>
            </w:r>
          </w:p>
        </w:tc>
        <w:tc>
          <w:tcPr>
            <w:tcW w:type="dxa" w:w="5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4개 축 부호 반전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검증 체계</w:t>
            </w:r>
          </w:p>
        </w:tc>
        <w:tc>
          <w:tcPr>
            <w:tcW w:type="dxa" w:w="2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점포 홀드아웃 실험으로 최종 확인 (본 분석은 관찰 설계의 상한)</w:t>
            </w:r>
          </w:p>
        </w:tc>
        <w:tc>
          <w:tcPr>
            <w:tcW w:type="dxa" w:w="54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한계 3·4</w:t>
            </w:r>
          </w:p>
        </w:tc>
      </w:tr>
    </w:tbl>
    <w:p>
      <w:pPr>
        <w:spacing w:after="160"/>
      </w:pPr>
    </w:p>
    <w:p>
      <w:pPr>
        <w:pStyle w:val="Heading1"/>
        <w:spacing w:after="100" w:before="240"/>
      </w:pPr>
      <w:r>
        <w:t xml:space="preserve">8. 재현 가이드</w:t>
      </w:r>
    </w:p>
    <w:p>
      <w:pPr>
        <w:pStyle w:val="Heading2"/>
        <w:spacing w:after="100" w:before="240"/>
      </w:pPr>
      <w:r>
        <w:t xml:space="preserve">BigQuery (</w:t>
      </w:r>
      <w:r>
        <w:rPr>
          <w:rFonts w:ascii="Consolas" w:cs="Consolas" w:eastAsia="Consolas" w:hAnsi="Consolas"/>
          <w:shd w:fill="F2F2F2" w:val="clear"/>
        </w:rPr>
        <w:t xml:space="preserve">ybigta-505002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원본: </w:t>
      </w:r>
      <w:r>
        <w:rPr>
          <w:rFonts w:ascii="Consolas" w:cs="Consolas" w:eastAsia="Consolas" w:hAnsi="Consolas"/>
          <w:shd w:fill="F2F2F2" w:val="clear"/>
        </w:rPr>
        <w:t xml:space="preserve">sql_study.*</w:t>
      </w:r>
      <w:r>
        <w:t xml:space="preserve"> (8개 테이블) / 마트: </w:t>
      </w:r>
      <w:r>
        <w:rPr>
          <w:rFonts w:ascii="Consolas" w:cs="Consolas" w:eastAsia="Consolas" w:hAnsi="Consolas"/>
          <w:shd w:fill="F2F2F2" w:val="clear"/>
        </w:rPr>
        <w:t xml:space="preserve">dunnhumby_mart.*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주요 마트: </w:t>
      </w:r>
      <w:r>
        <w:rPr>
          <w:rFonts w:ascii="Consolas" w:cs="Consolas" w:eastAsia="Consolas" w:hAnsi="Consolas"/>
          <w:shd w:fill="F2F2F2" w:val="clear"/>
        </w:rPr>
        <w:t xml:space="preserve">fct_transaction</w:t>
      </w:r>
      <w:r>
        <w:t xml:space="preserve">(정제 팩트, 정가·할인 분해), </w:t>
      </w:r>
      <w:r>
        <w:rPr>
          <w:rFonts w:ascii="Consolas" w:cs="Consolas" w:eastAsia="Consolas" w:hAnsi="Consolas"/>
          <w:shd w:fill="F2F2F2" w:val="clear"/>
        </w:rPr>
        <w:t xml:space="preserve">mart_causal_clean</w:t>
      </w:r>
      <w:r>
        <w:t xml:space="preserve">(mailer 코드 분리), </w:t>
      </w:r>
      <w:r>
        <w:rPr>
          <w:rFonts w:ascii="Consolas" w:cs="Consolas" w:eastAsia="Consolas" w:hAnsi="Consolas"/>
          <w:shd w:fill="F2F2F2" w:val="clear"/>
        </w:rPr>
        <w:t xml:space="preserve">mart_occ_all</w:t>
      </w:r>
      <w:r>
        <w:t xml:space="preserve">(구매기회 140만), </w:t>
      </w:r>
      <w:r>
        <w:rPr>
          <w:rFonts w:ascii="Consolas" w:cs="Consolas" w:eastAsia="Consolas" w:hAnsi="Consolas"/>
          <w:shd w:fill="F2F2F2" w:val="clear"/>
        </w:rPr>
        <w:t xml:space="preserve">mart_psw_panel</w:t>
      </w:r>
      <w:r>
        <w:t xml:space="preserve">(균형 패널 534만), </w:t>
      </w:r>
      <w:r>
        <w:rPr>
          <w:rFonts w:ascii="Consolas" w:cs="Consolas" w:eastAsia="Consolas" w:hAnsi="Consolas"/>
          <w:shd w:fill="F2F2F2" w:val="clear"/>
        </w:rPr>
        <w:t xml:space="preserve">mart_cat_matrix</w:t>
      </w:r>
      <w:r>
        <w:t xml:space="preserve">(72개 카테고리), </w:t>
      </w:r>
      <w:r>
        <w:rPr>
          <w:rFonts w:ascii="Consolas" w:cs="Consolas" w:eastAsia="Consolas" w:hAnsi="Consolas"/>
          <w:shd w:fill="F2F2F2" w:val="clear"/>
        </w:rPr>
        <w:t xml:space="preserve">mart_hh_dd_churn</w:t>
      </w:r>
      <w:r>
        <w:t xml:space="preserve">(가구 할인의존도·홀드아웃), </w:t>
      </w:r>
      <w:r>
        <w:rPr>
          <w:rFonts w:ascii="Consolas" w:cs="Consolas" w:eastAsia="Consolas" w:hAnsi="Consolas"/>
          <w:shd w:fill="F2F2F2" w:val="clear"/>
        </w:rPr>
        <w:t xml:space="preserve">mart_coupon_did</w:t>
      </w:r>
      <w:r>
        <w:t xml:space="preserve">(쿠폰 DiD)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분석 SQL 전량은 </w:t>
      </w:r>
      <w:r>
        <w:rPr>
          <w:rFonts w:ascii="Consolas" w:cs="Consolas" w:eastAsia="Consolas" w:hAnsi="Consolas"/>
          <w:shd w:fill="F2F2F2" w:val="clear"/>
        </w:rPr>
        <w:t xml:space="preserve">sql/</w:t>
      </w:r>
      <w:r>
        <w:t xml:space="preserve">에 진행 순서대로 정리되어 있다(매니페스트: </w:t>
      </w:r>
      <w:r>
        <w:rPr>
          <w:rFonts w:ascii="Consolas" w:cs="Consolas" w:eastAsia="Consolas" w:hAnsi="Consolas"/>
          <w:shd w:fill="F2F2F2" w:val="clear"/>
        </w:rPr>
        <w:t xml:space="preserve">sql/00_README.md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Windows에서 파일 SQL 실행은 </w:t>
      </w:r>
      <w:r>
        <w:rPr>
          <w:b/>
          <w:bCs/>
        </w:rPr>
        <w:t xml:space="preserve">Git Bash 리다이렉션</w:t>
      </w:r>
      <w:r>
        <w:t xml:space="preserve">을 쓴다. </w:t>
      </w:r>
      <w:r>
        <w:rPr>
          <w:rFonts w:ascii="Consolas" w:cs="Consolas" w:eastAsia="Consolas" w:hAnsi="Consolas"/>
          <w:shd w:fill="F2F2F2" w:val="clear"/>
        </w:rPr>
        <w:t xml:space="preserve">cmd /c "bq.cmd ... &lt; file.sql"</w:t>
      </w:r>
      <w:r>
        <w:t xml:space="preserve">과 PowerShell 파이프는 각각 대화형 셸 정지·BOM 오류로 실패한다.</w:t>
      </w:r>
    </w:p>
    <w:p>
      <w:pPr>
        <w:shd w:fill="F5F5F5" w:val="clear"/>
        <w:spacing w:after="20" w:before="2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bq.cmd --location=asia-northeast3 query --use_legacy_sql=false --format=csv &lt; 파일.sql</w:t>
      </w:r>
    </w:p>
    <w:p>
      <w:pPr>
        <w:spacing w:after="120"/>
      </w:pPr>
    </w:p>
    <w:p>
      <w:pPr>
        <w:pStyle w:val="Heading2"/>
        <w:spacing w:after="100" w:before="240"/>
      </w:pPr>
      <w:r>
        <w:t xml:space="preserve">로컬 재현 (BigQuery 없이)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sql/80_python_local/build_local_duckdb.py</w:t>
      </w:r>
      <w:r>
        <w:t xml:space="preserve">가 원본 CSV만으로 DuckDB에 동일 파이프라인을 재구축한다. BigQuery 결과와 완전 일치함을 확인했다(금액 합계 정확 일치, 구매기회 1,405,014건, halo 72개 카테고리 6개 지표 최대절대차 0.000000).</w:t>
      </w:r>
    </w:p>
    <w:p>
      <w:pPr>
        <w:pStyle w:val="Heading2"/>
        <w:spacing w:after="100" w:before="240"/>
      </w:pPr>
      <w:r>
        <w:t xml:space="preserve">Tableau (제출 요건: 시각화 3개 이상)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산출물/tableau/</w:t>
      </w:r>
      <w:r>
        <w:t xml:space="preserve">에 데이터 추출 7종(CSV)과 워크북 3종(.twb):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대시보드 3</w:t>
      </w:r>
      <w:r>
        <w:t xml:space="preserve"> 카테고리 인과판정 — 탄력성 × 순수취액 산점도(색=판정, 크기=쌍수) + 부서별 막대 + </w:t>
      </w:r>
      <w:r>
        <w:rPr>
          <w:b/>
          <w:bCs/>
        </w:rPr>
        <w:t xml:space="preserve">focal vs 장바구니 산점도</w:t>
      </w:r>
      <w:r>
        <w:t xml:space="preserve">(색=부서, §4.7)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대시보드 4</w:t>
      </w:r>
      <w:r>
        <w:t xml:space="preserve"> 고객 할인의존도 — 분위별 전단지 순효과 + 쿠폰 수신률 vs 사용률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대시보드 5</w:t>
      </w:r>
      <w:r>
        <w:t xml:space="preserve"> 인과 사다리 — 진열 리프트 1.96 → 1.69 → 1.42 → 1.29 편의 분해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부서별 halo 원자료는 </w:t>
      </w:r>
      <w:r>
        <w:rPr>
          <w:rFonts w:ascii="Consolas" w:cs="Consolas" w:eastAsia="Consolas" w:hAnsi="Consolas"/>
          <w:shd w:fill="F2F2F2" w:val="clear"/>
        </w:rPr>
        <w:t xml:space="preserve">tableau_halo_department.csv</w:t>
      </w:r>
      <w:r>
        <w:t xml:space="preserve"> (별도 시각화용)</w:t>
      </w:r>
    </w:p>
    <w:p>
      <w:pPr>
        <w:spacing w:after="60" w:before="60"/>
      </w:pPr>
      <w:r>
        <w:t xml:space="preserve">.twb는 XML로 직접 생성한 것이므로 Tableau 버전에 따라 열리지 않을 수 있다. 그 경우 같은 폴더의 CSV를 열어 위 명세대로 드래그하면 동일 화면이 나온다(각 CSV 컬럼명이 필드명). 팀원 제작 대시보드 1(카테고리 포트폴리오)·2(고객 세그먼트 CRM)와 합쳐 총 5종.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00" w:before="24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2E74B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판촉의 인과 효과와 마진 누수 진단</dc:title>
  <dc:creator>YBIGTA DA 26-2</dc:creator>
  <dc:description>dunnhumby The Complete Journey — 이탈 방지 및 마케팅 효율 최적화 전략</dc:description>
  <cp:lastModifiedBy>Un-named</cp:lastModifiedBy>
  <cp:revision>1</cp:revision>
  <dcterms:created xsi:type="dcterms:W3CDTF">2026-08-16T09:55:29.016Z</dcterms:created>
  <dcterms:modified xsi:type="dcterms:W3CDTF">2026-08-16T09:55:29.017Z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