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Layer A Knowledge Graph Construction and Benchmarking</w:t>
      </w:r>
    </w:p>
    <w:p>
      <w:pPr>
        <w:jc w:val="center"/>
      </w:pPr>
      <w:r>
        <w:rPr>
          <w:i/>
          <w:color w:val="404040"/>
          <w:sz w:val="26"/>
        </w:rPr>
        <w:t>Entry-point index construction over the FoodOn ontology, and a metric-driven method bake-off</w:t>
      </w:r>
    </w:p>
    <w:p/>
    <w:p>
      <w:r>
        <w:rPr>
          <w:b/>
          <w:i w:val="0"/>
        </w:rPr>
        <w:t>Project metadata (to be completed by the author):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Project title</w:t>
            </w:r>
          </w:p>
        </w:tc>
        <w:tc>
          <w:tcPr>
            <w:tcW w:type="dxa" w:w="4320"/>
          </w:tcPr>
          <w:p>
            <w:r>
              <w:t>[Project full title]</w:t>
            </w:r>
          </w:p>
        </w:tc>
      </w:tr>
      <w:tr>
        <w:tc>
          <w:tcPr>
            <w:tcW w:type="dxa" w:w="4320"/>
          </w:tcPr>
          <w:p>
            <w:r>
              <w:t>Project acronym</w:t>
            </w:r>
          </w:p>
        </w:tc>
        <w:tc>
          <w:tcPr>
            <w:tcW w:type="dxa" w:w="4320"/>
          </w:tcPr>
          <w:p>
            <w:r>
              <w:t>[ACRONYM]</w:t>
            </w:r>
          </w:p>
        </w:tc>
      </w:tr>
      <w:tr>
        <w:tc>
          <w:tcPr>
            <w:tcW w:type="dxa" w:w="4320"/>
          </w:tcPr>
          <w:p>
            <w:r>
              <w:t>Grant Agreement No.</w:t>
            </w:r>
          </w:p>
        </w:tc>
        <w:tc>
          <w:tcPr>
            <w:tcW w:type="dxa" w:w="4320"/>
          </w:tcPr>
          <w:p>
            <w:r>
              <w:t>[GA number]</w:t>
            </w:r>
          </w:p>
        </w:tc>
      </w:tr>
      <w:tr>
        <w:tc>
          <w:tcPr>
            <w:tcW w:type="dxa" w:w="4320"/>
          </w:tcPr>
          <w:p>
            <w:r>
              <w:t>Deliverable No. &amp; title</w:t>
            </w:r>
          </w:p>
        </w:tc>
        <w:tc>
          <w:tcPr>
            <w:tcW w:type="dxa" w:w="4320"/>
          </w:tcPr>
          <w:p>
            <w:r>
              <w:t>[D x.y] — Layer A KG Construction and Benchmarking</w:t>
            </w:r>
          </w:p>
        </w:tc>
      </w:tr>
      <w:tr>
        <w:tc>
          <w:tcPr>
            <w:tcW w:type="dxa" w:w="4320"/>
          </w:tcPr>
          <w:p>
            <w:r>
              <w:t>Work package / Task</w:t>
            </w:r>
          </w:p>
        </w:tc>
        <w:tc>
          <w:tcPr>
            <w:tcW w:type="dxa" w:w="4320"/>
          </w:tcPr>
          <w:p>
            <w:r>
              <w:t>[WP x] / [Task x.y]</w:t>
            </w:r>
          </w:p>
        </w:tc>
      </w:tr>
      <w:tr>
        <w:tc>
          <w:tcPr>
            <w:tcW w:type="dxa" w:w="4320"/>
          </w:tcPr>
          <w:p>
            <w:r>
              <w:t>Lead beneficiary</w:t>
            </w:r>
          </w:p>
        </w:tc>
        <w:tc>
          <w:tcPr>
            <w:tcW w:type="dxa" w:w="4320"/>
          </w:tcPr>
          <w:p>
            <w:r>
              <w:t>[Partner]</w:t>
            </w:r>
          </w:p>
        </w:tc>
      </w:tr>
      <w:tr>
        <w:tc>
          <w:tcPr>
            <w:tcW w:type="dxa" w:w="4320"/>
          </w:tcPr>
          <w:p>
            <w:r>
              <w:t>Dissemination level</w:t>
            </w:r>
          </w:p>
        </w:tc>
        <w:tc>
          <w:tcPr>
            <w:tcW w:type="dxa" w:w="4320"/>
          </w:tcPr>
          <w:p>
            <w:r>
              <w:t>[PU / SEN / …]</w:t>
            </w:r>
          </w:p>
        </w:tc>
      </w:tr>
      <w:tr>
        <w:tc>
          <w:tcPr>
            <w:tcW w:type="dxa" w:w="4320"/>
          </w:tcPr>
          <w:p>
            <w:r>
              <w:t>Deliverable type</w:t>
            </w:r>
          </w:p>
        </w:tc>
        <w:tc>
          <w:tcPr>
            <w:tcW w:type="dxa" w:w="4320"/>
          </w:tcPr>
          <w:p>
            <w:r>
              <w:t>[R — Document, report]</w:t>
            </w:r>
          </w:p>
        </w:tc>
      </w:tr>
      <w:tr>
        <w:tc>
          <w:tcPr>
            <w:tcW w:type="dxa" w:w="4320"/>
          </w:tcPr>
          <w:p>
            <w:r>
              <w:t>Due date / Submission date</w:t>
            </w:r>
          </w:p>
        </w:tc>
        <w:tc>
          <w:tcPr>
            <w:tcW w:type="dxa" w:w="4320"/>
          </w:tcPr>
          <w:p>
            <w:r>
              <w:t>[MXX] / [YYYY-MM-DD]</w:t>
            </w:r>
          </w:p>
        </w:tc>
      </w:tr>
      <w:tr>
        <w:tc>
          <w:tcPr>
            <w:tcW w:type="dxa" w:w="4320"/>
          </w:tcPr>
          <w:p>
            <w:r>
              <w:t>Version</w:t>
            </w:r>
          </w:p>
        </w:tc>
        <w:tc>
          <w:tcPr>
            <w:tcW w:type="dxa" w:w="4320"/>
          </w:tcPr>
          <w:p>
            <w:r>
              <w:t>0.1 (draft)</w:t>
            </w:r>
          </w:p>
        </w:tc>
      </w:tr>
      <w:tr>
        <w:tc>
          <w:tcPr>
            <w:tcW w:type="dxa" w:w="4320"/>
          </w:tcPr>
          <w:p>
            <w:r>
              <w:t>Authors</w:t>
            </w:r>
          </w:p>
        </w:tc>
        <w:tc>
          <w:tcPr>
            <w:tcW w:type="dxa" w:w="4320"/>
          </w:tcPr>
          <w:p>
            <w:r>
              <w:t>[Author names, affiliations]</w:t>
            </w:r>
          </w:p>
        </w:tc>
      </w:tr>
      <w:tr>
        <w:tc>
          <w:tcPr>
            <w:tcW w:type="dxa" w:w="4320"/>
          </w:tcPr>
          <w:p>
            <w:r>
              <w:t>Reviewers</w:t>
            </w:r>
          </w:p>
        </w:tc>
        <w:tc>
          <w:tcPr>
            <w:tcW w:type="dxa" w:w="4320"/>
          </w:tcPr>
          <w:p>
            <w:r>
              <w:t>[Reviewer names]</w:t>
            </w:r>
          </w:p>
        </w:tc>
      </w:tr>
    </w:tbl>
    <w:p/>
    <w:p>
      <w:r>
        <w:rPr>
          <w:b/>
          <w:i w:val="0"/>
        </w:rPr>
        <w:t>Abstract</w:t>
      </w:r>
    </w:p>
    <w:p>
      <w:r>
        <w:rPr>
          <w:b w:val="0"/>
          <w:i/>
        </w:rPr>
        <w:t>This deliverable documents the construction of Layer A of the project knowledge graph — a navigable entry-point (filter) index over a nutrition corpus, grounded in the FoodOn food ontology — and a reproducible benchmarking framework for selecting among competing construction methods. We characterise the central difficulty (FoodOn provides no single, browsable food hierarchy and trades faithfulness against navigability), describe six construction methods spanning purely structural to LLM-agentic approaches, and define an eight-metric scorecard that scores every method on identical inputs. We report a preliminary, LLM-free evaluation and the current implementation status, and we set out the remaining steps to a final, evidence-based method selection.</w:t>
      </w:r>
    </w:p>
    <w:p>
      <w:r>
        <w:rPr>
          <w:b w:val="0"/>
          <w:i/>
        </w:rPr>
        <w:t>Keywords: knowledge graph; FoodOn; ontology projection; entry-point index; large language models; benchmarking; nutrition informatics.</w:t>
      </w:r>
    </w:p>
    <w:p>
      <w:r>
        <w:br w:type="page"/>
      </w:r>
    </w:p>
    <w:p>
      <w:pPr>
        <w:pStyle w:val="Heading1"/>
      </w:pPr>
      <w:r>
        <w:t>Document control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Description</w:t>
            </w:r>
          </w:p>
        </w:tc>
      </w:tr>
      <w:tr>
        <w:tc>
          <w:tcPr>
            <w:tcW w:type="dxa" w:w="2160"/>
          </w:tcPr>
          <w:p>
            <w:r>
              <w:t>0.1</w:t>
            </w:r>
          </w:p>
        </w:tc>
        <w:tc>
          <w:tcPr>
            <w:tcW w:type="dxa" w:w="2160"/>
          </w:tcPr>
          <w:p>
            <w:r>
              <w:t>[YYYY-MM-DD]</w:t>
            </w:r>
          </w:p>
        </w:tc>
        <w:tc>
          <w:tcPr>
            <w:tcW w:type="dxa" w:w="2160"/>
          </w:tcPr>
          <w:p>
            <w:r>
              <w:t>[Author]</w:t>
            </w:r>
          </w:p>
        </w:tc>
        <w:tc>
          <w:tcPr>
            <w:tcW w:type="dxa" w:w="2160"/>
          </w:tcPr>
          <w:p>
            <w:r>
              <w:t>Initial draft: methods, benchmarking framework, preliminary LLM-free results.</w:t>
            </w:r>
          </w:p>
        </w:tc>
      </w:tr>
      <w:tr>
        <w:tc>
          <w:tcPr>
            <w:tcW w:type="dxa" w:w="2160"/>
          </w:tcPr>
          <w:p>
            <w:r/>
          </w:p>
        </w:tc>
        <w:tc>
          <w:tcPr>
            <w:tcW w:type="dxa" w:w="2160"/>
          </w:tcPr>
          <w:p>
            <w:r/>
          </w:p>
        </w:tc>
        <w:tc>
          <w:tcPr>
            <w:tcW w:type="dxa" w:w="2160"/>
          </w:tcPr>
          <w:p>
            <w:r/>
          </w:p>
        </w:tc>
        <w:tc>
          <w:tcPr>
            <w:tcW w:type="dxa" w:w="2160"/>
          </w:tcPr>
          <w:p>
            <w:r/>
          </w:p>
        </w:tc>
      </w:tr>
    </w:tbl>
    <w:p/>
    <w:p>
      <w:pPr>
        <w:pStyle w:val="Heading1"/>
      </w:pPr>
      <w:r>
        <w:t>Table of contents</w:t>
      </w:r>
    </w:p>
    <w:p>
      <w:r>
        <w:fldChar w:fldCharType="begin"/>
        <w:instrText xml:space="preserve">TOC \o "1-3" \h \z \u</w:instrText>
        <w:fldChar w:fldCharType="separate"/>
        <w:t>Right-click → Update Field to populate the table of contents.</w:t>
        <w:fldChar w:fldCharType="end"/>
      </w:r>
    </w:p>
    <w:p>
      <w:r>
        <w:br w:type="page"/>
      </w:r>
    </w:p>
    <w:p>
      <w:pPr>
        <w:pStyle w:val="Heading1"/>
      </w:pPr>
      <w:r>
        <w:t>Executive summary</w:t>
      </w:r>
    </w:p>
    <w:p>
      <w:r>
        <w:rPr>
          <w:b w:val="0"/>
          <w:i w:val="0"/>
        </w:rPr>
        <w:t>Layer A is the entry-point layer of the knowledge graph: the set of recognisable categories a user selects to filter the corpus when they arrive with a specific question (for example, “does olive oil affect cardiovascular health?”). Its success criterion is coverage and nameability — for any food a user can name, a recognisable entry point should exist and be findable — rather than ontological completeness.</w:t>
      </w:r>
    </w:p>
    <w:p>
      <w:r>
        <w:rPr>
          <w:b w:val="0"/>
          <w:i w:val="0"/>
        </w:rPr>
        <w:t>The work is shaped by one structural fact: the FoodOn ontology does not provide a single, browsable food hierarchy. Foods are distributed across parallel classification axes; a substantial fraction of corpus-mentioned foods do not sit under the principal food product branch; and the is-a graph frequently fails to group foods as a human would. Consequently every construction method embodies a trade-off between faithfulness to FoodOn’s real structure (which is defensible and reproducible) and navigability (a shallow, recognisable tree).</w:t>
      </w:r>
    </w:p>
    <w:p>
      <w:r>
        <w:rPr>
          <w:b w:val="0"/>
          <w:i w:val="0"/>
        </w:rPr>
        <w:t>This deliverable (i) frames that trade-off, (ii) specifies six construction methods ranging from a purely structural backbone to an LLM agent that edits the ontology graph through a tool interface, (iii) defines a reproducible, eight-metric benchmarking harness that scores all methods on identical inputs and renders a single comparison scorecard, and (iv) reports the current implementation and a preliminary evaluation. The harness and a first set of methods are implemented and unit-tested; a complete, LLM-populated evaluation and the final method selection are the immediate next steps.</w:t>
      </w:r>
    </w:p>
    <w:p>
      <w:pPr>
        <w:pStyle w:val="Heading1"/>
      </w:pPr>
      <w:r>
        <w:t>1  Introduction</w:t>
      </w:r>
    </w:p>
    <w:p>
      <w:pPr>
        <w:pStyle w:val="Heading2"/>
      </w:pPr>
      <w:r>
        <w:t>1.1  Purpose and scope</w:t>
      </w:r>
    </w:p>
    <w:p>
      <w:r>
        <w:rPr>
          <w:b w:val="0"/>
          <w:i w:val="0"/>
        </w:rPr>
        <w:t>This document covers the construction of Layer A (entry-point index) and the methodology for benchmarking competing construction methods. It does not cover upstream corpus ingestion and entity linking, nor the downstream thematic layer (Layer B), except where needed for context.</w:t>
      </w:r>
    </w:p>
    <w:p>
      <w:pPr>
        <w:pStyle w:val="Heading2"/>
      </w:pPr>
      <w:r>
        <w:t>1.2  Objective of Layer A</w:t>
      </w:r>
    </w:p>
    <w:p>
      <w:r>
        <w:rPr>
          <w:b w:val="0"/>
          <w:i w:val="0"/>
        </w:rPr>
        <w:t>Layer A is a faceted filter index rather than a complete taxonomy. The operative definition of success is: for any food a user would plausibly name, a recognisable entry point exists and is reachable in few interactions. Depth and ontological completeness are secondary to nameability and coverage.</w:t>
      </w:r>
    </w:p>
    <w:p>
      <w:pPr>
        <w:pStyle w:val="Heading2"/>
      </w:pPr>
      <w:r>
        <w:t>1.3  Relation to the wider knowledge graph</w:t>
      </w:r>
    </w:p>
    <w:p>
      <w:r>
        <w:rPr>
          <w:b w:val="0"/>
          <w:i w:val="0"/>
        </w:rPr>
        <w:t>Entry points (shelves) produced by Layer A anchor the corpus chunks attached to them and provide the substrate over which the thematic layer (Layer B) later discovers cross-cutting themes. The construction method chosen here therefore affects the entire downstream browsing experience.</w:t>
      </w:r>
    </w:p>
    <w:p>
      <w:pPr>
        <w:pStyle w:val="Heading1"/>
      </w:pPr>
      <w:r>
        <w:t>2  Background: FoodOn and the structural challenge</w:t>
      </w:r>
    </w:p>
    <w:p>
      <w:r>
        <w:rPr>
          <w:b w:val="0"/>
          <w:i w:val="0"/>
        </w:rPr>
        <w:t>FoodOn is an OWL ontology of foods and food-related entities. Two properties of FoodOn dominate the design space for Layer A:</w:t>
      </w:r>
    </w:p>
    <w:p>
      <w:pPr>
        <w:pStyle w:val="ListBullet"/>
      </w:pPr>
      <w:r>
        <w:t>No single food tree. Foods are organised along multiple parallel axes (for example by material vs. product, by process, and by consumer group). A single is-a projection therefore cannot reproduce an intuitive, mutually exclusive set of food groups.</w:t>
      </w:r>
    </w:p>
    <w:p>
      <w:pPr>
        <w:pStyle w:val="ListBullet"/>
      </w:pPr>
      <w:r>
        <w:t>Partial and counter-intuitive grouping. A significant fraction of corpus-mentioned foods do not lie under the principal food product branch, and the is-a graph often does not connect a specific food to the human category a user expects (for example, a specific fruit may not connect to a usable “fruit” food node).</w:t>
      </w:r>
    </w:p>
    <w:p>
      <w:r>
        <w:rPr>
          <w:b w:val="0"/>
          <w:i w:val="0"/>
        </w:rPr>
        <w:t>These properties create a fundamental tension between two desirable properties of the constructed index: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Property</w:t>
            </w:r>
          </w:p>
        </w:tc>
        <w:tc>
          <w:tcPr>
            <w:tcW w:type="dxa" w:w="2880"/>
          </w:tcPr>
          <w:p>
            <w:r/>
            <w:r>
              <w:rPr>
                <w:b/>
              </w:rPr>
              <w:t>Meaning</w:t>
            </w:r>
          </w:p>
        </w:tc>
        <w:tc>
          <w:tcPr>
            <w:tcW w:type="dxa" w:w="2880"/>
          </w:tcPr>
          <w:p>
            <w:r/>
            <w:r>
              <w:rPr>
                <w:b/>
              </w:rPr>
              <w:t>Cost</w:t>
            </w:r>
          </w:p>
        </w:tc>
      </w:tr>
      <w:tr>
        <w:tc>
          <w:tcPr>
            <w:tcW w:type="dxa" w:w="2880"/>
          </w:tcPr>
          <w:p>
            <w:r>
              <w:t>Faithfulness</w:t>
            </w:r>
          </w:p>
        </w:tc>
        <w:tc>
          <w:tcPr>
            <w:tcW w:type="dxa" w:w="2880"/>
          </w:tcPr>
          <w:p>
            <w:r>
              <w:t>The hierarchy is FoodOn’s real (is-a or relational) structure.</w:t>
            </w:r>
          </w:p>
        </w:tc>
        <w:tc>
          <w:tcPr>
            <w:tcW w:type="dxa" w:w="2880"/>
          </w:tcPr>
          <w:p>
            <w:r>
              <w:t>May be deep, wide, or sparsely populated for browsing.</w:t>
            </w:r>
          </w:p>
        </w:tc>
      </w:tr>
      <w:tr>
        <w:tc>
          <w:tcPr>
            <w:tcW w:type="dxa" w:w="2880"/>
          </w:tcPr>
          <w:p>
            <w:r>
              <w:t>Navigability</w:t>
            </w:r>
          </w:p>
        </w:tc>
        <w:tc>
          <w:tcPr>
            <w:tcW w:type="dxa" w:w="2880"/>
          </w:tcPr>
          <w:p>
            <w:r>
              <w:t>A shallow, recognisable, well-populated tree.</w:t>
            </w:r>
          </w:p>
        </w:tc>
        <w:tc>
          <w:tcPr>
            <w:tcW w:type="dxa" w:w="2880"/>
          </w:tcPr>
          <w:p>
            <w:r>
              <w:t>May require departing from FoodOn’s real structure.</w:t>
            </w:r>
          </w:p>
        </w:tc>
      </w:tr>
    </w:tbl>
    <w:p/>
    <w:p>
      <w:r>
        <w:rPr>
          <w:b w:val="0"/>
          <w:i w:val="0"/>
        </w:rPr>
        <w:t>The benchmarking framework in Section 4 exists precisely to measure this trade-off rather than to argue it qualitatively.</w:t>
      </w:r>
    </w:p>
    <w:p>
      <w:pPr>
        <w:pStyle w:val="Heading1"/>
      </w:pPr>
      <w:r>
        <w:t>3  Construction methods</w:t>
      </w:r>
    </w:p>
    <w:p>
      <w:pPr>
        <w:pStyle w:val="Heading2"/>
      </w:pPr>
      <w:r>
        <w:t>3.1  Design space</w:t>
      </w:r>
    </w:p>
    <w:p>
      <w:r>
        <w:rPr>
          <w:b w:val="0"/>
          <w:i w:val="0"/>
        </w:rPr>
        <w:t>Each method is a choice on two independent axes: (a) the source of hierarchy and membership — FoodOn’s structure versus LLM semantic judgement; and (b) the source of coverage — top-down (start at roots, prune) versus bottom-up (start at corpus-mentioned leaves). Bottom-up construction guarantees coverage by construction; structural membership preserves faithfulness.</w:t>
      </w:r>
    </w:p>
    <w:p>
      <w:pPr>
        <w:pStyle w:val="Heading2"/>
      </w:pPr>
      <w:r>
        <w:t>3.2  Method catalogue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ID</w:t>
            </w:r>
          </w:p>
        </w:tc>
        <w:tc>
          <w:tcPr>
            <w:tcW w:type="dxa" w:w="1728"/>
          </w:tcPr>
          <w:p>
            <w:r/>
            <w:r>
              <w:rPr>
                <w:b/>
              </w:rPr>
              <w:t>Method</w:t>
            </w:r>
          </w:p>
        </w:tc>
        <w:tc>
          <w:tcPr>
            <w:tcW w:type="dxa" w:w="1728"/>
          </w:tcPr>
          <w:p>
            <w:r/>
            <w:r>
              <w:rPr>
                <w:b/>
              </w:rPr>
              <w:t>Hierarchy source</w:t>
            </w:r>
          </w:p>
        </w:tc>
        <w:tc>
          <w:tcPr>
            <w:tcW w:type="dxa" w:w="1728"/>
          </w:tcPr>
          <w:p>
            <w:r/>
            <w:r>
              <w:rPr>
                <w:b/>
              </w:rPr>
              <w:t>Faithfulness</w:t>
            </w:r>
          </w:p>
        </w:tc>
        <w:tc>
          <w:tcPr>
            <w:tcW w:type="dxa" w:w="1728"/>
          </w:tcPr>
          <w:p>
            <w:r/>
            <w:r>
              <w:rPr>
                <w:b/>
              </w:rPr>
              <w:t>Notes</w:t>
            </w:r>
          </w:p>
        </w:tc>
      </w:tr>
      <w:tr>
        <w:tc>
          <w:tcPr>
            <w:tcW w:type="dxa" w:w="1728"/>
          </w:tcPr>
          <w:p>
            <w:r>
              <w:t>0</w:t>
            </w:r>
          </w:p>
        </w:tc>
        <w:tc>
          <w:tcPr>
            <w:tcW w:type="dxa" w:w="1728"/>
          </w:tcPr>
          <w:p>
            <w:r>
              <w:t>Top-down prune (baseline)</w:t>
            </w:r>
          </w:p>
        </w:tc>
        <w:tc>
          <w:tcPr>
            <w:tcW w:type="dxa" w:w="1728"/>
          </w:tcPr>
          <w:p>
            <w:r>
              <w:t>is-a, top-down</w:t>
            </w:r>
          </w:p>
        </w:tc>
        <w:tc>
          <w:tcPr>
            <w:tcW w:type="dxa" w:w="1728"/>
          </w:tcPr>
          <w:p>
            <w:r>
              <w:t>High</w:t>
            </w:r>
          </w:p>
        </w:tc>
        <w:tc>
          <w:tcPr>
            <w:tcW w:type="dxa" w:w="1728"/>
          </w:tcPr>
          <w:p>
            <w:r>
              <w:t>Reference; tends to a flat, sparsely-tiered result.</w:t>
            </w:r>
          </w:p>
        </w:tc>
      </w:tr>
      <w:tr>
        <w:tc>
          <w:tcPr>
            <w:tcW w:type="dxa" w:w="1728"/>
          </w:tcPr>
          <w:p>
            <w:r>
              <w:t>1a</w:t>
            </w:r>
          </w:p>
        </w:tc>
        <w:tc>
          <w:tcPr>
            <w:tcW w:type="dxa" w:w="1728"/>
          </w:tcPr>
          <w:p>
            <w:r>
              <w:t>Structural auto-backbone</w:t>
            </w:r>
          </w:p>
        </w:tc>
        <w:tc>
          <w:tcPr>
            <w:tcW w:type="dxa" w:w="1728"/>
          </w:tcPr>
          <w:p>
            <w:r>
              <w:t>is-a + support</w:t>
            </w:r>
          </w:p>
        </w:tc>
        <w:tc>
          <w:tcPr>
            <w:tcW w:type="dxa" w:w="1728"/>
          </w:tcPr>
          <w:p>
            <w:r>
              <w:t>High</w:t>
            </w:r>
          </w:p>
        </w:tc>
        <w:tc>
          <w:tcPr>
            <w:tcW w:type="dxa" w:w="1728"/>
          </w:tcPr>
          <w:p>
            <w:r>
              <w:t>Fixed backbone; corpus support decorates it.</w:t>
            </w:r>
          </w:p>
        </w:tc>
      </w:tr>
      <w:tr>
        <w:tc>
          <w:tcPr>
            <w:tcW w:type="dxa" w:w="1728"/>
          </w:tcPr>
          <w:p>
            <w:r>
              <w:t>1a+</w:t>
            </w:r>
          </w:p>
        </w:tc>
        <w:tc>
          <w:tcPr>
            <w:tcW w:type="dxa" w:w="1728"/>
          </w:tcPr>
          <w:p>
            <w:r>
              <w:t>Backbone + controlled expansion</w:t>
            </w:r>
          </w:p>
        </w:tc>
        <w:tc>
          <w:tcPr>
            <w:tcW w:type="dxa" w:w="1728"/>
          </w:tcPr>
          <w:p>
            <w:r>
              <w:t>is-a + support</w:t>
            </w:r>
          </w:p>
        </w:tc>
        <w:tc>
          <w:tcPr>
            <w:tcW w:type="dxa" w:w="1728"/>
          </w:tcPr>
          <w:p>
            <w:r>
              <w:t>High</w:t>
            </w:r>
          </w:p>
        </w:tc>
        <w:tc>
          <w:tcPr>
            <w:tcW w:type="dxa" w:w="1728"/>
          </w:tcPr>
          <w:p>
            <w:r>
              <w:t>Opens deeper tiers only where supported; fan-out and depth capped; single-child chains skipped. Strong faithful-and-navigable baseline.</w:t>
            </w:r>
          </w:p>
        </w:tc>
      </w:tr>
      <w:tr>
        <w:tc>
          <w:tcPr>
            <w:tcW w:type="dxa" w:w="1728"/>
          </w:tcPr>
          <w:p>
            <w:r>
              <w:t>1b</w:t>
            </w:r>
          </w:p>
        </w:tc>
        <w:tc>
          <w:tcPr>
            <w:tcW w:type="dxa" w:w="1728"/>
          </w:tcPr>
          <w:p>
            <w:r>
              <w:t>LLM-proposed backbone</w:t>
            </w:r>
          </w:p>
        </w:tc>
        <w:tc>
          <w:tcPr>
            <w:tcW w:type="dxa" w:w="1728"/>
          </w:tcPr>
          <w:p>
            <w:r>
              <w:t>LLM names → is-a fill</w:t>
            </w:r>
          </w:p>
        </w:tc>
        <w:tc>
          <w:tcPr>
            <w:tcW w:type="dxa" w:w="1728"/>
          </w:tcPr>
          <w:p>
            <w:r>
              <w:t>Medium</w:t>
            </w:r>
          </w:p>
        </w:tc>
        <w:tc>
          <w:tcPr>
            <w:tcW w:type="dxa" w:w="1728"/>
          </w:tcPr>
          <w:p>
            <w:r>
              <w:t>LLM proposes top-level categories, each resolved to a real FoodOn id.</w:t>
            </w:r>
          </w:p>
        </w:tc>
      </w:tr>
      <w:tr>
        <w:tc>
          <w:tcPr>
            <w:tcW w:type="dxa" w:w="1728"/>
          </w:tcPr>
          <w:p>
            <w:r>
              <w:t>G</w:t>
            </w:r>
          </w:p>
        </w:tc>
        <w:tc>
          <w:tcPr>
            <w:tcW w:type="dxa" w:w="1728"/>
          </w:tcPr>
          <w:p>
            <w:r>
              <w:t>Bottom-up LLM grouping</w:t>
            </w:r>
          </w:p>
        </w:tc>
        <w:tc>
          <w:tcPr>
            <w:tcW w:type="dxa" w:w="1728"/>
          </w:tcPr>
          <w:p>
            <w:r>
              <w:t>LLM by label</w:t>
            </w:r>
          </w:p>
        </w:tc>
        <w:tc>
          <w:tcPr>
            <w:tcW w:type="dxa" w:w="1728"/>
          </w:tcPr>
          <w:p>
            <w:r>
              <w:t>Low</w:t>
            </w:r>
          </w:p>
        </w:tc>
        <w:tc>
          <w:tcPr>
            <w:tcW w:type="dxa" w:w="1728"/>
          </w:tcPr>
          <w:p>
            <w:r>
              <w:t>Groups foods by label, ignoring is-a; navigable but not reproducible from structure.</w:t>
            </w:r>
          </w:p>
        </w:tc>
      </w:tr>
      <w:tr>
        <w:tc>
          <w:tcPr>
            <w:tcW w:type="dxa" w:w="1728"/>
          </w:tcPr>
          <w:p>
            <w:r>
              <w:t>A</w:t>
            </w:r>
          </w:p>
        </w:tc>
        <w:tc>
          <w:tcPr>
            <w:tcW w:type="dxa" w:w="1728"/>
          </w:tcPr>
          <w:p>
            <w:r>
              <w:t>Agentic MCP editor</w:t>
            </w:r>
          </w:p>
        </w:tc>
        <w:tc>
          <w:tcPr>
            <w:tcW w:type="dxa" w:w="1728"/>
          </w:tcPr>
          <w:p>
            <w:r>
              <w:t>is-a (+ relations)</w:t>
            </w:r>
          </w:p>
        </w:tc>
        <w:tc>
          <w:tcPr>
            <w:tcW w:type="dxa" w:w="1728"/>
          </w:tcPr>
          <w:p>
            <w:r>
              <w:t>High</w:t>
            </w:r>
          </w:p>
        </w:tc>
        <w:tc>
          <w:tcPr>
            <w:tcW w:type="dxa" w:w="1728"/>
          </w:tcPr>
          <w:p>
            <w:r>
              <w:t>LLM agent traverses the FoodOn support graph and makes local keep/collapse/reparent decisions through a tool interface; never fabricates parents.</w:t>
            </w:r>
          </w:p>
        </w:tc>
      </w:tr>
    </w:tbl>
    <w:p/>
    <w:p>
      <w:pPr>
        <w:pStyle w:val="Heading2"/>
      </w:pPr>
      <w:r>
        <w:t>3.3  The controlled-expansion baseline (1a+)</w:t>
      </w:r>
    </w:p>
    <w:p>
      <w:r>
        <w:rPr>
          <w:b w:val="0"/>
          <w:i w:val="0"/>
        </w:rPr>
        <w:t>Method 1a+ keeps a structural backbone and then recursively opens deeper FoodOn tiers only where corpus support exceeds a floor, capping fan-out per parent and overall depth and skipping low-value single-child chains. Every displayed node remains a real FoodOn identifier, so the method is simultaneously faithful, bottom-up (covered), and navigable. It is the principal baseline that the agentic method must outperform.</w:t>
      </w:r>
    </w:p>
    <w:p>
      <w:pPr>
        <w:pStyle w:val="Heading2"/>
      </w:pPr>
      <w:r>
        <w:t>3.4  The agentic MCP method (A)</w:t>
      </w:r>
    </w:p>
    <w:p>
      <w:r>
        <w:rPr>
          <w:b w:val="0"/>
          <w:i w:val="0"/>
        </w:rPr>
        <w:t>The agentic method tests whether an LLM that reasons over the real ontology graph can outperform the mechanical rules of 1a+. An agent traverses the FoodOn support graph top-down; at each node it is shown a local “lens” (the node, its parent, supported children with their support counts, and candidate non-is-a relation bridges) and returns one local action over real edges:</w:t>
      </w:r>
    </w:p>
    <w:p>
      <w:pPr>
        <w:pStyle w:val="ListBullet"/>
      </w:pPr>
      <w:r>
        <w:t>KEEP — the node is a recognisable category and becomes a shelf;</w:t>
      </w:r>
    </w:p>
    <w:p>
      <w:pPr>
        <w:pStyle w:val="ListBullet"/>
      </w:pPr>
      <w:r>
        <w:t>COLLAPSE — the node is redundant with its parent; its children are lifted up;</w:t>
      </w:r>
    </w:p>
    <w:p>
      <w:pPr>
        <w:pStyle w:val="ListBullet"/>
      </w:pPr>
      <w:r>
        <w:t>REPARENT — the node is an organisational artefact; its children are lifted to the parent.</w:t>
      </w:r>
    </w:p>
    <w:p>
      <w:r>
        <w:rPr>
          <w:b w:val="0"/>
          <w:i w:val="0"/>
        </w:rPr>
        <w:t>Because the agent acts only on real FoodOn edges, membership remains is-a-faithful and every decision is accompanied by a recorded rationale (an audit trail). A throwaway relation index extracted from the FoodOn OWL exposes non-is-a relations (for example derives from, member of, has ingredient) to the agent; acting on these relations to bridge gaps in the is-a graph is specified but deferred to a subsequent increment (Section 7). The agent operates through a manual tool-invocation protocol because the underlying LLM client does not provide native function calling.</w:t>
      </w:r>
    </w:p>
    <w:p>
      <w:pPr>
        <w:pStyle w:val="Heading1"/>
      </w:pPr>
      <w:r>
        <w:t>4  Benchmarking methodology</w:t>
      </w:r>
    </w:p>
    <w:p>
      <w:pPr>
        <w:pStyle w:val="Heading2"/>
      </w:pPr>
      <w:r>
        <w:t>4.1  Principle</w:t>
      </w:r>
    </w:p>
    <w:p>
      <w:r>
        <w:rPr>
          <w:b w:val="0"/>
          <w:i w:val="0"/>
        </w:rPr>
        <w:t>Methods are not judged qualitatively. Each method emits a common representation (a directed tree with per-leaf placement records), and a fixed set of metrics is computed identically over every method on the same corpus and ontology snapshot. The output is a single scorecard plus, for the LLM methods, a per-decision audit trail.</w:t>
      </w:r>
    </w:p>
    <w:p>
      <w:pPr>
        <w:pStyle w:val="Heading2"/>
      </w:pPr>
      <w:r>
        <w:t>4.2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Metric</w:t>
            </w:r>
          </w:p>
        </w:tc>
        <w:tc>
          <w:tcPr>
            <w:tcW w:type="dxa" w:w="2880"/>
          </w:tcPr>
          <w:p>
            <w:r/>
            <w:r>
              <w:rPr>
                <w:b/>
              </w:rPr>
              <w:t>What it captures</w:t>
            </w:r>
          </w:p>
        </w:tc>
        <w:tc>
          <w:tcPr>
            <w:tcW w:type="dxa" w:w="2880"/>
          </w:tcPr>
          <w:p>
            <w:r/>
            <w:r>
              <w:rPr>
                <w:b/>
              </w:rPr>
              <w:t>Definition (summary)</w:t>
            </w:r>
          </w:p>
        </w:tc>
      </w:tr>
      <w:tr>
        <w:tc>
          <w:tcPr>
            <w:tcW w:type="dxa" w:w="2880"/>
          </w:tcPr>
          <w:p>
            <w:r>
              <w:t>Coverage</w:t>
            </w:r>
          </w:p>
        </w:tc>
        <w:tc>
          <w:tcPr>
            <w:tcW w:type="dxa" w:w="2880"/>
          </w:tcPr>
          <w:p>
            <w:r>
              <w:t>Are named foods reachable?</w:t>
            </w:r>
          </w:p>
        </w:tc>
        <w:tc>
          <w:tcPr>
            <w:tcW w:type="dxa" w:w="2880"/>
          </w:tcPr>
          <w:p>
            <w:r>
              <w:t>Fraction of mentioned leaves homed under some node. Near 1.0 for any bottom-up method, hence not the discriminator.</w:t>
            </w:r>
          </w:p>
        </w:tc>
      </w:tr>
      <w:tr>
        <w:tc>
          <w:tcPr>
            <w:tcW w:type="dxa" w:w="2880"/>
          </w:tcPr>
          <w:p>
            <w:r>
              <w:t>Specificity</w:t>
            </w:r>
          </w:p>
        </w:tc>
        <w:tc>
          <w:tcPr>
            <w:tcW w:type="dxa" w:w="2880"/>
          </w:tcPr>
          <w:p>
            <w:r>
              <w:t>Are foods placed precisely?</w:t>
            </w:r>
          </w:p>
        </w:tc>
        <w:tc>
          <w:tcPr>
            <w:tcW w:type="dxa" w:w="2880"/>
          </w:tcPr>
          <w:p>
            <w:r>
              <w:t>Mean/median is-a distance from each leaf to its home node. The discriminator coverage is not: separates a flat blob from a well-tiered tree.</w:t>
            </w:r>
          </w:p>
        </w:tc>
      </w:tr>
      <w:tr>
        <w:tc>
          <w:tcPr>
            <w:tcW w:type="dxa" w:w="2880"/>
          </w:tcPr>
          <w:p>
            <w:r>
              <w:t>Findability</w:t>
            </w:r>
          </w:p>
        </w:tc>
        <w:tc>
          <w:tcPr>
            <w:tcW w:type="dxa" w:w="2880"/>
          </w:tcPr>
          <w:p>
            <w:r>
              <w:t>Effort to reach a food</w:t>
            </w:r>
          </w:p>
        </w:tc>
        <w:tc>
          <w:tcPr>
            <w:tcW w:type="dxa" w:w="2880"/>
          </w:tcPr>
          <w:p>
            <w:r>
              <w:t>Held-out food queries → clicks from root to home; median, 90th percentile, and fraction within K.</w:t>
            </w:r>
          </w:p>
        </w:tc>
      </w:tr>
      <w:tr>
        <w:tc>
          <w:tcPr>
            <w:tcW w:type="dxa" w:w="2880"/>
          </w:tcPr>
          <w:p>
            <w:r>
              <w:t>Nameability</w:t>
            </w:r>
          </w:p>
        </w:tc>
        <w:tc>
          <w:tcPr>
            <w:tcW w:type="dxa" w:w="2880"/>
          </w:tcPr>
          <w:p>
            <w:r>
              <w:t>Are labels recognisable?</w:t>
            </w:r>
          </w:p>
        </w:tc>
        <w:tc>
          <w:tcPr>
            <w:tcW w:type="dxa" w:w="2880"/>
          </w:tcPr>
          <w:p>
            <w:r>
              <w:t>Fraction of a sampled set of shelf labels judged recognisable by an LLM (or human).</w:t>
            </w:r>
          </w:p>
        </w:tc>
      </w:tr>
      <w:tr>
        <w:tc>
          <w:tcPr>
            <w:tcW w:type="dxa" w:w="2880"/>
          </w:tcPr>
          <w:p>
            <w:r>
              <w:t>Fan-out</w:t>
            </w:r>
          </w:p>
        </w:tc>
        <w:tc>
          <w:tcPr>
            <w:tcW w:type="dxa" w:w="2880"/>
          </w:tcPr>
          <w:p>
            <w:r>
              <w:t>Navigation width</w:t>
            </w:r>
          </w:p>
        </w:tc>
        <w:tc>
          <w:tcPr>
            <w:tcW w:type="dxa" w:w="2880"/>
          </w:tcPr>
          <w:p>
            <w:r>
              <w:t>Maximum / median children per node.</w:t>
            </w:r>
          </w:p>
        </w:tc>
      </w:tr>
      <w:tr>
        <w:tc>
          <w:tcPr>
            <w:tcW w:type="dxa" w:w="2880"/>
          </w:tcPr>
          <w:p>
            <w:r>
              <w:t>Depth</w:t>
            </w:r>
          </w:p>
        </w:tc>
        <w:tc>
          <w:tcPr>
            <w:tcW w:type="dxa" w:w="2880"/>
          </w:tcPr>
          <w:p>
            <w:r>
              <w:t>Navigation depth</w:t>
            </w:r>
          </w:p>
        </w:tc>
        <w:tc>
          <w:tcPr>
            <w:tcW w:type="dxa" w:w="2880"/>
          </w:tcPr>
          <w:p>
            <w:r>
              <w:t>Maximum / median depth of placed foods.</w:t>
            </w:r>
          </w:p>
        </w:tc>
      </w:tr>
      <w:tr>
        <w:tc>
          <w:tcPr>
            <w:tcW w:type="dxa" w:w="2880"/>
          </w:tcPr>
          <w:p>
            <w:r>
              <w:t>Faithfulness</w:t>
            </w:r>
          </w:p>
        </w:tc>
        <w:tc>
          <w:tcPr>
            <w:tcW w:type="dxa" w:w="2880"/>
          </w:tcPr>
          <w:p>
            <w:r>
              <w:t>Is the structure real?</w:t>
            </w:r>
          </w:p>
        </w:tc>
        <w:tc>
          <w:tcPr>
            <w:tcW w:type="dxa" w:w="2880"/>
          </w:tcPr>
          <w:p>
            <w:r>
              <w:t>Fraction of leaf placements that are is-a / non-is-a-relation / fabricated.</w:t>
            </w:r>
          </w:p>
        </w:tc>
      </w:tr>
      <w:tr>
        <w:tc>
          <w:tcPr>
            <w:tcW w:type="dxa" w:w="2880"/>
          </w:tcPr>
          <w:p>
            <w:r>
              <w:t>Reproducibility &amp; cost</w:t>
            </w:r>
          </w:p>
        </w:tc>
        <w:tc>
          <w:tcPr>
            <w:tcW w:type="dxa" w:w="2880"/>
          </w:tcPr>
          <w:p>
            <w:r>
              <w:t>Stability and price</w:t>
            </w:r>
          </w:p>
        </w:tc>
        <w:tc>
          <w:tcPr>
            <w:tcW w:type="dxa" w:w="2880"/>
          </w:tcPr>
          <w:p>
            <w:r>
              <w:t>Number of LLM calls; run-to-run set overlap (Jaccard).</w:t>
            </w:r>
          </w:p>
        </w:tc>
      </w:tr>
    </w:tbl>
    <w:p/>
    <w:p>
      <w:pPr>
        <w:pStyle w:val="Heading2"/>
      </w:pPr>
      <w:r>
        <w:t>4.3  Procedure</w:t>
      </w:r>
    </w:p>
    <w:p>
      <w:pPr>
        <w:pStyle w:val="ListNumber"/>
      </w:pPr>
      <w:r>
        <w:t>Build a shared support layer (mentioned food leaves → chunk evidence) once from a single corpus and FoodOn snapshot.</w:t>
      </w:r>
    </w:p>
    <w:p>
      <w:pPr>
        <w:pStyle w:val="ListNumber"/>
      </w:pPr>
      <w:r>
        <w:t>Run each method to produce its common representation.</w:t>
      </w:r>
    </w:p>
    <w:p>
      <w:pPr>
        <w:pStyle w:val="ListNumber"/>
      </w:pPr>
      <w:r>
        <w:t>Sample a held-out, stratified query set of foods (common and rare) for the findability metric.</w:t>
      </w:r>
    </w:p>
    <w:p>
      <w:pPr>
        <w:pStyle w:val="ListNumber"/>
      </w:pPr>
      <w:r>
        <w:t>Compute the eight metrics per method and assemble the scorecard.</w:t>
      </w:r>
    </w:p>
    <w:p>
      <w:pPr>
        <w:pStyle w:val="ListNumber"/>
      </w:pPr>
      <w:r>
        <w:t>Render each method’s tree for inspection and, for LLM methods, export the decision audit.</w:t>
      </w:r>
    </w:p>
    <w:p>
      <w:pPr>
        <w:pStyle w:val="Heading1"/>
      </w:pPr>
      <w:r>
        <w:t>5  Implementation</w:t>
      </w:r>
    </w:p>
    <w:p>
      <w:r>
        <w:rPr>
          <w:b w:val="0"/>
          <w:i w:val="0"/>
        </w:rPr>
        <w:t>The harness is implemented as a focused Python package with full unit-test coverage and is exercised from a single evaluation notebook that renders the scorecard above side-by-side method trees. Construction methods already present in the project (baseline, structural backbone, controlled expansion, LLM backbone, and bottom-up grouping) are adapted into the common representation; the agentic method is implemented as a new sub-package.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Component</w:t>
            </w:r>
          </w:p>
        </w:tc>
        <w:tc>
          <w:tcPr>
            <w:tcW w:type="dxa" w:w="4320"/>
          </w:tcPr>
          <w:p>
            <w:r/>
            <w:r>
              <w:rPr>
                <w:b/>
              </w:rPr>
              <w:t>Responsibility</w:t>
            </w:r>
          </w:p>
        </w:tc>
      </w:tr>
      <w:tr>
        <w:tc>
          <w:tcPr>
            <w:tcW w:type="dxa" w:w="4320"/>
          </w:tcPr>
          <w:p>
            <w:r>
              <w:t>Common representation</w:t>
            </w:r>
          </w:p>
        </w:tc>
        <w:tc>
          <w:tcPr>
            <w:tcW w:type="dxa" w:w="4320"/>
          </w:tcPr>
          <w:p>
            <w:r>
              <w:t>A single result type (tree edges, labels, counts, per-leaf home and placement type/distance) emitted by every method.</w:t>
            </w:r>
          </w:p>
        </w:tc>
      </w:tr>
      <w:tr>
        <w:tc>
          <w:tcPr>
            <w:tcW w:type="dxa" w:w="4320"/>
          </w:tcPr>
          <w:p>
            <w:r>
              <w:t>Metric functions</w:t>
            </w:r>
          </w:p>
        </w:tc>
        <w:tc>
          <w:tcPr>
            <w:tcW w:type="dxa" w:w="4320"/>
          </w:tcPr>
          <w:p>
            <w:r>
              <w:t>Pure functions computing the eight metrics over the common representation.</w:t>
            </w:r>
          </w:p>
        </w:tc>
      </w:tr>
      <w:tr>
        <w:tc>
          <w:tcPr>
            <w:tcW w:type="dxa" w:w="4320"/>
          </w:tcPr>
          <w:p>
            <w:r>
              <w:t>Scorecard</w:t>
            </w:r>
          </w:p>
        </w:tc>
        <w:tc>
          <w:tcPr>
            <w:tcW w:type="dxa" w:w="4320"/>
          </w:tcPr>
          <w:p>
            <w:r>
              <w:t>Assembles one row per method and renders a comparison table.</w:t>
            </w:r>
          </w:p>
        </w:tc>
      </w:tr>
      <w:tr>
        <w:tc>
          <w:tcPr>
            <w:tcW w:type="dxa" w:w="4320"/>
          </w:tcPr>
          <w:p>
            <w:r>
              <w:t>Adapters</w:t>
            </w:r>
          </w:p>
        </w:tc>
        <w:tc>
          <w:tcPr>
            <w:tcW w:type="dxa" w:w="4320"/>
          </w:tcPr>
          <w:p>
            <w:r>
              <w:t>Wrap each existing method’s output into the common representation.</w:t>
            </w:r>
          </w:p>
        </w:tc>
      </w:tr>
      <w:tr>
        <w:tc>
          <w:tcPr>
            <w:tcW w:type="dxa" w:w="4320"/>
          </w:tcPr>
          <w:p>
            <w:r>
              <w:t>Agentic sub-package</w:t>
            </w:r>
          </w:p>
        </w:tc>
        <w:tc>
          <w:tcPr>
            <w:tcW w:type="dxa" w:w="4320"/>
          </w:tcPr>
          <w:p>
            <w:r>
              <w:t>Relation index (from OWL), per-node support roll-up, read-only graph tools, and the DFS decision loop.</w:t>
            </w:r>
          </w:p>
        </w:tc>
      </w:tr>
      <w:tr>
        <w:tc>
          <w:tcPr>
            <w:tcW w:type="dxa" w:w="4320"/>
          </w:tcPr>
          <w:p>
            <w:r>
              <w:t>Evaluation notebook</w:t>
            </w:r>
          </w:p>
        </w:tc>
        <w:tc>
          <w:tcPr>
            <w:tcW w:type="dxa" w:w="4320"/>
          </w:tcPr>
          <w:p>
            <w:r>
              <w:t>Single entry point: runs all methods, renders the scorecard, trees, and audits.</w:t>
            </w:r>
          </w:p>
        </w:tc>
      </w:tr>
    </w:tbl>
    <w:p/>
    <w:p>
      <w:r>
        <w:rPr>
          <w:b w:val="0"/>
          <w:i w:val="0"/>
        </w:rPr>
        <w:t>The construction and evaluation code is unit-tested (26 tests for the harness and agentic sub-package at the time of writing) and is regenerable from source build scripts. Earlier exploratory notebooks have been archived behind the single evaluation notebook to remove duplication.</w:t>
      </w:r>
    </w:p>
    <w:p>
      <w:pPr>
        <w:pStyle w:val="Heading1"/>
      </w:pPr>
      <w:r>
        <w:t>6  Preliminary results</w:t>
      </w:r>
    </w:p>
    <w:p>
      <w:r>
        <w:rPr>
          <w:b w:val="0"/>
          <w:i/>
        </w:rPr>
        <w:t>The figures below are PRELIMINARY and were produced in an LLM-free configuration (no API key present). In that configuration the LLM-dependent columns (nameability; the agentic method; the live grouping method, which degrades to one shelf per leaf) are not populated, and the faithfulness discriminator cannot differentiate methods. They are reported to demonstrate the harness end-to-end and to surface methodological findings, not to select a method.</w:t>
      </w:r>
    </w:p>
    <w:p>
      <w:pPr>
        <w:pStyle w:val="Heading2"/>
      </w:pPr>
      <w:r>
        <w:t>6.1  Preliminary scorecard (LLM-free run)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Method</w:t>
            </w:r>
          </w:p>
        </w:tc>
        <w:tc>
          <w:tcPr>
            <w:tcW w:type="dxa" w:w="1440"/>
          </w:tcPr>
          <w:p>
            <w:r/>
            <w:r>
              <w:rPr>
                <w:b/>
              </w:rPr>
              <w:t>Coverage</w:t>
            </w:r>
          </w:p>
        </w:tc>
        <w:tc>
          <w:tcPr>
            <w:tcW w:type="dxa" w:w="1440"/>
          </w:tcPr>
          <w:p>
            <w:r/>
            <w:r>
              <w:rPr>
                <w:b/>
              </w:rPr>
              <w:t>Find. median (clicks)</w:t>
            </w:r>
          </w:p>
        </w:tc>
        <w:tc>
          <w:tcPr>
            <w:tcW w:type="dxa" w:w="1440"/>
          </w:tcPr>
          <w:p>
            <w:r/>
            <w:r>
              <w:rPr>
                <w:b/>
              </w:rPr>
              <w:t>Find. ≤ 3</w:t>
            </w:r>
          </w:p>
        </w:tc>
        <w:tc>
          <w:tcPr>
            <w:tcW w:type="dxa" w:w="1440"/>
          </w:tcPr>
          <w:p>
            <w:r/>
            <w:r>
              <w:rPr>
                <w:b/>
              </w:rPr>
              <w:t>Max fan-out</w:t>
            </w:r>
          </w:p>
        </w:tc>
        <w:tc>
          <w:tcPr>
            <w:tcW w:type="dxa" w:w="1440"/>
          </w:tcPr>
          <w:p>
            <w:r/>
            <w:r>
              <w:rPr>
                <w:b/>
              </w:rPr>
              <w:t>Max depth</w:t>
            </w:r>
          </w:p>
        </w:tc>
      </w:tr>
      <w:tr>
        <w:tc>
          <w:tcPr>
            <w:tcW w:type="dxa" w:w="1440"/>
          </w:tcPr>
          <w:p>
            <w:r>
              <w:t>0 — Baseline</w:t>
            </w:r>
          </w:p>
        </w:tc>
        <w:tc>
          <w:tcPr>
            <w:tcW w:type="dxa" w:w="1440"/>
          </w:tcPr>
          <w:p>
            <w:r>
              <w:t>1.00</w:t>
            </w:r>
          </w:p>
        </w:tc>
        <w:tc>
          <w:tcPr>
            <w:tcW w:type="dxa" w:w="1440"/>
          </w:tcPr>
          <w:p>
            <w:r>
              <w:t>2</w:t>
            </w:r>
          </w:p>
        </w:tc>
        <w:tc>
          <w:tcPr>
            <w:tcW w:type="dxa" w:w="1440"/>
          </w:tcPr>
          <w:p>
            <w:r>
              <w:t>1.00</w:t>
            </w:r>
          </w:p>
        </w:tc>
        <w:tc>
          <w:tcPr>
            <w:tcW w:type="dxa" w:w="1440"/>
          </w:tcPr>
          <w:p>
            <w:r>
              <w:t>111</w:t>
            </w:r>
          </w:p>
        </w:tc>
        <w:tc>
          <w:tcPr>
            <w:tcW w:type="dxa" w:w="1440"/>
          </w:tcPr>
          <w:p>
            <w:r>
              <w:t>3</w:t>
            </w:r>
          </w:p>
        </w:tc>
      </w:tr>
      <w:tr>
        <w:tc>
          <w:tcPr>
            <w:tcW w:type="dxa" w:w="1440"/>
          </w:tcPr>
          <w:p>
            <w:r>
              <w:t>2 — Structural cut</w:t>
            </w:r>
          </w:p>
        </w:tc>
        <w:tc>
          <w:tcPr>
            <w:tcW w:type="dxa" w:w="1440"/>
          </w:tcPr>
          <w:p>
            <w:r>
              <w:t>1.00</w:t>
            </w:r>
          </w:p>
        </w:tc>
        <w:tc>
          <w:tcPr>
            <w:tcW w:type="dxa" w:w="1440"/>
          </w:tcPr>
          <w:p>
            <w:r>
              <w:t>3</w:t>
            </w:r>
          </w:p>
        </w:tc>
        <w:tc>
          <w:tcPr>
            <w:tcW w:type="dxa" w:w="1440"/>
          </w:tcPr>
          <w:p>
            <w:r>
              <w:t>0.92</w:t>
            </w:r>
          </w:p>
        </w:tc>
        <w:tc>
          <w:tcPr>
            <w:tcW w:type="dxa" w:w="1440"/>
          </w:tcPr>
          <w:p>
            <w:r>
              <w:t>85</w:t>
            </w:r>
          </w:p>
        </w:tc>
        <w:tc>
          <w:tcPr>
            <w:tcW w:type="dxa" w:w="1440"/>
          </w:tcPr>
          <w:p>
            <w:r>
              <w:t>4</w:t>
            </w:r>
          </w:p>
        </w:tc>
      </w:tr>
      <w:tr>
        <w:tc>
          <w:tcPr>
            <w:tcW w:type="dxa" w:w="1440"/>
          </w:tcPr>
          <w:p>
            <w:r>
              <w:t>1a — Auto backbone</w:t>
            </w:r>
          </w:p>
        </w:tc>
        <w:tc>
          <w:tcPr>
            <w:tcW w:type="dxa" w:w="1440"/>
          </w:tcPr>
          <w:p>
            <w:r>
              <w:t>1.00</w:t>
            </w:r>
          </w:p>
        </w:tc>
        <w:tc>
          <w:tcPr>
            <w:tcW w:type="dxa" w:w="1440"/>
          </w:tcPr>
          <w:p>
            <w:r>
              <w:t>2</w:t>
            </w:r>
          </w:p>
        </w:tc>
        <w:tc>
          <w:tcPr>
            <w:tcW w:type="dxa" w:w="1440"/>
          </w:tcPr>
          <w:p>
            <w:r>
              <w:t>0.99</w:t>
            </w:r>
          </w:p>
        </w:tc>
        <w:tc>
          <w:tcPr>
            <w:tcW w:type="dxa" w:w="1440"/>
          </w:tcPr>
          <w:p>
            <w:r>
              <w:t>30</w:t>
            </w:r>
          </w:p>
        </w:tc>
        <w:tc>
          <w:tcPr>
            <w:tcW w:type="dxa" w:w="1440"/>
          </w:tcPr>
          <w:p>
            <w:r>
              <w:t>2</w:t>
            </w:r>
          </w:p>
        </w:tc>
      </w:tr>
      <w:tr>
        <w:tc>
          <w:tcPr>
            <w:tcW w:type="dxa" w:w="1440"/>
          </w:tcPr>
          <w:p>
            <w:r>
              <w:t>1a+ — Controlled expansion</w:t>
            </w:r>
          </w:p>
        </w:tc>
        <w:tc>
          <w:tcPr>
            <w:tcW w:type="dxa" w:w="1440"/>
          </w:tcPr>
          <w:p>
            <w:r>
              <w:t>1.00</w:t>
            </w:r>
          </w:p>
        </w:tc>
        <w:tc>
          <w:tcPr>
            <w:tcW w:type="dxa" w:w="1440"/>
          </w:tcPr>
          <w:p>
            <w:r>
              <w:t>5</w:t>
            </w:r>
          </w:p>
        </w:tc>
        <w:tc>
          <w:tcPr>
            <w:tcW w:type="dxa" w:w="1440"/>
          </w:tcPr>
          <w:p>
            <w:r>
              <w:t>0.16</w:t>
            </w:r>
          </w:p>
        </w:tc>
        <w:tc>
          <w:tcPr>
            <w:tcW w:type="dxa" w:w="1440"/>
          </w:tcPr>
          <w:p>
            <w:r>
              <w:t>12</w:t>
            </w:r>
          </w:p>
        </w:tc>
        <w:tc>
          <w:tcPr>
            <w:tcW w:type="dxa" w:w="1440"/>
          </w:tcPr>
          <w:p>
            <w:r>
              <w:t>6</w:t>
            </w:r>
          </w:p>
        </w:tc>
      </w:tr>
      <w:tr>
        <w:tc>
          <w:tcPr>
            <w:tcW w:type="dxa" w:w="1440"/>
          </w:tcPr>
          <w:p>
            <w:r>
              <w:t>3 — Multi-facet</w:t>
            </w:r>
          </w:p>
        </w:tc>
        <w:tc>
          <w:tcPr>
            <w:tcW w:type="dxa" w:w="1440"/>
          </w:tcPr>
          <w:p>
            <w:r>
              <w:t>1.00</w:t>
            </w:r>
          </w:p>
        </w:tc>
        <w:tc>
          <w:tcPr>
            <w:tcW w:type="dxa" w:w="1440"/>
          </w:tcPr>
          <w:p>
            <w:r>
              <w:t>1</w:t>
            </w:r>
          </w:p>
        </w:tc>
        <w:tc>
          <w:tcPr>
            <w:tcW w:type="dxa" w:w="1440"/>
          </w:tcPr>
          <w:p>
            <w:r>
              <w:t>0.99</w:t>
            </w:r>
          </w:p>
        </w:tc>
        <w:tc>
          <w:tcPr>
            <w:tcW w:type="dxa" w:w="1440"/>
          </w:tcPr>
          <w:p>
            <w:r>
              <w:t>10</w:t>
            </w:r>
          </w:p>
        </w:tc>
        <w:tc>
          <w:tcPr>
            <w:tcW w:type="dxa" w:w="1440"/>
          </w:tcPr>
          <w:p>
            <w:r>
              <w:t>1</w:t>
            </w:r>
          </w:p>
        </w:tc>
      </w:tr>
      <w:tr>
        <w:tc>
          <w:tcPr>
            <w:tcW w:type="dxa" w:w="1440"/>
          </w:tcPr>
          <w:p>
            <w:r>
              <w:t>G — Grouping (LLM-free)</w:t>
            </w:r>
          </w:p>
        </w:tc>
        <w:tc>
          <w:tcPr>
            <w:tcW w:type="dxa" w:w="1440"/>
          </w:tcPr>
          <w:p>
            <w:r>
              <w:t>1.00</w:t>
            </w:r>
          </w:p>
        </w:tc>
        <w:tc>
          <w:tcPr>
            <w:tcW w:type="dxa" w:w="1440"/>
          </w:tcPr>
          <w:p>
            <w:r>
              <w:t>1</w:t>
            </w:r>
          </w:p>
        </w:tc>
        <w:tc>
          <w:tcPr>
            <w:tcW w:type="dxa" w:w="1440"/>
          </w:tcPr>
          <w:p>
            <w:r>
              <w:t>1.00</w:t>
            </w:r>
          </w:p>
        </w:tc>
        <w:tc>
          <w:tcPr>
            <w:tcW w:type="dxa" w:w="1440"/>
          </w:tcPr>
          <w:p>
            <w:r>
              <w:t>2951</w:t>
            </w:r>
          </w:p>
        </w:tc>
        <w:tc>
          <w:tcPr>
            <w:tcW w:type="dxa" w:w="1440"/>
          </w:tcPr>
          <w:p>
            <w:r>
              <w:t>1</w:t>
            </w:r>
          </w:p>
        </w:tc>
      </w:tr>
    </w:tbl>
    <w:p/>
    <w:p>
      <w:r>
        <w:rPr>
          <w:b w:val="0"/>
          <w:i w:val="0"/>
        </w:rPr>
        <w:t>Corpus snapshot for this run: of the order of 13,000 corpus chunks, of which approximately 4,200 mention at least one food; approximately 2,950 distinct food leaves; FoodOn snapshot of the order of 39,000 terms.</w:t>
      </w:r>
    </w:p>
    <w:p>
      <w:pPr>
        <w:pStyle w:val="Heading2"/>
      </w:pPr>
      <w:r>
        <w:t>6.2  Agentic method on real data</w:t>
      </w:r>
    </w:p>
    <w:p>
      <w:r>
        <w:rPr>
          <w:b w:val="0"/>
          <w:i w:val="0"/>
        </w:rPr>
        <w:t>Executed against the full ontology with a deterministic placeholder for the LLM decision (constant KEEP), the agentic loop completed in well under one second, respected the depth cap, produced approximately 200 internal nodes, and homed 1,841 of 2,951 mentioned leaves. The remaining approximately 38% are foods that do not lie under the principal food product branch — precisely the gap that the deferred relation-bridging increment is designed to close.</w:t>
      </w:r>
    </w:p>
    <w:p>
      <w:pPr>
        <w:pStyle w:val="Heading2"/>
      </w:pPr>
      <w:r>
        <w:t>6.3  Methodological findings</w:t>
      </w:r>
    </w:p>
    <w:p>
      <w:pPr>
        <w:pStyle w:val="ListBullet"/>
      </w:pPr>
      <w:r>
        <w:t>Coverage does not discriminate. Because any ancestor in the tree counts as a home, coverage is approximately 1.0 for every method. The specificity metric was introduced for this reason and is the discriminator between a flat blob and a well-tiered tree.</w:t>
      </w:r>
    </w:p>
    <w:p>
      <w:pPr>
        <w:pStyle w:val="ListBullet"/>
      </w:pPr>
      <w:r>
        <w:t>Findability penalises depth by construction. Because a leaf is homed to its deepest kept ancestor, intrinsically deep trees (such as 1a+) score lower on the fraction-within-three-clicks measure than a user who stops at a recognisable higher tier would experience. This is an interpretation caveat to be addressed in the metric refinement.</w:t>
      </w:r>
    </w:p>
    <w:p>
      <w:pPr>
        <w:pStyle w:val="ListBullet"/>
      </w:pPr>
      <w:r>
        <w:t>LLM-dependent metrics require a live model. Nameability, the live grouping method, and the agentic method in the notebook are gated on model access; a complete evaluation requires a configured LLM.</w:t>
      </w:r>
    </w:p>
    <w:p>
      <w:pPr>
        <w:pStyle w:val="Heading1"/>
      </w:pPr>
      <w:r>
        <w:t>7  Discussion</w:t>
      </w:r>
    </w:p>
    <w:p>
      <w:r>
        <w:rPr>
          <w:b w:val="0"/>
          <w:i w:val="0"/>
        </w:rPr>
        <w:t>The preliminary run confirms the central tension quantitatively in miniature: the shallow methods (multi-facet, 1a) reach foods in few clicks but at the cost of wide, generic top tiers, while the controlled-expansion method (1a+) places foods more specifically at the cost of depth. The genuinely informative comparison — specificity and nameability against depth and fan-out, with faithfulness held to real FoodOn structure — requires the LLM-populated run and is the immediate next step. The agentic method is positioned as the test of whether context-aware, per-node LLM judgement over the real graph improves on the mechanical rules of 1a+ without sacrificing faithfulness.</w:t>
      </w:r>
    </w:p>
    <w:p>
      <w:pPr>
        <w:pStyle w:val="Heading1"/>
      </w:pPr>
      <w:r>
        <w:t>8  Limitations</w:t>
      </w:r>
    </w:p>
    <w:p>
      <w:pPr>
        <w:pStyle w:val="ListBullet"/>
      </w:pPr>
      <w:r>
        <w:t>Results reported here are LLM-free and therefore partial.</w:t>
      </w:r>
    </w:p>
    <w:p>
      <w:pPr>
        <w:pStyle w:val="ListBullet"/>
      </w:pPr>
      <w:r>
        <w:t>The relation-bridging capability of the agentic method (acting on non-is-a FoodOn relations to close the not-under-food-product gap) is specified but not yet implemented.</w:t>
      </w:r>
    </w:p>
    <w:p>
      <w:pPr>
        <w:pStyle w:val="ListBullet"/>
      </w:pPr>
      <w:r>
        <w:t>The non-is-a relation index is a prototype loaded outside the production ontology pipeline; promoting it to the production loader is future work.</w:t>
      </w:r>
    </w:p>
    <w:p>
      <w:pPr>
        <w:pStyle w:val="ListBullet"/>
      </w:pPr>
      <w:r>
        <w:t>Two metrics require refinement (a discriminating coverage variant and a tier-aware findability variant), as identified in Section 6.3.</w:t>
      </w:r>
    </w:p>
    <w:p>
      <w:pPr>
        <w:pStyle w:val="ListBullet"/>
      </w:pPr>
      <w:r>
        <w:t>LLM-based methods are not bit-for-bit reproducible; the reproducibility metric quantifies, but does not remove, this variation.</w:t>
      </w:r>
    </w:p>
    <w:p>
      <w:pPr>
        <w:pStyle w:val="Heading1"/>
      </w:pPr>
      <w:r>
        <w:t>9  Conclusions and next steps</w:t>
      </w:r>
    </w:p>
    <w:p>
      <w:r>
        <w:rPr>
          <w:b w:val="0"/>
          <w:i w:val="0"/>
        </w:rPr>
        <w:t>A reproducible benchmarking framework for Layer A construction has been established, together with a catalogue of six construction methods spanning purely structural to LLM-agentic approaches, and the agentic method’s faithful core has been implemented and tested. Method selection will be evidence-based, driven by the scorecard rather than by argument. The immediate next steps are:</w:t>
      </w:r>
    </w:p>
    <w:p>
      <w:pPr>
        <w:pStyle w:val="ListNumber"/>
      </w:pPr>
      <w:r>
        <w:t>Execute the full evaluation with a configured LLM to populate the nameability, faithfulness, grouping, and agentic columns of the scorecard.</w:t>
      </w:r>
    </w:p>
    <w:p>
      <w:pPr>
        <w:pStyle w:val="ListNumber"/>
      </w:pPr>
      <w:r>
        <w:t>Implement the agentic relation-bridging increment to close the not-under-food-product coverage gap, with each bridged edge logged by relation type.</w:t>
      </w:r>
    </w:p>
    <w:p>
      <w:pPr>
        <w:pStyle w:val="ListNumber"/>
      </w:pPr>
      <w:r>
        <w:t>Refine the coverage and findability metrics per Section 6.3.</w:t>
      </w:r>
    </w:p>
    <w:p>
      <w:pPr>
        <w:pStyle w:val="ListNumber"/>
      </w:pPr>
      <w:r>
        <w:t>Select the balanced construction method from the completed scorecard.</w:t>
      </w:r>
    </w:p>
    <w:p>
      <w:pPr>
        <w:pStyle w:val="ListNumber"/>
      </w:pPr>
      <w:r>
        <w:t>Promote the selected method to the production construction path and, if warranted, the relation index to the production ontology loader.</w:t>
      </w:r>
    </w:p>
    <w:p>
      <w:r>
        <w:br w:type="page"/>
      </w:r>
    </w:p>
    <w:p>
      <w:pPr>
        <w:pStyle w:val="Heading1"/>
      </w:pPr>
      <w:r>
        <w:t>Appendix A  Metric definitions (summary)</w:t>
      </w:r>
    </w:p>
    <w:p>
      <w:pPr>
        <w:pStyle w:val="ListBullet"/>
      </w:pPr>
      <w:r>
        <w:t>Coverage = |homed mentioned leaves| / |mentioned leaves|.</w:t>
      </w:r>
    </w:p>
    <w:p>
      <w:pPr>
        <w:pStyle w:val="ListBullet"/>
      </w:pPr>
      <w:r>
        <w:t>Specificity = mean (and median) over homed leaves of the number of is-a steps from the leaf to its home node (0 if the leaf is itself a node).</w:t>
      </w:r>
    </w:p>
    <w:p>
      <w:pPr>
        <w:pStyle w:val="ListBullet"/>
      </w:pPr>
      <w:r>
        <w:t>Findability = over a held-out query set, the distribution (median, 90th percentile, fraction ≤ K) of root-to-home depths.</w:t>
      </w:r>
    </w:p>
    <w:p>
      <w:pPr>
        <w:pStyle w:val="ListBullet"/>
      </w:pPr>
      <w:r>
        <w:t>Nameability = fraction of a sampled label set judged recognisable.</w:t>
      </w:r>
    </w:p>
    <w:p>
      <w:pPr>
        <w:pStyle w:val="ListBullet"/>
      </w:pPr>
      <w:r>
        <w:t>Fan-out / Depth = maximum and median children per node / depth of homed leaves.</w:t>
      </w:r>
    </w:p>
    <w:p>
      <w:pPr>
        <w:pStyle w:val="ListBullet"/>
      </w:pPr>
      <w:r>
        <w:t>Faithfulness = fractional split of leaf placements into is-a, non-is-a-relation, and fabricated.</w:t>
      </w:r>
    </w:p>
    <w:p>
      <w:pPr>
        <w:pStyle w:val="ListBullet"/>
      </w:pPr>
      <w:r>
        <w:t>Reproducibility &amp; cost = LLM-call count; Jaccard overlap of node sets across two runs.</w:t>
      </w:r>
    </w:p>
    <w:p>
      <w:pPr>
        <w:pStyle w:val="Heading1"/>
      </w:pPr>
      <w:r>
        <w:t>Appendix B  Key configuration parameters (defaults)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Parameter</w:t>
            </w:r>
          </w:p>
        </w:tc>
        <w:tc>
          <w:tcPr>
            <w:tcW w:type="dxa" w:w="2880"/>
          </w:tcPr>
          <w:p>
            <w:r/>
            <w:r>
              <w:rPr>
                <w:b/>
              </w:rPr>
              <w:t>Default</w:t>
            </w:r>
          </w:p>
        </w:tc>
        <w:tc>
          <w:tcPr>
            <w:tcW w:type="dxa" w:w="2880"/>
          </w:tcPr>
          <w:p>
            <w:r/>
            <w:r>
              <w:rPr>
                <w:b/>
              </w:rPr>
              <w:t>Role</w:t>
            </w:r>
          </w:p>
        </w:tc>
      </w:tr>
      <w:tr>
        <w:tc>
          <w:tcPr>
            <w:tcW w:type="dxa" w:w="2880"/>
          </w:tcPr>
          <w:p>
            <w:r>
              <w:t>Minimum support to open a tier</w:t>
            </w:r>
          </w:p>
        </w:tc>
        <w:tc>
          <w:tcPr>
            <w:tcW w:type="dxa" w:w="2880"/>
          </w:tcPr>
          <w:p>
            <w:r>
              <w:t>25 chunks</w:t>
            </w:r>
          </w:p>
        </w:tc>
        <w:tc>
          <w:tcPr>
            <w:tcW w:type="dxa" w:w="2880"/>
          </w:tcPr>
          <w:p>
            <w:r>
              <w:t>Controls visibility of deeper tiers (1a+, agentic).</w:t>
            </w:r>
          </w:p>
        </w:tc>
      </w:tr>
      <w:tr>
        <w:tc>
          <w:tcPr>
            <w:tcW w:type="dxa" w:w="2880"/>
          </w:tcPr>
          <w:p>
            <w:r>
              <w:t>Maximum fan-out per parent</w:t>
            </w:r>
          </w:p>
        </w:tc>
        <w:tc>
          <w:tcPr>
            <w:tcW w:type="dxa" w:w="2880"/>
          </w:tcPr>
          <w:p>
            <w:r>
              <w:t>12</w:t>
            </w:r>
          </w:p>
        </w:tc>
        <w:tc>
          <w:tcPr>
            <w:tcW w:type="dxa" w:w="2880"/>
          </w:tcPr>
          <w:p>
            <w:r>
              <w:t>Bounds navigation width.</w:t>
            </w:r>
          </w:p>
        </w:tc>
      </w:tr>
      <w:tr>
        <w:tc>
          <w:tcPr>
            <w:tcW w:type="dxa" w:w="2880"/>
          </w:tcPr>
          <w:p>
            <w:r>
              <w:t>Maximum depth</w:t>
            </w:r>
          </w:p>
        </w:tc>
        <w:tc>
          <w:tcPr>
            <w:tcW w:type="dxa" w:w="2880"/>
          </w:tcPr>
          <w:p>
            <w:r>
              <w:t>6</w:t>
            </w:r>
          </w:p>
        </w:tc>
        <w:tc>
          <w:tcPr>
            <w:tcW w:type="dxa" w:w="2880"/>
          </w:tcPr>
          <w:p>
            <w:r>
              <w:t>Bounds navigation depth.</w:t>
            </w:r>
          </w:p>
        </w:tc>
      </w:tr>
      <w:tr>
        <w:tc>
          <w:tcPr>
            <w:tcW w:type="dxa" w:w="2880"/>
          </w:tcPr>
          <w:p>
            <w:r>
              <w:t>Findability query set size</w:t>
            </w:r>
          </w:p>
        </w:tc>
        <w:tc>
          <w:tcPr>
            <w:tcW w:type="dxa" w:w="2880"/>
          </w:tcPr>
          <w:p>
            <w:r>
              <w:t>~100</w:t>
            </w:r>
          </w:p>
        </w:tc>
        <w:tc>
          <w:tcPr>
            <w:tcW w:type="dxa" w:w="2880"/>
          </w:tcPr>
          <w:p>
            <w:r>
              <w:t>Stratified common/rare foods.</w:t>
            </w:r>
          </w:p>
        </w:tc>
      </w:tr>
      <w:tr>
        <w:tc>
          <w:tcPr>
            <w:tcW w:type="dxa" w:w="2880"/>
          </w:tcPr>
          <w:p>
            <w:r>
              <w:t>Nameability sample size</w:t>
            </w:r>
          </w:p>
        </w:tc>
        <w:tc>
          <w:tcPr>
            <w:tcW w:type="dxa" w:w="2880"/>
          </w:tcPr>
          <w:p>
            <w:r>
              <w:t>25</w:t>
            </w:r>
          </w:p>
        </w:tc>
        <w:tc>
          <w:tcPr>
            <w:tcW w:type="dxa" w:w="2880"/>
          </w:tcPr>
          <w:p>
            <w:r>
              <w:t>Labels judged per method.</w:t>
            </w:r>
          </w:p>
        </w:tc>
      </w:tr>
    </w:tbl>
    <w:p/>
    <w:p>
      <w:pPr>
        <w:pStyle w:val="Heading1"/>
      </w:pPr>
      <w:r>
        <w:t>Appendix C  Software manifest</w:t>
      </w:r>
    </w:p>
    <w:p>
      <w:pPr>
        <w:pStyle w:val="ListBullet"/>
      </w:pPr>
      <w:r>
        <w:t>Harness package: result representation, metric functions, scorecard renderer, and method adapters.</w:t>
      </w:r>
    </w:p>
    <w:p>
      <w:pPr>
        <w:pStyle w:val="ListBullet"/>
      </w:pPr>
      <w:r>
        <w:t>Agentic sub-package: OWL relation index, support roll-up, read-only graph tools, and the DFS decision loop.</w:t>
      </w:r>
    </w:p>
    <w:p>
      <w:pPr>
        <w:pStyle w:val="ListBullet"/>
      </w:pPr>
      <w:r>
        <w:t>Single evaluation notebook (regenerable from a build script) producing the scorecard, method trees, and decision audits.</w:t>
      </w:r>
    </w:p>
    <w:p>
      <w:pPr>
        <w:pStyle w:val="ListBullet"/>
      </w:pPr>
      <w:r>
        <w:t>Unit tests: 26 covering the harness and agentic components.</w:t>
      </w:r>
    </w:p>
    <w:p>
      <w:pPr>
        <w:pStyle w:val="ListBullet"/>
      </w:pPr>
      <w:r>
        <w:t>Design references: the Layer-A method bake-off brief and the two implementation plans (harness; agentic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