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2383" w14:textId="77777777" w:rsidR="009301D3" w:rsidRDefault="009301D3" w:rsidP="009301D3"/>
    <w:p w14:paraId="792E302E" w14:textId="3DE75AE1" w:rsidR="009301D3" w:rsidRDefault="009301D3" w:rsidP="009301D3">
      <w:r>
        <w:t xml:space="preserve">Basic explanation of an </w:t>
      </w:r>
      <w:r w:rsidR="003C4932">
        <w:t>SVCA</w:t>
      </w:r>
      <w:r>
        <w:t>:</w:t>
      </w:r>
    </w:p>
    <w:p w14:paraId="7BFB3B82" w14:textId="7C37CCDC" w:rsidR="009301D3" w:rsidRPr="00B92BF0" w:rsidRDefault="009301D3" w:rsidP="009301D3">
      <w:r>
        <w:t xml:space="preserve">The intuition behind how the </w:t>
      </w:r>
      <w:r w:rsidR="003C4932">
        <w:t>SVCA</w:t>
      </w:r>
      <w:r>
        <w:t xml:space="preserve"> learns and classifies data.  The </w:t>
      </w:r>
      <w:r w:rsidR="003C4932">
        <w:t>SVCA</w:t>
      </w:r>
      <w:r>
        <w:t xml:space="preserve"> can be defined as the following transformation of an input vector into the proper classification set C. </w:t>
      </w:r>
    </w:p>
    <w:p w14:paraId="7026F285" w14:textId="77777777" w:rsidR="009301D3" w:rsidRPr="00B92BF0" w:rsidRDefault="009301D3" w:rsidP="009301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: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=m×n,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=n×1,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=m×1,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2132C1BE" w14:textId="38183205" w:rsidR="009301D3" w:rsidRDefault="009301D3" w:rsidP="009301D3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3B6B231" w14:textId="40A33ACE" w:rsidR="009301D3" w:rsidRDefault="009301D3" w:rsidP="009301D3">
      <w:r>
        <w:t xml:space="preserve">Now that we have defined our prediction vector in terms of </w:t>
      </w:r>
      <w:proofErr w:type="spellStart"/>
      <w:r>
        <w:t>i</w:t>
      </w:r>
      <w:proofErr w:type="spellEnd"/>
      <w:r>
        <w:t xml:space="preserve"> </w:t>
      </w:r>
      <w:r w:rsidR="00091865">
        <w:t xml:space="preserve">orthonormal </w:t>
      </w:r>
      <w:r>
        <w:t>basis</w:t>
      </w:r>
      <w:r w:rsidR="00091865">
        <w:t xml:space="preserve"> vectors </w:t>
      </w:r>
      <w:r w:rsidR="00091865" w:rsidRPr="00091865">
        <w:rPr>
          <w:i/>
          <w:iCs/>
        </w:rPr>
        <w:t>e</w:t>
      </w:r>
      <w:r>
        <w:t xml:space="preserve">, we can define our prediction as the class mapped to the </w:t>
      </w:r>
      <w:r w:rsidR="00263D4C">
        <w:t xml:space="preserve">basis </w:t>
      </w:r>
      <w:r>
        <w:t>of our prediction vector with the largest</w:t>
      </w:r>
      <w:r w:rsidR="00263D4C">
        <w:t xml:space="preserve"> coefficient</w:t>
      </w:r>
      <w:r>
        <w:t>.</w:t>
      </w:r>
      <w:r w:rsidR="00263D4C">
        <w:t xml:space="preserve"> This can be done by looking at the linear map associated with each </w:t>
      </w:r>
      <w:r w:rsidR="003550BD">
        <w:t xml:space="preserve">basis </w:t>
      </w:r>
      <w:r w:rsidR="00263D4C">
        <w:t xml:space="preserve">and </w:t>
      </w:r>
      <w:r w:rsidR="003550BD">
        <w:t>comparing.</w:t>
      </w:r>
      <w:r w:rsidR="00263D4C">
        <w:t xml:space="preserve"> </w:t>
      </w:r>
    </w:p>
    <w:p w14:paraId="42DEEEAC" w14:textId="77777777" w:rsidR="009301D3" w:rsidRDefault="009301D3" w:rsidP="009301D3">
      <w:r>
        <w:t xml:space="preserve">Ex: Look at the graph below in which we observe a 2x1 p vector in purple. </w:t>
      </w:r>
    </w:p>
    <w:p w14:paraId="7D771379" w14:textId="77777777" w:rsidR="009301D3" w:rsidRDefault="009301D3" w:rsidP="009301D3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888F570" wp14:editId="793CA566">
                <wp:simplePos x="0" y="0"/>
                <wp:positionH relativeFrom="column">
                  <wp:posOffset>1588770</wp:posOffset>
                </wp:positionH>
                <wp:positionV relativeFrom="paragraph">
                  <wp:posOffset>1190625</wp:posOffset>
                </wp:positionV>
                <wp:extent cx="45720" cy="438912"/>
                <wp:effectExtent l="38100" t="38100" r="3048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 flipV="1">
                          <a:off x="0" y="0"/>
                          <a:ext cx="45720" cy="438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09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1pt;margin-top:93.75pt;width:3.6pt;height:34.55pt;rotation:5;flip:x 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A2207C" wp14:editId="34C4F436">
            <wp:extent cx="3248025" cy="20669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39438F-2E4B-1558-47B4-9259FC09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3304BD" w14:textId="77777777" w:rsidR="009301D3" w:rsidRDefault="009301D3" w:rsidP="009301D3">
      <w:r>
        <w:t xml:space="preserve">The red and blue vectors are orthogonal to one another and represent the basis vectors of our prediction vector. The </w:t>
      </w:r>
      <m:oMath>
        <m:r>
          <m:rPr>
            <m:sty m:val="p"/>
          </m:rPr>
          <w:rPr>
            <w:rFonts w:ascii="Cambria Math" w:hAnsi="Cambria Math"/>
          </w:rPr>
          <m:t xml:space="preserve">proj(p,X)&gt;proj(p,Y) </m:t>
        </m:r>
      </m:oMath>
      <w:r>
        <w:t>which means that the vector has a larger component in said X class vs the Y class.  Thus, our prediction vector “collapses” onto the X axis and the corresponding class is chosen.</w:t>
      </w:r>
    </w:p>
    <w:p w14:paraId="2C49A333" w14:textId="77777777" w:rsidR="009301D3" w:rsidRDefault="009301D3" w:rsidP="009301D3">
      <w:r>
        <w:rPr>
          <w:noProof/>
        </w:rPr>
        <w:drawing>
          <wp:inline distT="0" distB="0" distL="0" distR="0" wp14:anchorId="02D99A2E" wp14:editId="5A1DCFD3">
            <wp:extent cx="3248025" cy="206692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39438F-2E4B-1558-47B4-9259FC09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11A4B8" w14:textId="77777777" w:rsidR="00430E9F" w:rsidRDefault="00430E9F" w:rsidP="009301D3"/>
    <w:p w14:paraId="21DA6A71" w14:textId="5AECB499" w:rsidR="000A12C6" w:rsidRDefault="000A12C6" w:rsidP="009301D3"/>
    <w:sectPr w:rsidR="000A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3"/>
    <w:rsid w:val="00091865"/>
    <w:rsid w:val="00091DBB"/>
    <w:rsid w:val="000A12C6"/>
    <w:rsid w:val="000A3C1B"/>
    <w:rsid w:val="0023495A"/>
    <w:rsid w:val="00263D4C"/>
    <w:rsid w:val="00272F86"/>
    <w:rsid w:val="003550BD"/>
    <w:rsid w:val="003C4932"/>
    <w:rsid w:val="00430E9F"/>
    <w:rsid w:val="00473F3F"/>
    <w:rsid w:val="006537A2"/>
    <w:rsid w:val="006A566A"/>
    <w:rsid w:val="009301D3"/>
    <w:rsid w:val="00A364FB"/>
    <w:rsid w:val="00A778CF"/>
    <w:rsid w:val="00AE7C4D"/>
    <w:rsid w:val="00B5492B"/>
    <w:rsid w:val="00C769E2"/>
    <w:rsid w:val="00CA3C49"/>
    <w:rsid w:val="00E06A9A"/>
    <w:rsid w:val="00F42B0C"/>
    <w:rsid w:val="00FA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6AD0"/>
  <w15:chartTrackingRefBased/>
  <w15:docId w15:val="{2E7ABEA6-F76F-4F3B-AA73-B6D3A07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f53b8fe2b8abff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f53b8fe2b8abff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638888888888878E-2"/>
          <c:y val="0.10185185185185185"/>
          <c:w val="0.8178333333333333"/>
          <c:h val="0.6905172790901136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# of unpaired electrons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3.5</c:v>
                </c:pt>
                <c:pt idx="1">
                  <c:v>3.5</c:v>
                </c:pt>
                <c:pt idx="2">
                  <c:v>0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9D-4104-B605-622B3A17F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95280"/>
        <c:axId val="49494784"/>
      </c:scatterChart>
      <c:valAx>
        <c:axId val="43995280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</a:p>
            </c:rich>
          </c:tx>
          <c:layout>
            <c:manualLayout>
              <c:xMode val="edge"/>
              <c:yMode val="edge"/>
              <c:x val="0.87610871221742448"/>
              <c:y val="0.90418617027710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4784"/>
        <c:crosses val="autoZero"/>
        <c:crossBetween val="midCat"/>
      </c:valAx>
      <c:valAx>
        <c:axId val="49494784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</a:t>
                </a:r>
              </a:p>
            </c:rich>
          </c:tx>
          <c:layout>
            <c:manualLayout>
              <c:xMode val="edge"/>
              <c:yMode val="edge"/>
              <c:x val="0.36549133704328024"/>
              <c:y val="6.245558014925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528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638888888888878E-2"/>
          <c:y val="0.10185185185185185"/>
          <c:w val="0.8178333333333333"/>
          <c:h val="0.6905172790901136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# of unpaired electrons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3.5</c:v>
                </c:pt>
                <c:pt idx="1">
                  <c:v>3.5</c:v>
                </c:pt>
                <c:pt idx="2">
                  <c:v>0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8F-4228-AE19-775802A03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95280"/>
        <c:axId val="49494784"/>
      </c:scatterChart>
      <c:valAx>
        <c:axId val="43995280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</a:p>
            </c:rich>
          </c:tx>
          <c:layout>
            <c:manualLayout>
              <c:xMode val="edge"/>
              <c:yMode val="edge"/>
              <c:x val="0.87610871221742448"/>
              <c:y val="0.90418617027710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4784"/>
        <c:crosses val="autoZero"/>
        <c:crossBetween val="midCat"/>
      </c:valAx>
      <c:valAx>
        <c:axId val="49494784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</a:t>
                </a:r>
              </a:p>
            </c:rich>
          </c:tx>
          <c:layout>
            <c:manualLayout>
              <c:xMode val="edge"/>
              <c:yMode val="edge"/>
              <c:x val="0.36549133704328024"/>
              <c:y val="6.245558014925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528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0.4956</cdr:x>
      <cdr:y>0.56221</cdr:y>
    </cdr:from>
    <cdr:to>
      <cdr:x>0.77419</cdr:x>
      <cdr:y>0.79263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V="1">
          <a:off x="1609725" y="1162050"/>
          <a:ext cx="904875" cy="47625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7030A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0.4956</cdr:x>
      <cdr:y>0.78341</cdr:y>
    </cdr:from>
    <cdr:to>
      <cdr:x>0.77126</cdr:x>
      <cdr:y>0.79263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1609725" y="1619250"/>
          <a:ext cx="895350" cy="1905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0.49267</cdr:x>
      <cdr:y>0.78341</cdr:y>
    </cdr:from>
    <cdr:to>
      <cdr:x>0.78006</cdr:x>
      <cdr:y>0.78341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1600196" y="1619257"/>
          <a:ext cx="933454" cy="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7030A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08D6B4-8C1D-42A3-B6C4-1398AAE5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Hunt</dc:creator>
  <cp:keywords/>
  <dc:description/>
  <cp:lastModifiedBy>Ethan Hunt</cp:lastModifiedBy>
  <cp:revision>11</cp:revision>
  <dcterms:created xsi:type="dcterms:W3CDTF">2023-04-14T00:19:00Z</dcterms:created>
  <dcterms:modified xsi:type="dcterms:W3CDTF">2023-04-14T01:49:00Z</dcterms:modified>
</cp:coreProperties>
</file>