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uprawall_brand_guidelines"/>
      <w:r>
        <w:rPr>
          <w:b/>
          <w:sz w:val="56"/>
        </w:rPr>
        <w:t xml:space="preserve">SupraWall Brand Guidelines</w:t>
      </w:r>
      <w:bookmarkEnd w:id="0"/>
    </w:p>
    <w:p>
      <w:pPr>
        <w:spacing w:after="210" w:lineRule="auto"/>
      </w:pPr>
      <w:r>
        <w:rPr>
          <w:b/>
        </w:rPr>
        <w:t xml:space="preserve">Version 1.0 | March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introduction"/>
      <w:r>
        <w:rPr>
          <w:b/>
          <w:sz w:val="42"/>
        </w:rPr>
        <w:t xml:space="preserve">Introduction</w:t>
      </w:r>
      <w:bookmarkEnd w:id="1"/>
    </w:p>
    <w:p>
      <w:pPr>
        <w:spacing w:line="271" w:before="240" w:lineRule="auto"/>
      </w:pPr>
      <w:bookmarkStart w:id="2" w:name="brand_overview"/>
      <w:r>
        <w:rPr>
          <w:b/>
          <w:sz w:val="33"/>
        </w:rPr>
        <w:t xml:space="preserve">Brand Overview</w:t>
      </w:r>
      <w:bookmarkEnd w:id="2"/>
    </w:p>
    <w:p>
      <w:pPr>
        <w:spacing w:after="210" w:lineRule="auto"/>
      </w:pPr>
      <w:r>
        <w:rPr>
          <w:rFonts w:eastAsia="Georgia" w:cs="Georgia" w:ascii="Georgia" w:hAnsi="Georgia"/>
        </w:rPr>
        <w:t xml:space="preserve">SupraWall is the deterministic security layer for AI agents — a zero-trust middleware platform that intercepts, evaluates, and enforces hard policies on every tool call before execution. Our mission is to make AI agent deployment safe, compliant, and auditable for the agentic future.</w:t>
      </w:r>
    </w:p>
    <w:p>
      <w:pPr>
        <w:spacing w:line="271" w:before="240" w:lineRule="auto"/>
      </w:pPr>
      <w:bookmarkStart w:id="3" w:name="brand_positioning"/>
      <w:r>
        <w:rPr>
          <w:b/>
          <w:sz w:val="33"/>
        </w:rPr>
        <w:t xml:space="preserve">Brand Positioning</w:t>
      </w:r>
      <w:bookmarkEnd w:id="3"/>
    </w:p>
    <w:p>
      <w:pPr>
        <w:spacing w:after="210" w:lineRule="auto"/>
      </w:pPr>
      <w:r>
        <w:rPr/>
        <w:t xml:space="preserve">"The Deterministic Security Layer for AI Agents"</w:t>
      </w:r>
    </w:p>
    <w:p>
      <w:pPr>
        <w:spacing w:after="210" w:lineRule="auto"/>
      </w:pPr>
      <w:r>
        <w:rPr/>
        <w:t xml:space="preserve">SupraWall positions itself as enterprise-grade infrastructure for AI agent security, targeting technical teams building with LangChain, CrewAI, AutoGen, and Vercel AI. We are the governance layer that sits between AI agents and the real world.</w:t>
      </w:r>
    </w:p>
    <w:p>
      <w:pPr>
        <w:spacing w:line="271" w:before="240" w:lineRule="auto"/>
      </w:pPr>
      <w:bookmarkStart w:id="4" w:name="target_audience"/>
      <w:r>
        <w:rPr>
          <w:b/>
          <w:sz w:val="33"/>
        </w:rPr>
        <w:t xml:space="preserve">Target Audience</w:t>
      </w:r>
      <w:bookmarkEnd w:id="4"/>
    </w:p>
    <w:p>
      <w:pPr>
        <w:numPr>
          <w:ilvl w:val="0"/>
          <w:numId w:val="1"/>
        </w:numPr>
        <w:spacing w:lineRule="auto"/>
      </w:pPr>
      <w:r>
        <w:rPr/>
        <w:t xml:space="preserve">AI Engineers and Technical Leads building production AI agents</w:t>
      </w:r>
    </w:p>
    <w:p>
      <w:pPr>
        <w:numPr>
          <w:ilvl w:val="0"/>
          <w:numId w:val="1"/>
        </w:numPr>
        <w:spacing w:lineRule="auto"/>
      </w:pPr>
      <w:r>
        <w:rPr/>
        <w:t xml:space="preserve">DevOps teams deploying agentic systems</w:t>
      </w:r>
    </w:p>
    <w:p>
      <w:pPr>
        <w:numPr>
          <w:ilvl w:val="0"/>
          <w:numId w:val="1"/>
        </w:numPr>
        <w:spacing w:lineRule="auto"/>
      </w:pPr>
      <w:r>
        <w:rPr/>
        <w:t xml:space="preserve">Compliance officers managing EU AI Act requirements</w:t>
      </w:r>
    </w:p>
    <w:p>
      <w:pPr>
        <w:numPr>
          <w:ilvl w:val="0"/>
          <w:numId w:val="1"/>
        </w:numPr>
        <w:spacing w:lineRule="auto"/>
      </w:pPr>
      <w:r>
        <w:rPr/>
        <w:t xml:space="preserve">CTOs/Engineering Directors shipping LLM-based products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rand_identity"/>
      <w:r>
        <w:rPr>
          <w:b/>
          <w:sz w:val="42"/>
        </w:rPr>
        <w:t xml:space="preserve">Brand Identity</w:t>
      </w:r>
      <w:bookmarkEnd w:id="5"/>
    </w:p>
    <w:p>
      <w:pPr>
        <w:spacing w:line="271" w:before="240" w:lineRule="auto"/>
      </w:pPr>
      <w:bookmarkStart w:id="6" w:name="mission_statement"/>
      <w:r>
        <w:rPr>
          <w:b/>
          <w:sz w:val="33"/>
        </w:rPr>
        <w:t xml:space="preserve">Mission Statement</w:t>
      </w:r>
      <w:bookmarkEnd w:id="6"/>
    </w:p>
    <w:p>
      <w:pPr>
        <w:spacing w:after="210" w:lineRule="auto"/>
      </w:pPr>
      <w:r>
        <w:rPr>
          <w:rFonts w:eastAsia="Georgia" w:cs="Georgia" w:ascii="Georgia" w:hAnsi="Georgia"/>
        </w:rPr>
        <w:t xml:space="preserve">To provide deterministic, zero-trust security for AI agents — intercepting every tool call, enforcing hard policies, and generating compliance-ready audit logs in one line of code.</w:t>
      </w:r>
    </w:p>
    <w:p>
      <w:pPr>
        <w:spacing w:line="271" w:before="240" w:lineRule="auto"/>
      </w:pPr>
      <w:bookmarkStart w:id="7" w:name="vision"/>
      <w:r>
        <w:rPr>
          <w:b/>
          <w:sz w:val="33"/>
        </w:rPr>
        <w:t xml:space="preserve">Vision</w:t>
      </w:r>
      <w:bookmarkEnd w:id="7"/>
    </w:p>
    <w:p>
      <w:pPr>
        <w:spacing w:after="210" w:lineRule="auto"/>
      </w:pPr>
      <w:r>
        <w:rPr/>
        <w:t xml:space="preserve">A future where AI agents operate safely at scale, with governance enforced outside LLM context and human oversight built into every critical decision.</w:t>
      </w:r>
    </w:p>
    <w:p>
      <w:pPr>
        <w:spacing w:line="271" w:before="240" w:lineRule="auto"/>
      </w:pPr>
      <w:bookmarkStart w:id="8" w:name="core_values"/>
      <w:r>
        <w:rPr>
          <w:b/>
          <w:sz w:val="33"/>
        </w:rPr>
        <w:t xml:space="preserve">Core Values</w:t>
      </w:r>
      <w:bookmarkEnd w:id="8"/>
    </w:p>
    <w:p>
      <w:pPr>
        <w:numPr>
          <w:ilvl w:val="0"/>
          <w:numId w:val="2"/>
        </w:numPr>
        <w:spacing w:lineRule="auto"/>
      </w:pPr>
      <w:r>
        <w:rPr>
          <w:b/>
        </w:rPr>
        <w:t xml:space="preserve">Deterministic Protection</w:t>
      </w:r>
      <w:r>
        <w:rPr>
          <w:rFonts w:eastAsia="Georgia" w:cs="Georgia" w:ascii="Georgia" w:hAnsi="Georgia"/>
        </w:rPr>
        <w:t xml:space="preserve"> — Hard-coded security rules, not probabilistic LLM instructions</w:t>
      </w:r>
    </w:p>
    <w:p>
      <w:pPr>
        <w:numPr>
          <w:ilvl w:val="0"/>
          <w:numId w:val="2"/>
        </w:numPr>
        <w:spacing w:lineRule="auto"/>
      </w:pPr>
      <w:r>
        <w:rPr>
          <w:b/>
        </w:rPr>
        <w:t xml:space="preserve">Developer-First</w:t>
      </w:r>
      <w:r>
        <w:rPr>
          <w:rFonts w:eastAsia="Georgia" w:cs="Georgia" w:ascii="Georgia" w:hAnsi="Georgia"/>
        </w:rPr>
        <w:t xml:space="preserve"> — Integration in one line of code, works with existing stacks</w:t>
      </w:r>
    </w:p>
    <w:p>
      <w:pPr>
        <w:numPr>
          <w:ilvl w:val="0"/>
          <w:numId w:val="2"/>
        </w:numPr>
        <w:spacing w:lineRule="auto"/>
      </w:pPr>
      <w:r>
        <w:rPr>
          <w:b/>
        </w:rPr>
        <w:t xml:space="preserve">Compliance by Design</w:t>
      </w:r>
      <w:r>
        <w:rPr>
          <w:rFonts w:eastAsia="Georgia" w:cs="Georgia" w:ascii="Georgia" w:hAnsi="Georgia"/>
        </w:rPr>
        <w:t xml:space="preserve"> — Built for EU AI Act auditors from day one</w:t>
      </w:r>
    </w:p>
    <w:p>
      <w:pPr>
        <w:numPr>
          <w:ilvl w:val="0"/>
          <w:numId w:val="2"/>
        </w:numPr>
        <w:spacing w:lineRule="auto"/>
      </w:pPr>
      <w:r>
        <w:rPr>
          <w:b/>
        </w:rPr>
        <w:t xml:space="preserve">Radical Transparency</w:t>
      </w:r>
      <w:r>
        <w:rPr>
          <w:rFonts w:eastAsia="Georgia" w:cs="Georgia" w:ascii="Georgia" w:hAnsi="Georgia"/>
        </w:rPr>
        <w:t xml:space="preserve"> — Every decision signed, timestamped, and exportable</w:t>
      </w:r>
    </w:p>
    <w:p>
      <w:pPr>
        <w:numPr>
          <w:ilvl w:val="0"/>
          <w:numId w:val="2"/>
        </w:numPr>
        <w:spacing w:lineRule="auto"/>
      </w:pPr>
      <w:r>
        <w:rPr>
          <w:b/>
        </w:rPr>
        <w:t xml:space="preserve">Zero Trust</w:t>
      </w:r>
      <w:r>
        <w:rPr>
          <w:rFonts w:eastAsia="Georgia" w:cs="Georgia" w:ascii="Georgia" w:hAnsi="Georgia"/>
        </w:rPr>
        <w:t xml:space="preserve"> — Intercept first, execute only after policy approval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rand_voice_and_tone"/>
      <w:r>
        <w:rPr>
          <w:b/>
          <w:sz w:val="42"/>
        </w:rPr>
        <w:t xml:space="preserve">Brand Voice and Tone</w:t>
      </w:r>
      <w:bookmarkEnd w:id="9"/>
    </w:p>
    <w:p>
      <w:pPr>
        <w:spacing w:line="271" w:before="240" w:lineRule="auto"/>
      </w:pPr>
      <w:bookmarkStart w:id="10" w:name="voice_characteristics"/>
      <w:r>
        <w:rPr>
          <w:b/>
          <w:sz w:val="33"/>
        </w:rPr>
        <w:t xml:space="preserve">Voice Characteristics</w:t>
      </w:r>
      <w:bookmarkEnd w:id="10"/>
    </w:p>
    <w:p>
      <w:pPr>
        <w:spacing w:after="210" w:lineRule="auto"/>
      </w:pPr>
      <w:r>
        <w:rPr>
          <w:b/>
        </w:rPr>
        <w:t xml:space="preserve">Technical but Accessible</w:t>
      </w:r>
      <w:r>
        <w:rPr/>
        <w:br w:type="textWrapping"/>
      </w:r>
      <w:r>
        <w:rPr/>
        <w:t xml:space="preserve">We speak engineer-to-engineer. Our copy assumes technical competence while remaining jargon-free where possible. We explain complex security concepts with clarity and precision.</w:t>
      </w:r>
    </w:p>
    <w:p>
      <w:pPr>
        <w:spacing w:after="210" w:lineRule="auto"/>
      </w:pPr>
      <w:r>
        <w:rPr>
          <w:b/>
        </w:rPr>
        <w:t xml:space="preserve">Confident and Direct</w:t>
      </w:r>
      <w:r>
        <w:rPr/>
        <w:br w:type="textWrapping"/>
      </w:r>
      <w:r>
        <w:rPr/>
        <w:t xml:space="preserve">We don't hedge. Our messaging is assertive: "Your AI Agent Will Go Rogue. SupraWall Makes Sure It Can't." We lead with the painful truth, then offer the definitive solution.</w:t>
      </w:r>
    </w:p>
    <w:p>
      <w:pPr>
        <w:spacing w:after="210" w:lineRule="auto"/>
      </w:pPr>
      <w:r>
        <w:rPr>
          <w:b/>
        </w:rPr>
        <w:t xml:space="preserve">Urgent but Professional</w:t>
      </w:r>
      <w:r>
        <w:rPr/>
        <w:br w:type="textWrapping"/>
      </w:r>
      <w:r>
        <w:rPr/>
        <w:t xml:space="preserve">We acknowledge the real risks (prompt injection failures, production database deletions, compliance penalties) without fear-mongering. The tone balances urgency with credibility.</w:t>
      </w:r>
    </w:p>
    <w:p>
      <w:pPr>
        <w:spacing w:after="210" w:lineRule="auto"/>
      </w:pPr>
      <w:r>
        <w:rPr>
          <w:b/>
        </w:rPr>
        <w:t xml:space="preserve">Evidence-Based</w:t>
      </w:r>
      <w:r>
        <w:rPr/>
        <w:br w:type="textWrapping"/>
      </w:r>
      <w:r>
        <w:rPr/>
        <w:t xml:space="preserve">We cite real incidents ($47M lost in Amazon Kiro agent failure, 94% prompt injection bypass rate) and reference specific regulatory requirements (EU AI Act Articles 9, 13, 14).</w:t>
      </w:r>
    </w:p>
    <w:p>
      <w:pPr>
        <w:spacing w:line="271" w:before="240" w:lineRule="auto"/>
      </w:pPr>
      <w:bookmarkStart w:id="11" w:name="tone_guidelines"/>
      <w:r>
        <w:rPr>
          <w:b/>
          <w:sz w:val="33"/>
        </w:rPr>
        <w:t xml:space="preserve">Tone Guidelines</w:t>
      </w:r>
      <w:bookmarkEnd w:id="11"/>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Do</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Don't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Example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Use active voice</w:t>
            </w:r>
          </w:p>
        </w:tc>
        <w:tc>
          <w:tcPr>
            <w:tcBorders>
              <w:bottom w:val="single" w:sz="8" w:space="0" w:color="000000"/>
              <w:right w:val="single" w:sz="8" w:space="0" w:color="000000"/>
            </w:tcBorders>
            <w:vAlign w:val="center"/>
          </w:tcPr>
          <w:p>
            <w:pPr>
              <w:spacing w:lineRule="auto"/>
              <w:jc w:val="left"/>
            </w:pPr>
            <w:r>
              <w:rPr/>
              <w:t xml:space="preserve">Use passive voice</w:t>
            </w:r>
          </w:p>
        </w:tc>
        <w:tc>
          <w:tcPr>
            <w:tcBorders>
              <w:bottom w:val="single" w:sz="8" w:space="0" w:color="000000"/>
              <w:right w:val="single" w:sz="8" w:space="0" w:color="000000"/>
            </w:tcBorders>
            <w:vAlign w:val="center"/>
          </w:tcPr>
          <w:p>
            <w:pPr>
              <w:spacing w:lineRule="auto"/>
              <w:jc w:val="left"/>
            </w:pPr>
            <w:r>
              <w:rPr/>
              <w:t xml:space="preserve">"SupraWall blocks the call" not "The call is blocked"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State facts clearly</w:t>
            </w:r>
          </w:p>
        </w:tc>
        <w:tc>
          <w:tcPr>
            <w:tcBorders>
              <w:bottom w:val="single" w:sz="8" w:space="0" w:color="000000"/>
              <w:right w:val="single" w:sz="8" w:space="0" w:color="000000"/>
            </w:tcBorders>
            <w:vAlign w:val="center"/>
          </w:tcPr>
          <w:p>
            <w:pPr>
              <w:spacing w:lineRule="auto"/>
              <w:jc w:val="left"/>
            </w:pPr>
            <w:r>
              <w:rPr/>
              <w:t xml:space="preserve">Oversell or hype</w:t>
            </w:r>
          </w:p>
        </w:tc>
        <w:tc>
          <w:tcPr>
            <w:tcBorders>
              <w:bottom w:val="single" w:sz="8" w:space="0" w:color="000000"/>
              <w:right w:val="single" w:sz="8" w:space="0" w:color="000000"/>
            </w:tcBorders>
            <w:vAlign w:val="center"/>
          </w:tcPr>
          <w:p>
            <w:pPr>
              <w:spacing w:lineRule="auto"/>
              <w:jc w:val="left"/>
            </w:pPr>
            <w:r>
              <w:rPr/>
              <w:t xml:space="preserve">"Intercepts every tool call" not "Revolutionary AI protection"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Address pain points</w:t>
            </w:r>
          </w:p>
        </w:tc>
        <w:tc>
          <w:tcPr>
            <w:tcBorders>
              <w:bottom w:val="single" w:sz="8" w:space="0" w:color="000000"/>
              <w:right w:val="single" w:sz="8" w:space="0" w:color="000000"/>
            </w:tcBorders>
            <w:vAlign w:val="center"/>
          </w:tcPr>
          <w:p>
            <w:pPr>
              <w:spacing w:lineRule="auto"/>
              <w:jc w:val="left"/>
            </w:pPr>
            <w:r>
              <w:rPr/>
              <w:t xml:space="preserve">Ignore real risks</w:t>
            </w:r>
          </w:p>
        </w:tc>
        <w:tc>
          <w:tcPr>
            <w:tcBorders>
              <w:bottom w:val="single" w:sz="8" w:space="0" w:color="000000"/>
              <w:right w:val="single" w:sz="8" w:space="0" w:color="000000"/>
            </w:tcBorders>
            <w:vAlign w:val="center"/>
          </w:tcPr>
          <w:p>
            <w:pPr>
              <w:spacing w:lineRule="auto"/>
              <w:jc w:val="left"/>
            </w:pPr>
            <w:r>
              <w:rPr/>
              <w:t xml:space="preserve">"System prompts fail 94% of the time"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Explain technical details</w:t>
            </w:r>
          </w:p>
        </w:tc>
        <w:tc>
          <w:tcPr>
            <w:tcBorders>
              <w:bottom w:val="single" w:sz="8" w:space="0" w:color="000000"/>
              <w:right w:val="single" w:sz="8" w:space="0" w:color="000000"/>
            </w:tcBorders>
            <w:vAlign w:val="center"/>
          </w:tcPr>
          <w:p>
            <w:pPr>
              <w:spacing w:lineRule="auto"/>
              <w:jc w:val="left"/>
            </w:pPr>
            <w:r>
              <w:rPr/>
              <w:t xml:space="preserve">Oversimplify</w:t>
            </w:r>
          </w:p>
        </w:tc>
        <w:tc>
          <w:tcPr>
            <w:tcBorders>
              <w:bottom w:val="single" w:sz="8" w:space="0" w:color="000000"/>
              <w:right w:val="single" w:sz="8" w:space="0" w:color="000000"/>
            </w:tcBorders>
            <w:vAlign w:val="center"/>
          </w:tcPr>
          <w:p>
            <w:pPr>
              <w:spacing w:lineRule="auto"/>
              <w:jc w:val="left"/>
            </w:pPr>
            <w:r>
              <w:rPr/>
              <w:t xml:space="preserve">"Deterministic middleware" not "Smart AI guard"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Use concrete examples</w:t>
            </w:r>
          </w:p>
        </w:tc>
        <w:tc>
          <w:tcPr>
            <w:tcBorders>
              <w:bottom w:val="single" w:sz="8" w:space="0" w:color="000000"/>
              <w:right w:val="single" w:sz="8" w:space="0" w:color="000000"/>
            </w:tcBorders>
            <w:vAlign w:val="center"/>
          </w:tcPr>
          <w:p>
            <w:pPr>
              <w:spacing w:lineRule="auto"/>
              <w:jc w:val="left"/>
            </w:pPr>
            <w:r>
              <w:rPr/>
              <w:t xml:space="preserve">Stay abstract</w:t>
            </w:r>
          </w:p>
        </w:tc>
        <w:tc>
          <w:tcPr>
            <w:tcBorders>
              <w:bottom w:val="single" w:sz="8" w:space="0" w:color="000000"/>
              <w:right w:val="single" w:sz="8" w:space="0" w:color="000000"/>
            </w:tcBorders>
            <w:vAlign w:val="center"/>
          </w:tcPr>
          <w:p>
            <w:pPr>
              <w:spacing w:lineRule="auto"/>
              <w:jc w:val="left"/>
            </w:pPr>
            <w:r>
              <w:rPr/>
              <w:t xml:space="preserve">"deleted 847 instances" vs "caused damage"</w:t>
            </w:r>
          </w:p>
        </w:tc>
      </w:tr>
    </w:tbl>
    <w:p>
      <w:pPr>
        <w:spacing w:lineRule="auto"/>
      </w:pPr>
    </w:p>
    <w:p>
      <w:pPr>
        <w:spacing w:lineRule="auto"/>
      </w:pPr>
      <w:r>
        <w:rPr/>
        <w:t xml:space="preserve">Table 1: Voice and tone guidelines</w:t>
      </w:r>
    </w:p>
    <w:p>
      <w:pPr>
        <w:spacing w:line="271" w:before="240" w:lineRule="auto"/>
      </w:pPr>
      <w:bookmarkStart w:id="12" w:name="writing_principles"/>
      <w:r>
        <w:rPr>
          <w:b/>
          <w:sz w:val="33"/>
        </w:rPr>
        <w:t xml:space="preserve">Writing Principles</w:t>
      </w:r>
      <w:bookmarkEnd w:id="12"/>
    </w:p>
    <w:p>
      <w:pPr>
        <w:numPr>
          <w:ilvl w:val="0"/>
          <w:numId w:val="3"/>
        </w:numPr>
        <w:spacing w:lineRule="auto"/>
      </w:pPr>
      <w:r>
        <w:rPr>
          <w:b/>
        </w:rPr>
        <w:t xml:space="preserve">Lead with the problem</w:t>
      </w:r>
      <w:r>
        <w:rPr/>
        <w:t xml:space="preserve">: Start with the painful reality developers face</w:t>
      </w:r>
    </w:p>
    <w:p>
      <w:pPr>
        <w:numPr>
          <w:ilvl w:val="0"/>
          <w:numId w:val="3"/>
        </w:numPr>
        <w:spacing w:lineRule="auto"/>
      </w:pPr>
      <w:r>
        <w:rPr>
          <w:b/>
        </w:rPr>
        <w:t xml:space="preserve">Show, don't just tell</w:t>
      </w:r>
      <w:r>
        <w:rPr/>
        <w:t xml:space="preserve">: Use code snippets, specific incidents, and compliance article references</w:t>
      </w:r>
    </w:p>
    <w:p>
      <w:pPr>
        <w:numPr>
          <w:ilvl w:val="0"/>
          <w:numId w:val="3"/>
        </w:numPr>
        <w:spacing w:lineRule="auto"/>
      </w:pPr>
      <w:r>
        <w:rPr>
          <w:b/>
        </w:rPr>
        <w:t xml:space="preserve">Be developer-friendly</w:t>
      </w:r>
      <w:r>
        <w:rPr/>
        <w:t xml:space="preserve">: Write for people who read documentation and value precision</w:t>
      </w:r>
    </w:p>
    <w:p>
      <w:pPr>
        <w:numPr>
          <w:ilvl w:val="0"/>
          <w:numId w:val="3"/>
        </w:numPr>
        <w:spacing w:lineRule="auto"/>
      </w:pPr>
      <w:r>
        <w:rPr>
          <w:b/>
        </w:rPr>
        <w:t xml:space="preserve">Avoid marketing fluff</w:t>
      </w:r>
      <w:r>
        <w:rPr/>
        <w:t xml:space="preserve">: No buzzwords, superlatives without evidence, or vague promises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key_messaging"/>
      <w:r>
        <w:rPr>
          <w:b/>
          <w:sz w:val="42"/>
        </w:rPr>
        <w:t xml:space="preserve">Key Messaging</w:t>
      </w:r>
      <w:bookmarkEnd w:id="13"/>
    </w:p>
    <w:p>
      <w:pPr>
        <w:spacing w:line="271" w:before="240" w:lineRule="auto"/>
      </w:pPr>
      <w:bookmarkStart w:id="14" w:name="primary_tagline"/>
      <w:r>
        <w:rPr>
          <w:b/>
          <w:sz w:val="33"/>
        </w:rPr>
        <w:t xml:space="preserve">Primary Tagline</w:t>
      </w:r>
      <w:bookmarkEnd w:id="14"/>
    </w:p>
    <w:p>
      <w:pPr>
        <w:spacing w:after="210" w:lineRule="auto"/>
      </w:pPr>
      <w:r>
        <w:rPr/>
        <w:t xml:space="preserve">"The Deterministic Security Layer for AI Agents"</w:t>
      </w:r>
    </w:p>
    <w:p>
      <w:pPr>
        <w:spacing w:line="271" w:before="240" w:lineRule="auto"/>
      </w:pPr>
      <w:bookmarkStart w:id="15" w:name="secondary_messaging"/>
      <w:r>
        <w:rPr>
          <w:b/>
          <w:sz w:val="33"/>
        </w:rPr>
        <w:t xml:space="preserve">Secondary Messaging</w:t>
      </w:r>
      <w:bookmarkEnd w:id="15"/>
    </w:p>
    <w:p>
      <w:pPr>
        <w:spacing w:after="210" w:lineRule="auto"/>
      </w:pPr>
      <w:r>
        <w:rPr>
          <w:b/>
        </w:rPr>
        <w:t xml:space="preserve">Problem-Focused Headlines:</w:t>
      </w:r>
    </w:p>
    <w:p>
      <w:pPr>
        <w:numPr>
          <w:ilvl w:val="0"/>
          <w:numId w:val="4"/>
        </w:numPr>
        <w:spacing w:lineRule="auto"/>
      </w:pPr>
      <w:r>
        <w:rPr/>
        <w:t xml:space="preserve">"Your AI Agent Will Go Rogue. SupraWall Makes Sure It Can't."</w:t>
      </w:r>
    </w:p>
    <w:p>
      <w:pPr>
        <w:numPr>
          <w:ilvl w:val="0"/>
          <w:numId w:val="4"/>
        </w:numPr>
        <w:spacing w:lineRule="auto"/>
      </w:pPr>
      <w:r>
        <w:rPr/>
        <w:t xml:space="preserve">"System prompts are not a security layer."</w:t>
      </w:r>
    </w:p>
    <w:p>
      <w:pPr>
        <w:numPr>
          <w:ilvl w:val="0"/>
          <w:numId w:val="4"/>
        </w:numPr>
        <w:spacing w:lineRule="auto"/>
      </w:pPr>
      <w:r>
        <w:rPr/>
        <w:t xml:space="preserve">"Stop dreading the audit."</w:t>
      </w:r>
    </w:p>
    <w:p>
      <w:pPr>
        <w:spacing w:after="210" w:lineRule="auto"/>
      </w:pPr>
      <w:r>
        <w:rPr>
          <w:b/>
        </w:rPr>
        <w:t xml:space="preserve">Value Propositions:</w:t>
      </w:r>
    </w:p>
    <w:p>
      <w:pPr>
        <w:numPr>
          <w:ilvl w:val="0"/>
          <w:numId w:val="5"/>
        </w:numPr>
        <w:spacing w:lineRule="auto"/>
      </w:pPr>
      <w:r>
        <w:rPr/>
        <w:t xml:space="preserve">Zero-trust security for AI agents</w:t>
      </w:r>
    </w:p>
    <w:p>
      <w:pPr>
        <w:numPr>
          <w:ilvl w:val="0"/>
          <w:numId w:val="5"/>
        </w:numPr>
        <w:spacing w:lineRule="auto"/>
      </w:pPr>
      <w:r>
        <w:rPr/>
        <w:t xml:space="preserve">Intercept every tool call before execution</w:t>
      </w:r>
    </w:p>
    <w:p>
      <w:pPr>
        <w:numPr>
          <w:ilvl w:val="0"/>
          <w:numId w:val="5"/>
        </w:numPr>
        <w:spacing w:lineRule="auto"/>
      </w:pPr>
      <w:r>
        <w:rPr/>
        <w:t xml:space="preserve">Enforce hard policies outside LLM context</w:t>
      </w:r>
    </w:p>
    <w:p>
      <w:pPr>
        <w:numPr>
          <w:ilvl w:val="0"/>
          <w:numId w:val="5"/>
        </w:numPr>
        <w:spacing w:lineRule="auto"/>
      </w:pPr>
      <w:r>
        <w:rPr/>
        <w:t xml:space="preserve">Generate EU AI Act-ready compliance reports</w:t>
      </w:r>
    </w:p>
    <w:p>
      <w:pPr>
        <w:numPr>
          <w:ilvl w:val="0"/>
          <w:numId w:val="5"/>
        </w:numPr>
        <w:spacing w:lineRule="auto"/>
      </w:pPr>
      <w:r>
        <w:rPr/>
        <w:t xml:space="preserve">Integration in one line of code</w:t>
      </w:r>
    </w:p>
    <w:p>
      <w:pPr>
        <w:spacing w:line="271" w:before="240" w:lineRule="auto"/>
      </w:pPr>
      <w:bookmarkStart w:id="16" w:name="proof_points"/>
      <w:r>
        <w:rPr>
          <w:b/>
          <w:sz w:val="33"/>
        </w:rPr>
        <w:t xml:space="preserve">Proof Points</w:t>
      </w:r>
      <w:bookmarkEnd w:id="16"/>
    </w:p>
    <w:p>
      <w:pPr>
        <w:numPr>
          <w:ilvl w:val="0"/>
          <w:numId w:val="6"/>
        </w:numPr>
        <w:spacing w:lineRule="auto"/>
      </w:pPr>
      <w:r>
        <w:rPr>
          <w:rFonts w:eastAsia="Georgia" w:cs="Georgia" w:ascii="Georgia" w:hAnsi="Georgia"/>
        </w:rPr>
        <w:t xml:space="preserve">$47M lost — Amazon Kiro agent deleted 847 instances</w:t>
      </w:r>
    </w:p>
    <w:p>
      <w:pPr>
        <w:numPr>
          <w:ilvl w:val="0"/>
          <w:numId w:val="6"/>
        </w:numPr>
        <w:spacing w:lineRule="auto"/>
      </w:pPr>
      <w:r>
        <w:rPr>
          <w:rFonts w:eastAsia="Georgia" w:cs="Georgia" w:ascii="Georgia" w:hAnsi="Georgia"/>
        </w:rPr>
        <w:t xml:space="preserve">94% failure rate — Prompt injections bypass system prompts</w:t>
      </w:r>
    </w:p>
    <w:p>
      <w:pPr>
        <w:numPr>
          <w:ilvl w:val="0"/>
          <w:numId w:val="6"/>
        </w:numPr>
        <w:spacing w:lineRule="auto"/>
      </w:pPr>
      <w:r>
        <w:rPr>
          <w:rFonts w:eastAsia="Georgia" w:cs="Georgia" w:ascii="Georgia" w:hAnsi="Georgia"/>
        </w:rPr>
        <w:t xml:space="preserve">EU AI Act Article 9 — Requires documented human oversight</w:t>
      </w:r>
    </w:p>
    <w:p>
      <w:pPr>
        <w:numPr>
          <w:ilvl w:val="0"/>
          <w:numId w:val="6"/>
        </w:numPr>
        <w:spacing w:lineRule="auto"/>
      </w:pPr>
      <w:r>
        <w:rPr/>
        <w:t xml:space="preserve">Trusted by teams shipping LangChain, CrewAI, AutoGen, and Vercel AI to production</w:t>
      </w:r>
    </w:p>
    <w:p>
      <w:pPr>
        <w:spacing w:line="271" w:before="240" w:lineRule="auto"/>
      </w:pPr>
      <w:bookmarkStart w:id="17" w:name="feature_naming_conventions"/>
      <w:r>
        <w:rPr>
          <w:b/>
          <w:sz w:val="33"/>
        </w:rPr>
        <w:t xml:space="preserve">Feature Naming Conventions</w:t>
      </w:r>
      <w:bookmarkEnd w:id="17"/>
    </w:p>
    <w:p>
      <w:pPr>
        <w:spacing w:after="210" w:lineRule="auto"/>
      </w:pPr>
      <w:r>
        <w:rPr/>
        <w:t xml:space="preserve">Features use clear, technical descriptors:</w:t>
      </w:r>
    </w:p>
    <w:p>
      <w:pPr>
        <w:numPr>
          <w:ilvl w:val="0"/>
          <w:numId w:val="7"/>
        </w:numPr>
        <w:spacing w:lineRule="auto"/>
      </w:pPr>
      <w:r>
        <w:rPr/>
        <w:t xml:space="preserve">Zero-Trust Tool Interception</w:t>
      </w:r>
    </w:p>
    <w:p>
      <w:pPr>
        <w:numPr>
          <w:ilvl w:val="0"/>
          <w:numId w:val="7"/>
        </w:numPr>
        <w:spacing w:lineRule="auto"/>
      </w:pPr>
      <w:r>
        <w:rPr/>
        <w:t xml:space="preserve">Hard Budget Caps</w:t>
      </w:r>
    </w:p>
    <w:p>
      <w:pPr>
        <w:numPr>
          <w:ilvl w:val="0"/>
          <w:numId w:val="7"/>
        </w:numPr>
        <w:spacing w:lineRule="auto"/>
      </w:pPr>
      <w:r>
        <w:rPr/>
        <w:t xml:space="preserve">Infinite Loop Circuit Breaker</w:t>
      </w:r>
    </w:p>
    <w:p>
      <w:pPr>
        <w:numPr>
          <w:ilvl w:val="0"/>
          <w:numId w:val="7"/>
        </w:numPr>
        <w:spacing w:lineRule="auto"/>
      </w:pPr>
      <w:r>
        <w:rPr/>
        <w:t xml:space="preserve">Human-in-the-Loop Approvals</w:t>
      </w:r>
    </w:p>
    <w:p>
      <w:pPr>
        <w:numPr>
          <w:ilvl w:val="0"/>
          <w:numId w:val="7"/>
        </w:numPr>
        <w:spacing w:lineRule="auto"/>
      </w:pPr>
      <w:r>
        <w:rPr/>
        <w:t xml:space="preserve">Compliance Report Export</w:t>
      </w:r>
    </w:p>
    <w:p>
      <w:pPr>
        <w:numPr>
          <w:ilvl w:val="0"/>
          <w:numId w:val="7"/>
        </w:numPr>
        <w:spacing w:lineRule="auto"/>
      </w:pPr>
      <w:r>
        <w:rPr/>
        <w:t xml:space="preserve">EU AI Act Compliance Dashboard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visual_identity"/>
      <w:r>
        <w:rPr>
          <w:b/>
          <w:sz w:val="42"/>
        </w:rPr>
        <w:t xml:space="preserve">Visual Identity</w:t>
      </w:r>
      <w:bookmarkEnd w:id="18"/>
    </w:p>
    <w:p>
      <w:pPr>
        <w:spacing w:line="271" w:before="240" w:lineRule="auto"/>
      </w:pPr>
      <w:bookmarkStart w:id="19" w:name="logo_usage"/>
      <w:r>
        <w:rPr>
          <w:b/>
          <w:sz w:val="33"/>
        </w:rPr>
        <w:t xml:space="preserve">Logo Usage</w:t>
      </w:r>
      <w:bookmarkEnd w:id="19"/>
    </w:p>
    <w:p>
      <w:pPr>
        <w:spacing w:after="210" w:lineRule="auto"/>
      </w:pPr>
      <w:r>
        <w:rPr>
          <w:b/>
        </w:rPr>
        <w:t xml:space="preserve">Primary Logo</w:t>
      </w:r>
      <w:r>
        <w:rPr/>
        <w:br w:type="textWrapping"/>
      </w:r>
      <w:r>
        <w:rPr/>
        <w:t xml:space="preserve">The SupraWall wordmark serves as the primary brand identifier. The logo should be used consistently across all brand touchpoints.</w:t>
      </w:r>
    </w:p>
    <w:p>
      <w:pPr>
        <w:spacing w:after="210" w:lineRule="auto"/>
      </w:pPr>
      <w:r>
        <w:rPr>
          <w:b/>
        </w:rPr>
        <w:t xml:space="preserve">Logo Guidelines:</w:t>
      </w:r>
    </w:p>
    <w:p>
      <w:pPr>
        <w:numPr>
          <w:ilvl w:val="0"/>
          <w:numId w:val="8"/>
        </w:numPr>
        <w:spacing w:lineRule="auto"/>
      </w:pPr>
      <w:r>
        <w:rPr/>
        <w:t xml:space="preserve">Maintain clear space around the logo equal to the height of the "S" in SupraWall</w:t>
      </w:r>
    </w:p>
    <w:p>
      <w:pPr>
        <w:numPr>
          <w:ilvl w:val="0"/>
          <w:numId w:val="8"/>
        </w:numPr>
        <w:spacing w:lineRule="auto"/>
      </w:pPr>
      <w:r>
        <w:rPr/>
        <w:t xml:space="preserve">Do not stretch, rotate, or distort the logo</w:t>
      </w:r>
    </w:p>
    <w:p>
      <w:pPr>
        <w:numPr>
          <w:ilvl w:val="0"/>
          <w:numId w:val="8"/>
        </w:numPr>
        <w:spacing w:lineRule="auto"/>
      </w:pPr>
      <w:r>
        <w:rPr/>
        <w:t xml:space="preserve">Do not add effects, shadows, or outlines to the logo</w:t>
      </w:r>
    </w:p>
    <w:p>
      <w:pPr>
        <w:numPr>
          <w:ilvl w:val="0"/>
          <w:numId w:val="8"/>
        </w:numPr>
        <w:spacing w:lineRule="auto"/>
      </w:pPr>
      <w:r>
        <w:rPr/>
        <w:t xml:space="preserve">Use approved color variations only</w:t>
      </w:r>
    </w:p>
    <w:p>
      <w:pPr>
        <w:spacing w:line="271" w:before="240" w:lineRule="auto"/>
      </w:pPr>
      <w:bookmarkStart w:id="20" w:name="color_palette"/>
      <w:r>
        <w:rPr>
          <w:b/>
          <w:sz w:val="33"/>
        </w:rPr>
        <w:t xml:space="preserve">Color Palette</w:t>
      </w:r>
      <w:bookmarkEnd w:id="20"/>
    </w:p>
    <w:p>
      <w:pPr>
        <w:spacing w:after="210" w:lineRule="auto"/>
      </w:pPr>
      <w:r>
        <w:rPr/>
        <w:t xml:space="preserve">Based on homepage analysis, the SupraWall brand uses a dark, technical aesthetic:</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Color Name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Usage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Notes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Dark Background</w:t>
            </w:r>
          </w:p>
        </w:tc>
        <w:tc>
          <w:tcPr>
            <w:tcBorders>
              <w:bottom w:val="single" w:sz="8" w:space="0" w:color="000000"/>
              <w:right w:val="single" w:sz="8" w:space="0" w:color="000000"/>
            </w:tcBorders>
            <w:vAlign w:val="center"/>
          </w:tcPr>
          <w:p>
            <w:pPr>
              <w:spacing w:lineRule="auto"/>
              <w:jc w:val="left"/>
            </w:pPr>
            <w:r>
              <w:rPr/>
              <w:t xml:space="preserve">Primary background</w:t>
            </w:r>
          </w:p>
        </w:tc>
        <w:tc>
          <w:tcPr>
            <w:tcBorders>
              <w:bottom w:val="single" w:sz="8" w:space="0" w:color="000000"/>
              <w:right w:val="single" w:sz="8" w:space="0" w:color="000000"/>
            </w:tcBorders>
            <w:vAlign w:val="center"/>
          </w:tcPr>
          <w:p>
            <w:pPr>
              <w:spacing w:lineRule="auto"/>
              <w:jc w:val="left"/>
            </w:pPr>
            <w:r>
              <w:rPr/>
              <w:t xml:space="preserve">Deep black/near-black for technical aesthetic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High-Contrast Text</w:t>
            </w:r>
          </w:p>
        </w:tc>
        <w:tc>
          <w:tcPr>
            <w:tcBorders>
              <w:bottom w:val="single" w:sz="8" w:space="0" w:color="000000"/>
              <w:right w:val="single" w:sz="8" w:space="0" w:color="000000"/>
            </w:tcBorders>
            <w:vAlign w:val="center"/>
          </w:tcPr>
          <w:p>
            <w:pPr>
              <w:spacing w:lineRule="auto"/>
              <w:jc w:val="left"/>
            </w:pPr>
            <w:r>
              <w:rPr/>
              <w:t xml:space="preserve">Body copy</w:t>
            </w:r>
          </w:p>
        </w:tc>
        <w:tc>
          <w:tcPr>
            <w:tcBorders>
              <w:bottom w:val="single" w:sz="8" w:space="0" w:color="000000"/>
              <w:right w:val="single" w:sz="8" w:space="0" w:color="000000"/>
            </w:tcBorders>
            <w:vAlign w:val="center"/>
          </w:tcPr>
          <w:p>
            <w:pPr>
              <w:spacing w:lineRule="auto"/>
              <w:jc w:val="left"/>
            </w:pPr>
            <w:r>
              <w:rPr/>
              <w:t xml:space="preserve">White or near-white for maximum readability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Accent Green</w:t>
            </w:r>
          </w:p>
        </w:tc>
        <w:tc>
          <w:tcPr>
            <w:tcBorders>
              <w:bottom w:val="single" w:sz="8" w:space="0" w:color="000000"/>
              <w:right w:val="single" w:sz="8" w:space="0" w:color="000000"/>
            </w:tcBorders>
            <w:vAlign w:val="center"/>
          </w:tcPr>
          <w:p>
            <w:pPr>
              <w:spacing w:lineRule="auto"/>
              <w:jc w:val="left"/>
            </w:pPr>
            <w:r>
              <w:rPr/>
              <w:t xml:space="preserve">CTAs, success states</w:t>
            </w:r>
          </w:p>
        </w:tc>
        <w:tc>
          <w:tcPr>
            <w:tcBorders>
              <w:bottom w:val="single" w:sz="8" w:space="0" w:color="000000"/>
              <w:right w:val="single" w:sz="8" w:space="0" w:color="000000"/>
            </w:tcBorders>
            <w:vAlign w:val="center"/>
          </w:tcPr>
          <w:p>
            <w:pPr>
              <w:spacing w:lineRule="auto"/>
              <w:jc w:val="left"/>
            </w:pPr>
            <w:r>
              <w:rPr/>
              <w:t xml:space="preserve">Bright green for "Get Started" buttons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Warning Red</w:t>
            </w:r>
          </w:p>
        </w:tc>
        <w:tc>
          <w:tcPr>
            <w:tcBorders>
              <w:bottom w:val="single" w:sz="8" w:space="0" w:color="000000"/>
              <w:right w:val="single" w:sz="8" w:space="0" w:color="000000"/>
            </w:tcBorders>
            <w:vAlign w:val="center"/>
          </w:tcPr>
          <w:p>
            <w:pPr>
              <w:spacing w:lineRule="auto"/>
              <w:jc w:val="left"/>
            </w:pPr>
            <w:r>
              <w:rPr/>
              <w:t xml:space="preserve">Error states, alerts</w:t>
            </w:r>
          </w:p>
        </w:tc>
        <w:tc>
          <w:tcPr>
            <w:tcBorders>
              <w:bottom w:val="single" w:sz="8" w:space="0" w:color="000000"/>
              <w:right w:val="single" w:sz="8" w:space="0" w:color="000000"/>
            </w:tcBorders>
            <w:vAlign w:val="center"/>
          </w:tcPr>
          <w:p>
            <w:pPr>
              <w:spacing w:lineRule="auto"/>
              <w:jc w:val="left"/>
            </w:pPr>
            <w:r>
              <w:rPr/>
              <w:t xml:space="preserve">Used for risk statistics and blocked actions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Neutral Gray</w:t>
            </w:r>
          </w:p>
        </w:tc>
        <w:tc>
          <w:tcPr>
            <w:tcBorders>
              <w:bottom w:val="single" w:sz="8" w:space="0" w:color="000000"/>
              <w:right w:val="single" w:sz="8" w:space="0" w:color="000000"/>
            </w:tcBorders>
            <w:vAlign w:val="center"/>
          </w:tcPr>
          <w:p>
            <w:pPr>
              <w:spacing w:lineRule="auto"/>
              <w:jc w:val="left"/>
            </w:pPr>
            <w:r>
              <w:rPr/>
              <w:t xml:space="preserve">Secondary text</w:t>
            </w:r>
          </w:p>
        </w:tc>
        <w:tc>
          <w:tcPr>
            <w:tcBorders>
              <w:bottom w:val="single" w:sz="8" w:space="0" w:color="000000"/>
              <w:right w:val="single" w:sz="8" w:space="0" w:color="000000"/>
            </w:tcBorders>
            <w:vAlign w:val="center"/>
          </w:tcPr>
          <w:p>
            <w:pPr>
              <w:spacing w:lineRule="auto"/>
              <w:jc w:val="left"/>
            </w:pPr>
            <w:r>
              <w:rPr/>
              <w:t xml:space="preserve">Muted gray for supporting information</w:t>
            </w:r>
          </w:p>
        </w:tc>
      </w:tr>
    </w:tbl>
    <w:p>
      <w:pPr>
        <w:spacing w:lineRule="auto"/>
      </w:pPr>
    </w:p>
    <w:p>
      <w:pPr>
        <w:spacing w:lineRule="auto"/>
      </w:pPr>
      <w:r>
        <w:rPr/>
        <w:t xml:space="preserve">Table 2: Brand color palette and usage</w:t>
      </w:r>
    </w:p>
    <w:p>
      <w:pPr>
        <w:spacing w:after="210" w:lineRule="auto"/>
      </w:pPr>
      <w:r>
        <w:rPr>
          <w:b/>
        </w:rPr>
        <w:t xml:space="preserve">Color Strategy:</w:t>
      </w:r>
      <w:r>
        <w:rPr/>
        <w:br w:type="textWrapping"/>
      </w:r>
      <w:r>
        <w:rPr/>
        <w:t xml:space="preserve">The dark-mode-first design conveys technical sophistication and aligns with developer tool conventions. High contrast ensures accessibility and readability.</w:t>
      </w:r>
    </w:p>
    <w:p>
      <w:pPr>
        <w:spacing w:line="271" w:before="240" w:lineRule="auto"/>
      </w:pPr>
      <w:bookmarkStart w:id="21" w:name="typography"/>
      <w:r>
        <w:rPr>
          <w:b/>
          <w:sz w:val="33"/>
        </w:rPr>
        <w:t xml:space="preserve">Typography</w:t>
      </w:r>
      <w:bookmarkEnd w:id="21"/>
    </w:p>
    <w:p>
      <w:pPr>
        <w:spacing w:after="210" w:lineRule="auto"/>
      </w:pPr>
      <w:r>
        <w:rPr>
          <w:b/>
        </w:rPr>
        <w:t xml:space="preserve">Approach:</w:t>
      </w:r>
      <w:r>
        <w:rPr/>
        <w:br w:type="textWrapping"/>
      </w:r>
      <w:r>
        <w:rPr/>
        <w:t xml:space="preserve">Typography emphasizes clarity and technical precision. The font choices should reflect modern development tools and enterprise software.</w:t>
      </w:r>
    </w:p>
    <w:p>
      <w:pPr>
        <w:spacing w:after="210" w:lineRule="auto"/>
      </w:pPr>
      <w:r>
        <w:rPr>
          <w:b/>
        </w:rPr>
        <w:t xml:space="preserve">Hierarchy:</w:t>
      </w:r>
    </w:p>
    <w:p>
      <w:pPr>
        <w:numPr>
          <w:ilvl w:val="0"/>
          <w:numId w:val="9"/>
        </w:numPr>
        <w:spacing w:lineRule="auto"/>
      </w:pPr>
      <w:r>
        <w:rPr>
          <w:b/>
        </w:rPr>
        <w:t xml:space="preserve">Headlines</w:t>
      </w:r>
      <w:r>
        <w:rPr/>
        <w:t xml:space="preserve">: Bold, high-impact weights for main messaging</w:t>
      </w:r>
    </w:p>
    <w:p>
      <w:pPr>
        <w:numPr>
          <w:ilvl w:val="0"/>
          <w:numId w:val="9"/>
        </w:numPr>
        <w:spacing w:lineRule="auto"/>
      </w:pPr>
      <w:r>
        <w:rPr>
          <w:b/>
        </w:rPr>
        <w:t xml:space="preserve">Subheadings</w:t>
      </w:r>
      <w:r>
        <w:rPr/>
        <w:t xml:space="preserve">: Medium weights for section organization</w:t>
      </w:r>
    </w:p>
    <w:p>
      <w:pPr>
        <w:numPr>
          <w:ilvl w:val="0"/>
          <w:numId w:val="9"/>
        </w:numPr>
        <w:spacing w:lineRule="auto"/>
      </w:pPr>
      <w:r>
        <w:rPr>
          <w:b/>
        </w:rPr>
        <w:t xml:space="preserve">Body Copy</w:t>
      </w:r>
      <w:r>
        <w:rPr/>
        <w:t xml:space="preserve">: Regular weights optimized for reading technical documentation</w:t>
      </w:r>
    </w:p>
    <w:p>
      <w:pPr>
        <w:numPr>
          <w:ilvl w:val="0"/>
          <w:numId w:val="9"/>
        </w:numPr>
        <w:spacing w:lineRule="auto"/>
      </w:pPr>
      <w:r>
        <w:rPr>
          <w:b/>
        </w:rPr>
        <w:t xml:space="preserve">Code</w:t>
      </w:r>
      <w:r>
        <w:rPr/>
        <w:t xml:space="preserve">: Monospace font for all code examples and technical specifications</w:t>
      </w:r>
    </w:p>
    <w:p>
      <w:pPr>
        <w:spacing w:after="210" w:lineRule="auto"/>
      </w:pPr>
      <w:r>
        <w:rPr>
          <w:b/>
        </w:rPr>
        <w:t xml:space="preserve">Guidelines:</w:t>
      </w:r>
    </w:p>
    <w:p>
      <w:pPr>
        <w:numPr>
          <w:ilvl w:val="0"/>
          <w:numId w:val="10"/>
        </w:numPr>
        <w:spacing w:lineRule="auto"/>
      </w:pPr>
      <w:r>
        <w:rPr/>
        <w:t xml:space="preserve">Use sentence case for feature names and benefits</w:t>
      </w:r>
    </w:p>
    <w:p>
      <w:pPr>
        <w:numPr>
          <w:ilvl w:val="0"/>
          <w:numId w:val="10"/>
        </w:numPr>
        <w:spacing w:lineRule="auto"/>
      </w:pPr>
      <w:r>
        <w:rPr/>
        <w:t xml:space="preserve">Use title case for primary headings and navigation</w:t>
      </w:r>
    </w:p>
    <w:p>
      <w:pPr>
        <w:numPr>
          <w:ilvl w:val="0"/>
          <w:numId w:val="10"/>
        </w:numPr>
        <w:spacing w:lineRule="auto"/>
      </w:pPr>
      <w:r>
        <w:rPr/>
        <w:t xml:space="preserve">Maintain consistent line heights for readability</w:t>
      </w:r>
    </w:p>
    <w:p>
      <w:pPr>
        <w:numPr>
          <w:ilvl w:val="0"/>
          <w:numId w:val="10"/>
        </w:numPr>
        <w:spacing w:lineRule="auto"/>
      </w:pPr>
      <w:r>
        <w:rPr/>
        <w:t xml:space="preserve">Ensure sufficient contrast in all type applications</w:t>
      </w:r>
    </w:p>
    <w:p>
      <w:pPr>
        <w:spacing w:line="271" w:before="240" w:lineRule="auto"/>
      </w:pPr>
      <w:bookmarkStart w:id="22" w:name="visual_style"/>
      <w:r>
        <w:rPr>
          <w:b/>
          <w:sz w:val="33"/>
        </w:rPr>
        <w:t xml:space="preserve">Visual Style</w:t>
      </w:r>
      <w:bookmarkEnd w:id="22"/>
    </w:p>
    <w:p>
      <w:pPr>
        <w:spacing w:after="210" w:lineRule="auto"/>
      </w:pPr>
      <w:r>
        <w:rPr>
          <w:b/>
        </w:rPr>
        <w:t xml:space="preserve">Design Principles:</w:t>
      </w:r>
    </w:p>
    <w:p>
      <w:pPr>
        <w:spacing w:after="210" w:lineRule="auto"/>
      </w:pPr>
      <w:r>
        <w:rPr>
          <w:b/>
        </w:rPr>
        <w:t xml:space="preserve">1. Technical Precision</w:t>
      </w:r>
      <w:r>
        <w:rPr/>
        <w:br w:type="textWrapping"/>
      </w:r>
      <w:r>
        <w:rPr/>
        <w:t xml:space="preserve">Visual elements should feel engineered, not decorative. Use grid systems, exact alignment, and mathematical spacing.</w:t>
      </w:r>
    </w:p>
    <w:p>
      <w:pPr>
        <w:spacing w:after="210" w:lineRule="auto"/>
      </w:pPr>
      <w:r>
        <w:rPr>
          <w:b/>
        </w:rPr>
        <w:t xml:space="preserve">2. High Contrast</w:t>
      </w:r>
      <w:r>
        <w:rPr/>
        <w:br w:type="textWrapping"/>
      </w:r>
      <w:r>
        <w:rPr>
          <w:rFonts w:eastAsia="Georgia" w:cs="Georgia" w:ascii="Georgia" w:hAnsi="Georgia"/>
        </w:rPr>
        <w:t xml:space="preserve">Dark backgrounds with bright text and accent colors. No gradients or soft edges — hard boundaries reinforce deterministic security.</w:t>
      </w:r>
    </w:p>
    <w:p>
      <w:pPr>
        <w:spacing w:after="210" w:lineRule="auto"/>
      </w:pPr>
      <w:r>
        <w:rPr>
          <w:b/>
        </w:rPr>
        <w:t xml:space="preserve">3. Minimal and Functional</w:t>
      </w:r>
      <w:r>
        <w:rPr/>
        <w:br w:type="textWrapping"/>
      </w:r>
      <w:r>
        <w:rPr/>
        <w:t xml:space="preserve">Every visual element serves a purpose. Remove decoration that doesn't communicate security, governance, or technical capability.</w:t>
      </w:r>
    </w:p>
    <w:p>
      <w:pPr>
        <w:spacing w:after="210" w:lineRule="auto"/>
      </w:pPr>
      <w:r>
        <w:rPr>
          <w:b/>
        </w:rPr>
        <w:t xml:space="preserve">4. Data-Driven Graphics</w:t>
      </w:r>
      <w:r>
        <w:rPr/>
        <w:br w:type="textWrapping"/>
      </w:r>
      <w:r>
        <w:rPr/>
        <w:t xml:space="preserve">Use charts, dashboards, and compliance badges. Visualize security interception flows, audit logs, and compliance status.</w:t>
      </w:r>
    </w:p>
    <w:p>
      <w:pPr>
        <w:spacing w:line="271" w:before="240" w:lineRule="auto"/>
      </w:pPr>
      <w:bookmarkStart w:id="23" w:name="imagery_guidelines"/>
      <w:r>
        <w:rPr>
          <w:b/>
          <w:sz w:val="33"/>
        </w:rPr>
        <w:t xml:space="preserve">Imagery Guidelines</w:t>
      </w:r>
      <w:bookmarkEnd w:id="23"/>
    </w:p>
    <w:p>
      <w:pPr>
        <w:spacing w:after="210" w:lineRule="auto"/>
      </w:pPr>
      <w:r>
        <w:rPr>
          <w:b/>
        </w:rPr>
        <w:t xml:space="preserve">Preferred Visual Types:</w:t>
      </w:r>
    </w:p>
    <w:p>
      <w:pPr>
        <w:numPr>
          <w:ilvl w:val="0"/>
          <w:numId w:val="11"/>
        </w:numPr>
        <w:spacing w:lineRule="auto"/>
      </w:pPr>
      <w:r>
        <w:rPr/>
        <w:t xml:space="preserve">Dashboard screenshots showing real-time security monitoring</w:t>
      </w:r>
    </w:p>
    <w:p>
      <w:pPr>
        <w:numPr>
          <w:ilvl w:val="0"/>
          <w:numId w:val="11"/>
        </w:numPr>
        <w:spacing w:lineRule="auto"/>
      </w:pPr>
      <w:r>
        <w:rPr/>
        <w:t xml:space="preserve">Compliance reports and audit log exports</w:t>
      </w:r>
    </w:p>
    <w:p>
      <w:pPr>
        <w:numPr>
          <w:ilvl w:val="0"/>
          <w:numId w:val="11"/>
        </w:numPr>
        <w:spacing w:lineRule="auto"/>
      </w:pPr>
      <w:r>
        <w:rPr/>
        <w:t xml:space="preserve">Architecture diagrams showing interception flow</w:t>
      </w:r>
    </w:p>
    <w:p>
      <w:pPr>
        <w:numPr>
          <w:ilvl w:val="0"/>
          <w:numId w:val="11"/>
        </w:numPr>
        <w:spacing w:lineRule="auto"/>
      </w:pPr>
      <w:r>
        <w:rPr/>
        <w:t xml:space="preserve">Code snippets demonstrating integration</w:t>
      </w:r>
    </w:p>
    <w:p>
      <w:pPr>
        <w:numPr>
          <w:ilvl w:val="0"/>
          <w:numId w:val="11"/>
        </w:numPr>
        <w:spacing w:lineRule="auto"/>
      </w:pPr>
      <w:r>
        <w:rPr/>
        <w:t xml:space="preserve">EU AI Act compliance badges and status indicators</w:t>
      </w:r>
    </w:p>
    <w:p>
      <w:pPr>
        <w:spacing w:after="210" w:lineRule="auto"/>
      </w:pPr>
      <w:r>
        <w:rPr>
          <w:b/>
        </w:rPr>
        <w:t xml:space="preserve">Avoid:</w:t>
      </w:r>
    </w:p>
    <w:p>
      <w:pPr>
        <w:numPr>
          <w:ilvl w:val="0"/>
          <w:numId w:val="12"/>
        </w:numPr>
        <w:spacing w:lineRule="auto"/>
      </w:pPr>
      <w:r>
        <w:rPr/>
        <w:t xml:space="preserve">Stock photos of people or generic "AI" imagery</w:t>
      </w:r>
    </w:p>
    <w:p>
      <w:pPr>
        <w:numPr>
          <w:ilvl w:val="0"/>
          <w:numId w:val="12"/>
        </w:numPr>
        <w:spacing w:lineRule="auto"/>
      </w:pPr>
      <w:r>
        <w:rPr/>
        <w:t xml:space="preserve">Abstract shapes or decorative patterns</w:t>
      </w:r>
    </w:p>
    <w:p>
      <w:pPr>
        <w:numPr>
          <w:ilvl w:val="0"/>
          <w:numId w:val="12"/>
        </w:numPr>
        <w:spacing w:lineRule="auto"/>
      </w:pPr>
      <w:r>
        <w:rPr/>
        <w:t xml:space="preserve">Soft, friendly illustrations</w:t>
      </w:r>
    </w:p>
    <w:p>
      <w:pPr>
        <w:numPr>
          <w:ilvl w:val="0"/>
          <w:numId w:val="12"/>
        </w:numPr>
        <w:spacing w:lineRule="auto"/>
      </w:pPr>
      <w:r>
        <w:rPr/>
        <w:t xml:space="preserve">Anything that undermines the technical, enterprise positioning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content_templates"/>
      <w:r>
        <w:rPr>
          <w:b/>
          <w:sz w:val="42"/>
        </w:rPr>
        <w:t xml:space="preserve">Content Templates</w:t>
      </w:r>
      <w:bookmarkEnd w:id="24"/>
    </w:p>
    <w:p>
      <w:pPr>
        <w:spacing w:line="271" w:before="240" w:lineRule="auto"/>
      </w:pPr>
      <w:bookmarkStart w:id="25" w:name="code_examples"/>
      <w:r>
        <w:rPr>
          <w:b/>
          <w:sz w:val="33"/>
        </w:rPr>
        <w:t xml:space="preserve">Code Examples</w:t>
      </w:r>
      <w:bookmarkEnd w:id="25"/>
    </w:p>
    <w:p>
      <w:pPr>
        <w:spacing w:after="210" w:lineRule="auto"/>
      </w:pPr>
      <w:r>
        <w:rPr/>
        <w:t xml:space="preserve">All code examples should follow this structure:</w:t>
      </w:r>
    </w:p>
    <w:p>
      <w:pPr>
        <w:spacing w:after="210" w:lineRule="auto"/>
      </w:pPr>
      <w:r>
        <w:rPr>
          <w:b/>
        </w:rPr>
        <w:t xml:space="preserve">Format:</w:t>
      </w:r>
      <w:r>
        <w:rPr/>
        <w:br w:type="textWrapping"/>
      </w:r>
      <w:r>
        <w:rPr/>
        <w:t xml:space="preserve">[Language identifier]</w:t>
      </w:r>
      <w:r>
        <w:rPr/>
        <w:br w:type="textWrapping"/>
      </w:r>
      <w:r>
        <w:rPr>
          <w:rFonts w:eastAsia="Georgia" w:cs="Georgia" w:ascii="Georgia" w:hAnsi="Georgia"/>
        </w:rPr>
        <w:t xml:space="preserve">[Comment explaining security benefit with 🛡️ emoji]</w:t>
      </w:r>
      <w:r>
        <w:rPr/>
        <w:br w:type="textWrapping"/>
      </w:r>
      <w:r>
        <w:rPr/>
        <w:t xml:space="preserve">[Minimal, working code example]</w:t>
      </w:r>
      <w:r>
        <w:rPr/>
        <w:br w:type="textWrapping"/>
      </w:r>
      <w:r>
        <w:rPr>
          <w:rFonts w:eastAsia="Georgia" w:cs="Georgia" w:ascii="Georgia" w:hAnsi="Georgia"/>
        </w:rPr>
        <w:t xml:space="preserve">[Comment showing outcome with ✅ emoji]</w:t>
      </w:r>
    </w:p>
    <w:p>
      <w:pPr>
        <w:spacing w:after="210" w:lineRule="auto"/>
      </w:pPr>
      <w:r>
        <w:rPr>
          <w:b/>
        </w:rPr>
        <w:t xml:space="preserve">Example:</w:t>
      </w:r>
      <w:r>
        <w:rPr/>
        <w:br w:type="textWrapping"/>
      </w:r>
      <w:r>
        <w:rPr>
          <w:rFonts w:eastAsia="Georgia" w:cs="Georgia" w:ascii="Georgia" w:hAnsi="Georgia"/>
        </w:rPr>
        <w:t xml:space="preserve">import { secure_agent } from "suprawall";</w:t>
      </w:r>
    </w:p>
    <w:p>
      <w:pPr>
        <w:spacing w:after="210" w:lineRule="auto"/>
      </w:pPr>
      <w:r>
        <w:rPr>
          <w:rFonts w:eastAsia="Georgia" w:cs="Georgia" w:ascii="Georgia" w:hAnsi="Georgia"/>
        </w:rPr>
        <w:t xml:space="preserve">// 🛡️ Zero-Trust Interception</w:t>
      </w:r>
      <w:r>
        <w:rPr/>
        <w:br w:type="textWrapping"/>
      </w:r>
      <w:r>
        <w:rPr>
          <w:rFonts w:eastAsia="Georgia" w:cs="Georgia" w:ascii="Georgia" w:hAnsi="Georgia"/>
        </w:rPr>
        <w:t xml:space="preserve">const secured = secure_agent(myAgent, {</w:t>
      </w:r>
      <w:r>
        <w:rPr/>
        <w:br w:type="textWrapping"/>
      </w:r>
      <w:r>
        <w:rPr>
          <w:rFonts w:eastAsia="Georgia" w:cs="Georgia" w:ascii="Georgia" w:hAnsi="Georgia"/>
        </w:rPr>
        <w:t xml:space="preserve">api_key: "sw_..."</w:t>
      </w:r>
      <w:r>
        <w:rPr/>
        <w:br w:type="textWrapping"/>
      </w:r>
      <w:r>
        <w:rPr/>
        <w:t xml:space="preserve">});</w:t>
      </w:r>
    </w:p>
    <w:p>
      <w:pPr>
        <w:spacing w:after="210" w:lineRule="auto"/>
      </w:pPr>
      <w:r>
        <w:rPr/>
        <w:t xml:space="preserve">// Every action is now governed</w:t>
      </w:r>
      <w:r>
        <w:rPr/>
        <w:br w:type="textWrapping"/>
      </w:r>
      <w:r>
        <w:rPr/>
        <w:t xml:space="preserve">await secured.invoke({ task: "..." });</w:t>
      </w:r>
      <w:r>
        <w:rPr/>
        <w:br w:type="textWrapping"/>
      </w:r>
      <w:r>
        <w:rPr>
          <w:rFonts w:eastAsia="Georgia" w:cs="Georgia" w:ascii="Georgia" w:hAnsi="Georgia"/>
        </w:rPr>
        <w:t xml:space="preserve">// ✅ Tools intercepted &amp; audited</w:t>
      </w:r>
    </w:p>
    <w:p>
      <w:pPr>
        <w:spacing w:line="271" w:before="240" w:lineRule="auto"/>
      </w:pPr>
      <w:bookmarkStart w:id="26" w:name="compliance_messaging"/>
      <w:r>
        <w:rPr>
          <w:b/>
          <w:sz w:val="33"/>
        </w:rPr>
        <w:t xml:space="preserve">Compliance Messaging</w:t>
      </w:r>
      <w:bookmarkEnd w:id="26"/>
    </w:p>
    <w:p>
      <w:pPr>
        <w:spacing w:after="210" w:lineRule="auto"/>
      </w:pPr>
      <w:r>
        <w:rPr/>
        <w:t xml:space="preserve">When referencing EU AI Act compliance:</w:t>
      </w:r>
    </w:p>
    <w:p>
      <w:pPr>
        <w:numPr>
          <w:ilvl w:val="0"/>
          <w:numId w:val="13"/>
        </w:numPr>
        <w:spacing w:lineRule="auto"/>
      </w:pPr>
      <w:r>
        <w:rPr/>
        <w:t xml:space="preserve">Always cite specific article numbers (Art. 9, Art. 13, Art. 14)</w:t>
      </w:r>
    </w:p>
    <w:p>
      <w:pPr>
        <w:numPr>
          <w:ilvl w:val="0"/>
          <w:numId w:val="13"/>
        </w:numPr>
        <w:spacing w:lineRule="auto"/>
      </w:pPr>
      <w:r>
        <w:rPr/>
        <w:t xml:space="preserve">Link regulatory requirements to specific SupraWall features</w:t>
      </w:r>
    </w:p>
    <w:p>
      <w:pPr>
        <w:numPr>
          <w:ilvl w:val="0"/>
          <w:numId w:val="13"/>
        </w:numPr>
        <w:spacing w:lineRule="auto"/>
      </w:pPr>
      <w:r>
        <w:rPr/>
        <w:t xml:space="preserve">Use official terminology from the regulation</w:t>
      </w:r>
    </w:p>
    <w:p>
      <w:pPr>
        <w:spacing w:after="210" w:lineRule="auto"/>
      </w:pPr>
      <w:r>
        <w:rPr>
          <w:b/>
        </w:rPr>
        <w:t xml:space="preserve">Template:</w:t>
      </w:r>
      <w:r>
        <w:rPr/>
        <w:br w:type="textWrapping"/>
      </w:r>
      <w:r>
        <w:rPr>
          <w:rFonts w:eastAsia="Georgia" w:cs="Georgia" w:ascii="Georgia" w:hAnsi="Georgia"/>
        </w:rPr>
        <w:t xml:space="preserve">EU AI Act Article [Number] — [Requirement Name]</w:t>
      </w:r>
      <w:r>
        <w:rPr/>
        <w:br w:type="textWrapping"/>
      </w:r>
      <w:r>
        <w:rPr/>
        <w:t xml:space="preserve">SupraWall addresses this through [Specific Feature]</w:t>
      </w:r>
    </w:p>
    <w:p>
      <w:pPr>
        <w:spacing w:line="271" w:before="240" w:lineRule="auto"/>
      </w:pPr>
      <w:bookmarkStart w:id="27" w:name="feature_descriptions"/>
      <w:r>
        <w:rPr>
          <w:b/>
          <w:sz w:val="33"/>
        </w:rPr>
        <w:t xml:space="preserve">Feature Descriptions</w:t>
      </w:r>
      <w:bookmarkEnd w:id="27"/>
    </w:p>
    <w:p>
      <w:pPr>
        <w:spacing w:after="210" w:lineRule="auto"/>
      </w:pPr>
      <w:r>
        <w:rPr>
          <w:b/>
        </w:rPr>
        <w:t xml:space="preserve">Structure:</w:t>
      </w:r>
    </w:p>
    <w:p>
      <w:pPr>
        <w:numPr>
          <w:ilvl w:val="0"/>
          <w:numId w:val="14"/>
        </w:numPr>
        <w:spacing w:lineRule="auto"/>
      </w:pPr>
      <w:r>
        <w:rPr/>
        <w:t xml:space="preserve">Feature name (clear, technical descriptor)</w:t>
      </w:r>
    </w:p>
    <w:p>
      <w:pPr>
        <w:numPr>
          <w:ilvl w:val="0"/>
          <w:numId w:val="14"/>
        </w:numPr>
        <w:spacing w:lineRule="auto"/>
      </w:pPr>
      <w:r>
        <w:rPr/>
        <w:t xml:space="preserve">One-sentence functional description</w:t>
      </w:r>
    </w:p>
    <w:p>
      <w:pPr>
        <w:numPr>
          <w:ilvl w:val="0"/>
          <w:numId w:val="14"/>
        </w:numPr>
        <w:spacing w:lineRule="auto"/>
      </w:pPr>
      <w:r>
        <w:rPr/>
        <w:t xml:space="preserve">Technical implementation detail</w:t>
      </w:r>
    </w:p>
    <w:p>
      <w:pPr>
        <w:numPr>
          <w:ilvl w:val="0"/>
          <w:numId w:val="14"/>
        </w:numPr>
        <w:spacing w:lineRule="auto"/>
      </w:pPr>
      <w:r>
        <w:rPr/>
        <w:t xml:space="preserve">Developer benefit</w:t>
      </w:r>
    </w:p>
    <w:p>
      <w:pPr>
        <w:spacing w:after="210" w:lineRule="auto"/>
      </w:pPr>
      <w:r>
        <w:rPr>
          <w:b/>
        </w:rPr>
        <w:t xml:space="preserve">Example:</w:t>
      </w:r>
      <w:r>
        <w:rPr/>
        <w:br w:type="textWrapping"/>
      </w:r>
      <w:r>
        <w:rPr/>
        <w:t xml:space="preserve">Hard Budget Caps</w:t>
      </w:r>
      <w:r>
        <w:rPr/>
        <w:br w:type="textWrapping"/>
      </w:r>
      <w:r>
        <w:rPr/>
        <w:t xml:space="preserve">Set a $10/day limit per agent. When it hits the cap, SupraWall blocks</w:t>
      </w:r>
      <w:r>
        <w:rPr/>
        <w:br w:type="textWrapping"/>
      </w:r>
      <w:r>
        <w:rPr/>
        <w:t xml:space="preserve">further API executions deterministically.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platform_integration_guidelines"/>
      <w:r>
        <w:rPr>
          <w:b/>
          <w:sz w:val="42"/>
        </w:rPr>
        <w:t xml:space="preserve">Platform Integration Guidelines</w:t>
      </w:r>
      <w:bookmarkEnd w:id="28"/>
    </w:p>
    <w:p>
      <w:pPr>
        <w:spacing w:line="271" w:before="240" w:lineRule="auto"/>
      </w:pPr>
      <w:bookmarkStart w:id="29" w:name="supported_technologies"/>
      <w:r>
        <w:rPr>
          <w:b/>
          <w:sz w:val="33"/>
        </w:rPr>
        <w:t xml:space="preserve">Supported Technologies</w:t>
      </w:r>
      <w:bookmarkEnd w:id="29"/>
    </w:p>
    <w:p>
      <w:pPr>
        <w:spacing w:after="210" w:lineRule="auto"/>
      </w:pPr>
      <w:r>
        <w:rPr/>
        <w:t xml:space="preserve">SupraWall integrates with:</w:t>
      </w:r>
    </w:p>
    <w:p>
      <w:pPr>
        <w:numPr>
          <w:ilvl w:val="0"/>
          <w:numId w:val="15"/>
        </w:numPr>
        <w:spacing w:lineRule="auto"/>
      </w:pPr>
      <w:r>
        <w:rPr>
          <w:b/>
        </w:rPr>
        <w:t xml:space="preserve">Languages</w:t>
      </w:r>
      <w:r>
        <w:rPr/>
        <w:t xml:space="preserve">: Python, TypeScript</w:t>
      </w:r>
    </w:p>
    <w:p>
      <w:pPr>
        <w:numPr>
          <w:ilvl w:val="0"/>
          <w:numId w:val="15"/>
        </w:numPr>
        <w:spacing w:lineRule="auto"/>
      </w:pPr>
      <w:r>
        <w:rPr>
          <w:b/>
        </w:rPr>
        <w:t xml:space="preserve">Frameworks</w:t>
      </w:r>
      <w:r>
        <w:rPr/>
        <w:t xml:space="preserve">: LangChain, CrewAI, AutoGen, Vercel AI</w:t>
      </w:r>
    </w:p>
    <w:p>
      <w:pPr>
        <w:numPr>
          <w:ilvl w:val="0"/>
          <w:numId w:val="15"/>
        </w:numPr>
        <w:spacing w:lineRule="auto"/>
      </w:pPr>
      <w:r>
        <w:rPr>
          <w:b/>
        </w:rPr>
        <w:t xml:space="preserve">Databases</w:t>
      </w:r>
      <w:r>
        <w:rPr/>
        <w:t xml:space="preserve">: PostgreSQL (extensible to others)</w:t>
      </w:r>
    </w:p>
    <w:p>
      <w:pPr>
        <w:numPr>
          <w:ilvl w:val="0"/>
          <w:numId w:val="15"/>
        </w:numPr>
        <w:spacing w:lineRule="auto"/>
      </w:pPr>
      <w:r>
        <w:rPr>
          <w:b/>
        </w:rPr>
        <w:t xml:space="preserve">Deployment</w:t>
      </w:r>
      <w:r>
        <w:rPr/>
        <w:t xml:space="preserve">: Docker, self-hosting options</w:t>
      </w:r>
    </w:p>
    <w:p>
      <w:pPr>
        <w:spacing w:after="210" w:lineRule="auto"/>
      </w:pPr>
      <w:r>
        <w:rPr/>
        <w:t xml:space="preserve">When messaging integrations:</w:t>
      </w:r>
    </w:p>
    <w:p>
      <w:pPr>
        <w:numPr>
          <w:ilvl w:val="0"/>
          <w:numId w:val="16"/>
        </w:numPr>
        <w:spacing w:lineRule="auto"/>
      </w:pPr>
      <w:r>
        <w:rPr/>
        <w:t xml:space="preserve">Lead with the most popular frameworks (LangChain, Vercel AI)</w:t>
      </w:r>
    </w:p>
    <w:p>
      <w:pPr>
        <w:numPr>
          <w:ilvl w:val="0"/>
          <w:numId w:val="16"/>
        </w:numPr>
        <w:spacing w:lineRule="auto"/>
      </w:pPr>
      <w:r>
        <w:rPr/>
        <w:t xml:space="preserve">Emphasize "works with your existing stack"</w:t>
      </w:r>
    </w:p>
    <w:p>
      <w:pPr>
        <w:numPr>
          <w:ilvl w:val="0"/>
          <w:numId w:val="16"/>
        </w:numPr>
        <w:spacing w:lineRule="auto"/>
      </w:pPr>
      <w:r>
        <w:rPr/>
        <w:t xml:space="preserve">Show actual code examples for each integration</w:t>
      </w:r>
    </w:p>
    <w:p>
      <w:pPr>
        <w:spacing w:line="271" w:before="240" w:lineRule="auto"/>
      </w:pPr>
      <w:bookmarkStart w:id="30" w:name="api_naming_conventions"/>
      <w:r>
        <w:rPr>
          <w:b/>
          <w:sz w:val="33"/>
        </w:rPr>
        <w:t xml:space="preserve">API Naming Conventions</w:t>
      </w:r>
      <w:bookmarkEnd w:id="30"/>
    </w:p>
    <w:p>
      <w:pPr>
        <w:spacing w:after="210" w:lineRule="auto"/>
      </w:pPr>
      <w:r>
        <w:rPr>
          <w:b/>
        </w:rPr>
        <w:t xml:space="preserve">Function Naming:</w:t>
      </w:r>
    </w:p>
    <w:p>
      <w:pPr>
        <w:numPr>
          <w:ilvl w:val="0"/>
          <w:numId w:val="17"/>
        </w:numPr>
        <w:spacing w:lineRule="auto"/>
      </w:pPr>
      <w:r>
        <w:rPr>
          <w:rFonts w:eastAsia="Georgia" w:cs="Georgia" w:ascii="Georgia" w:hAnsi="Georgia"/>
        </w:rPr>
        <w:t xml:space="preserve">Use snake_case: </w:t>
      </w:r>
      <w:r>
        <w:rPr>
          <w:rStyle w:val="VerbatimChar"/>
          <w:rFonts w:eastAsia="menlo" w:cs="menlo" w:ascii="menlo" w:hAnsi="menlo"/>
          <w:shd w:val="clear" w:color="auto" w:fill="F8F8FA"/>
        </w:rPr>
        <w:t xml:space="preserve">secure_agent()</w:t>
      </w:r>
      <w:r>
        <w:rPr/>
        <w:t xml:space="preserve">, </w:t>
      </w:r>
      <w:r>
        <w:rPr>
          <w:rStyle w:val="VerbatimChar"/>
          <w:rFonts w:eastAsia="menlo" w:cs="menlo" w:ascii="menlo" w:hAnsi="menlo"/>
          <w:shd w:val="clear" w:color="auto" w:fill="F8F8FA"/>
        </w:rPr>
        <w:t xml:space="preserve">require_approval()</w:t>
      </w:r>
    </w:p>
    <w:p>
      <w:pPr>
        <w:numPr>
          <w:ilvl w:val="0"/>
          <w:numId w:val="17"/>
        </w:numPr>
        <w:spacing w:lineRule="auto"/>
      </w:pPr>
      <w:r>
        <w:rPr/>
        <w:t xml:space="preserve">Prefix security operations with action verbs: </w:t>
      </w:r>
      <w:r>
        <w:rPr>
          <w:rStyle w:val="VerbatimChar"/>
          <w:rFonts w:eastAsia="menlo" w:cs="menlo" w:ascii="menlo" w:hAnsi="menlo"/>
          <w:shd w:val="clear" w:color="auto" w:fill="F8F8FA"/>
        </w:rPr>
        <w:t xml:space="preserve">intercept_</w:t>
      </w:r>
      <w:r>
        <w:rPr/>
        <w:t xml:space="preserve">, </w:t>
      </w:r>
      <w:r>
        <w:rPr>
          <w:rStyle w:val="VerbatimChar"/>
          <w:rFonts w:eastAsia="menlo" w:cs="menlo" w:ascii="menlo" w:hAnsi="menlo"/>
          <w:shd w:val="clear" w:color="auto" w:fill="F8F8FA"/>
        </w:rPr>
        <w:t xml:space="preserve">block_</w:t>
      </w:r>
      <w:r>
        <w:rPr/>
        <w:t xml:space="preserve">, </w:t>
      </w:r>
      <w:r>
        <w:rPr>
          <w:rStyle w:val="VerbatimChar"/>
          <w:rFonts w:eastAsia="menlo" w:cs="menlo" w:ascii="menlo" w:hAnsi="menlo"/>
          <w:shd w:val="clear" w:color="auto" w:fill="F8F8FA"/>
        </w:rPr>
        <w:t xml:space="preserve">enforce_</w:t>
      </w:r>
    </w:p>
    <w:p>
      <w:pPr>
        <w:spacing w:after="210" w:lineRule="auto"/>
      </w:pPr>
      <w:r>
        <w:rPr>
          <w:b/>
        </w:rPr>
        <w:t xml:space="preserve">Parameter Naming:</w:t>
      </w:r>
    </w:p>
    <w:p>
      <w:pPr>
        <w:numPr>
          <w:ilvl w:val="0"/>
          <w:numId w:val="18"/>
        </w:numPr>
        <w:spacing w:lineRule="auto"/>
      </w:pPr>
      <w:r>
        <w:rPr/>
        <w:t xml:space="preserve">Use clear, explicit names: </w:t>
      </w:r>
      <w:r>
        <w:rPr>
          <w:rStyle w:val="VerbatimChar"/>
          <w:rFonts w:eastAsia="menlo" w:cs="menlo" w:ascii="menlo" w:hAnsi="menlo"/>
          <w:shd w:val="clear" w:color="auto" w:fill="F8F8FA"/>
        </w:rPr>
        <w:t xml:space="preserve">api_key</w:t>
      </w:r>
      <w:r>
        <w:rPr/>
        <w:t xml:space="preserve">, </w:t>
      </w:r>
      <w:r>
        <w:rPr>
          <w:rStyle w:val="VerbatimChar"/>
          <w:rFonts w:eastAsia="menlo" w:cs="menlo" w:ascii="menlo" w:hAnsi="menlo"/>
          <w:shd w:val="clear" w:color="auto" w:fill="F8F8FA"/>
        </w:rPr>
        <w:t xml:space="preserve">policy_rules</w:t>
      </w:r>
      <w:r>
        <w:rPr/>
        <w:t xml:space="preserve">, </w:t>
      </w:r>
      <w:r>
        <w:rPr>
          <w:rStyle w:val="VerbatimChar"/>
          <w:rFonts w:eastAsia="menlo" w:cs="menlo" w:ascii="menlo" w:hAnsi="menlo"/>
          <w:shd w:val="clear" w:color="auto" w:fill="F8F8FA"/>
        </w:rPr>
        <w:t xml:space="preserve">budget_limit</w:t>
      </w:r>
    </w:p>
    <w:p>
      <w:pPr>
        <w:numPr>
          <w:ilvl w:val="0"/>
          <w:numId w:val="18"/>
        </w:numPr>
        <w:spacing w:lineRule="auto"/>
      </w:pPr>
      <w:r>
        <w:rPr/>
        <w:t xml:space="preserve">Avoid abbreviations except for widely-recognized terms (API, ID, URL)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product_tiers_and_pricing"/>
      <w:r>
        <w:rPr>
          <w:b/>
          <w:sz w:val="42"/>
        </w:rPr>
        <w:t xml:space="preserve">Product Tiers and Pricing</w:t>
      </w:r>
      <w:bookmarkEnd w:id="31"/>
    </w:p>
    <w:p>
      <w:pPr>
        <w:spacing w:line="271" w:before="240" w:lineRule="auto"/>
      </w:pPr>
      <w:bookmarkStart w:id="32" w:name="pricing_philosophy"/>
      <w:r>
        <w:rPr>
          <w:b/>
          <w:sz w:val="33"/>
        </w:rPr>
        <w:t xml:space="preserve">Pricing Philosophy</w:t>
      </w:r>
      <w:bookmarkEnd w:id="32"/>
    </w:p>
    <w:p>
      <w:pPr>
        <w:spacing w:after="210" w:lineRule="auto"/>
      </w:pPr>
      <w:r>
        <w:rPr/>
        <w:t xml:space="preserve">"Pay per interception. Never per agent."</w:t>
      </w:r>
    </w:p>
    <w:p>
      <w:pPr>
        <w:spacing w:after="210" w:lineRule="auto"/>
      </w:pPr>
      <w:r>
        <w:rPr/>
        <w:t xml:space="preserve">This messaging emphasizes:</w:t>
      </w:r>
    </w:p>
    <w:p>
      <w:pPr>
        <w:numPr>
          <w:ilvl w:val="0"/>
          <w:numId w:val="19"/>
        </w:numPr>
        <w:spacing w:lineRule="auto"/>
      </w:pPr>
      <w:r>
        <w:rPr/>
        <w:t xml:space="preserve">Cost efficiency (only pay when SupraWall protects you)</w:t>
      </w:r>
    </w:p>
    <w:p>
      <w:pPr>
        <w:numPr>
          <w:ilvl w:val="0"/>
          <w:numId w:val="19"/>
        </w:numPr>
        <w:spacing w:lineRule="auto"/>
      </w:pPr>
      <w:r>
        <w:rPr/>
        <w:t xml:space="preserve">Scalability (not punished for running multiple agents)</w:t>
      </w:r>
    </w:p>
    <w:p>
      <w:pPr>
        <w:numPr>
          <w:ilvl w:val="0"/>
          <w:numId w:val="19"/>
        </w:numPr>
        <w:spacing w:lineRule="auto"/>
      </w:pPr>
      <w:r>
        <w:rPr/>
        <w:t xml:space="preserve">Value alignment (price tied to actual security operations)</w:t>
      </w:r>
    </w:p>
    <w:p>
      <w:pPr>
        <w:spacing w:line="271" w:before="240" w:lineRule="auto"/>
      </w:pPr>
      <w:bookmarkStart w:id="33" w:name="tier_naming"/>
      <w:r>
        <w:rPr>
          <w:b/>
          <w:sz w:val="33"/>
        </w:rPr>
        <w:t xml:space="preserve">Tier Naming</w:t>
      </w:r>
      <w:bookmarkEnd w:id="3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Tier</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Price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Target User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Free</w:t>
            </w:r>
          </w:p>
        </w:tc>
        <w:tc>
          <w:tcPr>
            <w:tcBorders>
              <w:bottom w:val="single" w:sz="8" w:space="0" w:color="000000"/>
              <w:right w:val="single" w:sz="8" w:space="0" w:color="000000"/>
            </w:tcBorders>
            <w:vAlign w:val="center"/>
          </w:tcPr>
          <w:p>
            <w:pPr>
              <w:spacing w:lineRule="auto"/>
              <w:jc w:val="left"/>
            </w:pPr>
            <w:r>
              <w:rPr/>
              <w:t xml:space="preserve">$0/mo</w:t>
            </w:r>
          </w:p>
        </w:tc>
        <w:tc>
          <w:tcPr>
            <w:tcBorders>
              <w:bottom w:val="single" w:sz="8" w:space="0" w:color="000000"/>
              <w:right w:val="single" w:sz="8" w:space="0" w:color="000000"/>
            </w:tcBorders>
            <w:vAlign w:val="center"/>
          </w:tcPr>
          <w:p>
            <w:pPr>
              <w:spacing w:lineRule="auto"/>
              <w:jc w:val="left"/>
            </w:pPr>
            <w:r>
              <w:rPr/>
              <w:t xml:space="preserve">Indie developers, testing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Builder</w:t>
            </w:r>
          </w:p>
        </w:tc>
        <w:tc>
          <w:tcPr>
            <w:tcBorders>
              <w:bottom w:val="single" w:sz="8" w:space="0" w:color="000000"/>
              <w:right w:val="single" w:sz="8" w:space="0" w:color="000000"/>
            </w:tcBorders>
            <w:vAlign w:val="center"/>
          </w:tcPr>
          <w:p>
            <w:pPr>
              <w:spacing w:lineRule="auto"/>
              <w:jc w:val="left"/>
            </w:pPr>
            <w:r>
              <w:rPr/>
              <w:t xml:space="preserve">$29/mo</w:t>
            </w:r>
          </w:p>
        </w:tc>
        <w:tc>
          <w:tcPr>
            <w:tcBorders>
              <w:bottom w:val="single" w:sz="8" w:space="0" w:color="000000"/>
              <w:right w:val="single" w:sz="8" w:space="0" w:color="000000"/>
            </w:tcBorders>
            <w:vAlign w:val="center"/>
          </w:tcPr>
          <w:p>
            <w:pPr>
              <w:spacing w:lineRule="auto"/>
              <w:jc w:val="left"/>
            </w:pPr>
            <w:r>
              <w:rPr/>
              <w:t xml:space="preserve">Small teams, production pilots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Scale</w:t>
            </w:r>
          </w:p>
        </w:tc>
        <w:tc>
          <w:tcPr>
            <w:tcBorders>
              <w:bottom w:val="single" w:sz="8" w:space="0" w:color="000000"/>
              <w:right w:val="single" w:sz="8" w:space="0" w:color="000000"/>
            </w:tcBorders>
            <w:vAlign w:val="center"/>
          </w:tcPr>
          <w:p>
            <w:pPr>
              <w:spacing w:lineRule="auto"/>
              <w:jc w:val="left"/>
            </w:pPr>
            <w:r>
              <w:rPr/>
              <w:t xml:space="preserve">$99/mo</w:t>
            </w:r>
          </w:p>
        </w:tc>
        <w:tc>
          <w:tcPr>
            <w:tcBorders>
              <w:bottom w:val="single" w:sz="8" w:space="0" w:color="000000"/>
              <w:right w:val="single" w:sz="8" w:space="0" w:color="000000"/>
            </w:tcBorders>
            <w:vAlign w:val="center"/>
          </w:tcPr>
          <w:p>
            <w:pPr>
              <w:spacing w:lineRule="auto"/>
              <w:jc w:val="left"/>
            </w:pPr>
            <w:r>
              <w:rPr/>
              <w:t xml:space="preserve">Growing companies, compliance needs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Enterprise</w:t>
            </w:r>
          </w:p>
        </w:tc>
        <w:tc>
          <w:tcPr>
            <w:tcBorders>
              <w:bottom w:val="single" w:sz="8" w:space="0" w:color="000000"/>
              <w:right w:val="single" w:sz="8" w:space="0" w:color="000000"/>
            </w:tcBorders>
            <w:vAlign w:val="center"/>
          </w:tcPr>
          <w:p>
            <w:pPr>
              <w:spacing w:lineRule="auto"/>
              <w:jc w:val="left"/>
            </w:pPr>
            <w:r>
              <w:rPr/>
              <w:t xml:space="preserve">$399/mo</w:t>
            </w:r>
          </w:p>
        </w:tc>
        <w:tc>
          <w:tcPr>
            <w:tcBorders>
              <w:bottom w:val="single" w:sz="8" w:space="0" w:color="000000"/>
              <w:right w:val="single" w:sz="8" w:space="0" w:color="000000"/>
            </w:tcBorders>
            <w:vAlign w:val="center"/>
          </w:tcPr>
          <w:p>
            <w:pPr>
              <w:spacing w:lineRule="auto"/>
              <w:jc w:val="left"/>
            </w:pPr>
            <w:r>
              <w:rPr/>
              <w:t xml:space="preserve">Large organizations, self-hosting</w:t>
            </w:r>
          </w:p>
        </w:tc>
      </w:tr>
    </w:tbl>
    <w:p>
      <w:pPr>
        <w:spacing w:lineRule="auto"/>
      </w:pPr>
    </w:p>
    <w:p>
      <w:pPr>
        <w:spacing w:lineRule="auto"/>
      </w:pPr>
      <w:r>
        <w:rPr/>
        <w:t xml:space="preserve">Table 3: Product tier structure</w:t>
      </w:r>
    </w:p>
    <w:p>
      <w:pPr>
        <w:spacing w:after="210" w:lineRule="auto"/>
      </w:pPr>
      <w:r>
        <w:rPr>
          <w:b/>
        </w:rPr>
        <w:t xml:space="preserve">Messaging Guidelines:</w:t>
      </w:r>
    </w:p>
    <w:p>
      <w:pPr>
        <w:numPr>
          <w:ilvl w:val="0"/>
          <w:numId w:val="20"/>
        </w:numPr>
        <w:spacing w:lineRule="auto"/>
      </w:pPr>
      <w:r>
        <w:rPr/>
        <w:t xml:space="preserve">Free tier: "Forever free for indie developers"</w:t>
      </w:r>
    </w:p>
    <w:p>
      <w:pPr>
        <w:numPr>
          <w:ilvl w:val="0"/>
          <w:numId w:val="20"/>
        </w:numPr>
        <w:spacing w:lineRule="auto"/>
      </w:pPr>
      <w:r>
        <w:rPr/>
        <w:t xml:space="preserve">Builder tier: Label as "Most Popular" to drive conversions</w:t>
      </w:r>
    </w:p>
    <w:p>
      <w:pPr>
        <w:numPr>
          <w:ilvl w:val="0"/>
          <w:numId w:val="20"/>
        </w:numPr>
        <w:spacing w:lineRule="auto"/>
      </w:pPr>
      <w:r>
        <w:rPr/>
        <w:t xml:space="preserve">Scale tier: Emphasize compliance features</w:t>
      </w:r>
    </w:p>
    <w:p>
      <w:pPr>
        <w:numPr>
          <w:ilvl w:val="0"/>
          <w:numId w:val="20"/>
        </w:numPr>
        <w:spacing w:lineRule="auto"/>
      </w:pPr>
      <w:r>
        <w:rPr/>
        <w:t xml:space="preserve">Enterprise tier: Lead with "Custom Retention" and "Self-hosting"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compliance_and_legal_language"/>
      <w:r>
        <w:rPr>
          <w:b/>
          <w:sz w:val="42"/>
        </w:rPr>
        <w:t xml:space="preserve">Compliance and Legal Language</w:t>
      </w:r>
      <w:bookmarkEnd w:id="34"/>
    </w:p>
    <w:p>
      <w:pPr>
        <w:spacing w:line="271" w:before="240" w:lineRule="auto"/>
      </w:pPr>
      <w:bookmarkStart w:id="35" w:name="eu_ai_act_references"/>
      <w:r>
        <w:rPr>
          <w:b/>
          <w:sz w:val="33"/>
        </w:rPr>
        <w:t xml:space="preserve">EU AI Act References</w:t>
      </w:r>
      <w:bookmarkEnd w:id="35"/>
    </w:p>
    <w:p>
      <w:pPr>
        <w:spacing w:after="210" w:lineRule="auto"/>
      </w:pPr>
      <w:r>
        <w:rPr>
          <w:b/>
        </w:rPr>
        <w:t xml:space="preserve">Approved Article References:</w:t>
      </w:r>
    </w:p>
    <w:p>
      <w:pPr>
        <w:numPr>
          <w:ilvl w:val="0"/>
          <w:numId w:val="21"/>
        </w:numPr>
        <w:spacing w:lineRule="auto"/>
      </w:pPr>
      <w:r>
        <w:rPr>
          <w:b/>
        </w:rPr>
        <w:t xml:space="preserve">Article 9</w:t>
      </w:r>
      <w:r>
        <w:rPr>
          <w:rFonts w:eastAsia="Georgia" w:cs="Georgia" w:ascii="Georgia" w:hAnsi="Georgia"/>
        </w:rPr>
        <w:t xml:space="preserve"> — Risk Management System</w:t>
      </w:r>
    </w:p>
    <w:p>
      <w:pPr>
        <w:numPr>
          <w:ilvl w:val="0"/>
          <w:numId w:val="21"/>
        </w:numPr>
        <w:spacing w:lineRule="auto"/>
      </w:pPr>
      <w:r>
        <w:rPr>
          <w:b/>
        </w:rPr>
        <w:t xml:space="preserve">Article 13</w:t>
      </w:r>
      <w:r>
        <w:rPr>
          <w:rFonts w:eastAsia="Georgia" w:cs="Georgia" w:ascii="Georgia" w:hAnsi="Georgia"/>
        </w:rPr>
        <w:t xml:space="preserve"> — Transparency and Logging</w:t>
      </w:r>
    </w:p>
    <w:p>
      <w:pPr>
        <w:numPr>
          <w:ilvl w:val="0"/>
          <w:numId w:val="21"/>
        </w:numPr>
        <w:spacing w:lineRule="auto"/>
      </w:pPr>
      <w:r>
        <w:rPr>
          <w:b/>
        </w:rPr>
        <w:t xml:space="preserve">Article 14</w:t>
      </w:r>
      <w:r>
        <w:rPr>
          <w:rFonts w:eastAsia="Georgia" w:cs="Georgia" w:ascii="Georgia" w:hAnsi="Georgia"/>
        </w:rPr>
        <w:t xml:space="preserve"> — Human Oversight Controls</w:t>
      </w:r>
    </w:p>
    <w:p>
      <w:pPr>
        <w:spacing w:after="210" w:lineRule="auto"/>
      </w:pPr>
      <w:r>
        <w:rPr>
          <w:b/>
        </w:rPr>
        <w:t xml:space="preserve">Usage:</w:t>
      </w:r>
      <w:r>
        <w:rPr/>
        <w:br w:type="textWrapping"/>
      </w:r>
      <w:r>
        <w:rPr/>
        <w:t xml:space="preserve">Always pair article numbers with plain-language explanations. Don't assume audience familiarity with regulation text.</w:t>
      </w:r>
    </w:p>
    <w:p>
      <w:pPr>
        <w:spacing w:line="271" w:before="240" w:lineRule="auto"/>
      </w:pPr>
      <w:bookmarkStart w:id="36" w:name="compliance_claims"/>
      <w:r>
        <w:rPr>
          <w:b/>
          <w:sz w:val="33"/>
        </w:rPr>
        <w:t xml:space="preserve">Compliance Claims</w:t>
      </w:r>
      <w:bookmarkEnd w:id="36"/>
    </w:p>
    <w:p>
      <w:pPr>
        <w:spacing w:after="210" w:lineRule="auto"/>
      </w:pPr>
      <w:r>
        <w:rPr>
          <w:b/>
        </w:rPr>
        <w:t xml:space="preserve">Acceptable:</w:t>
      </w:r>
    </w:p>
    <w:p>
      <w:pPr>
        <w:numPr>
          <w:ilvl w:val="0"/>
          <w:numId w:val="22"/>
        </w:numPr>
        <w:spacing w:lineRule="auto"/>
      </w:pPr>
      <w:r>
        <w:rPr/>
        <w:t xml:space="preserve">"EU AI Act-ready compliance reports"</w:t>
      </w:r>
    </w:p>
    <w:p>
      <w:pPr>
        <w:numPr>
          <w:ilvl w:val="0"/>
          <w:numId w:val="22"/>
        </w:numPr>
        <w:spacing w:lineRule="auto"/>
      </w:pPr>
      <w:r>
        <w:rPr/>
        <w:t xml:space="preserve">"Generates Human Oversight Evidence Reports"</w:t>
      </w:r>
    </w:p>
    <w:p>
      <w:pPr>
        <w:numPr>
          <w:ilvl w:val="0"/>
          <w:numId w:val="22"/>
        </w:numPr>
        <w:spacing w:lineRule="auto"/>
      </w:pPr>
      <w:r>
        <w:rPr/>
        <w:t xml:space="preserve">"Built for EU AI Act auditors"</w:t>
      </w:r>
    </w:p>
    <w:p>
      <w:pPr>
        <w:spacing w:after="210" w:lineRule="auto"/>
      </w:pPr>
      <w:r>
        <w:rPr>
          <w:b/>
        </w:rPr>
        <w:t xml:space="preserve">Avoid:</w:t>
      </w:r>
    </w:p>
    <w:p>
      <w:pPr>
        <w:numPr>
          <w:ilvl w:val="0"/>
          <w:numId w:val="23"/>
        </w:numPr>
        <w:spacing w:lineRule="auto"/>
      </w:pPr>
      <w:r>
        <w:rPr/>
        <w:t xml:space="preserve">"Guarantees EU AI Act compliance" (we enable, not certify)</w:t>
      </w:r>
    </w:p>
    <w:p>
      <w:pPr>
        <w:numPr>
          <w:ilvl w:val="0"/>
          <w:numId w:val="23"/>
        </w:numPr>
        <w:spacing w:lineRule="auto"/>
      </w:pPr>
      <w:r>
        <w:rPr/>
        <w:t xml:space="preserve">"Automatically complies with all regulations"</w:t>
      </w:r>
    </w:p>
    <w:p>
      <w:pPr>
        <w:numPr>
          <w:ilvl w:val="0"/>
          <w:numId w:val="23"/>
        </w:numPr>
        <w:spacing w:lineRule="auto"/>
      </w:pPr>
      <w:r>
        <w:rPr/>
        <w:t xml:space="preserve">Any claim suggesting legal certification</w:t>
      </w:r>
    </w:p>
    <w:p>
      <w:pPr>
        <w:spacing w:line="271" w:before="240" w:lineRule="auto"/>
      </w:pPr>
      <w:bookmarkStart w:id="37" w:name="risk_and_incident_disclosure"/>
      <w:r>
        <w:rPr>
          <w:b/>
          <w:sz w:val="33"/>
        </w:rPr>
        <w:t xml:space="preserve">Risk and Incident Disclosure</w:t>
      </w:r>
      <w:bookmarkEnd w:id="37"/>
    </w:p>
    <w:p>
      <w:pPr>
        <w:spacing w:after="210" w:lineRule="auto"/>
      </w:pPr>
      <w:r>
        <w:rPr/>
        <w:t xml:space="preserve">When referencing security incidents:</w:t>
      </w:r>
    </w:p>
    <w:p>
      <w:pPr>
        <w:numPr>
          <w:ilvl w:val="0"/>
          <w:numId w:val="24"/>
        </w:numPr>
        <w:spacing w:lineRule="auto"/>
      </w:pPr>
      <w:r>
        <w:rPr/>
        <w:t xml:space="preserve">Use specific, verifiable examples</w:t>
      </w:r>
    </w:p>
    <w:p>
      <w:pPr>
        <w:numPr>
          <w:ilvl w:val="0"/>
          <w:numId w:val="24"/>
        </w:numPr>
        <w:spacing w:lineRule="auto"/>
      </w:pPr>
      <w:r>
        <w:rPr/>
        <w:t xml:space="preserve">Cite public sources when available</w:t>
      </w:r>
    </w:p>
    <w:p>
      <w:pPr>
        <w:numPr>
          <w:ilvl w:val="0"/>
          <w:numId w:val="24"/>
        </w:numPr>
        <w:spacing w:lineRule="auto"/>
      </w:pPr>
      <w:r>
        <w:rPr/>
        <w:t xml:space="preserve">Frame as industry-wide challenges, not attacks on competitors</w:t>
      </w:r>
    </w:p>
    <w:p>
      <w:pPr>
        <w:numPr>
          <w:ilvl w:val="0"/>
          <w:numId w:val="24"/>
        </w:numPr>
        <w:spacing w:lineRule="auto"/>
      </w:pPr>
      <w:r>
        <w:rPr/>
        <w:t xml:space="preserve">Connect incident to SupraWall solution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channel_guidelines"/>
      <w:r>
        <w:rPr>
          <w:b/>
          <w:sz w:val="42"/>
        </w:rPr>
        <w:t xml:space="preserve">Channel Guidelines</w:t>
      </w:r>
      <w:bookmarkEnd w:id="38"/>
    </w:p>
    <w:p>
      <w:pPr>
        <w:spacing w:line="271" w:before="240" w:lineRule="auto"/>
      </w:pPr>
      <w:bookmarkStart w:id="39" w:name="website_copy"/>
      <w:r>
        <w:rPr>
          <w:b/>
          <w:sz w:val="33"/>
        </w:rPr>
        <w:t xml:space="preserve">Website Copy</w:t>
      </w:r>
      <w:bookmarkEnd w:id="39"/>
    </w:p>
    <w:p>
      <w:pPr>
        <w:spacing w:after="210" w:lineRule="auto"/>
      </w:pPr>
      <w:r>
        <w:rPr>
          <w:b/>
        </w:rPr>
        <w:t xml:space="preserve">Homepage Structure:</w:t>
      </w:r>
    </w:p>
    <w:p>
      <w:pPr>
        <w:numPr>
          <w:ilvl w:val="0"/>
          <w:numId w:val="25"/>
        </w:numPr>
        <w:spacing w:lineRule="auto"/>
      </w:pPr>
      <w:r>
        <w:rPr/>
        <w:t xml:space="preserve">Hero with problem-focused headline</w:t>
      </w:r>
    </w:p>
    <w:p>
      <w:pPr>
        <w:numPr>
          <w:ilvl w:val="0"/>
          <w:numId w:val="25"/>
        </w:numPr>
        <w:spacing w:lineRule="auto"/>
      </w:pPr>
      <w:r>
        <w:rPr/>
        <w:t xml:space="preserve">Trust indicators (logos, statistics, regulations)</w:t>
      </w:r>
    </w:p>
    <w:p>
      <w:pPr>
        <w:numPr>
          <w:ilvl w:val="0"/>
          <w:numId w:val="25"/>
        </w:numPr>
        <w:spacing w:lineRule="auto"/>
      </w:pPr>
      <w:r>
        <w:rPr/>
        <w:t xml:space="preserve">Core problem explanation (why system prompts fail)</w:t>
      </w:r>
    </w:p>
    <w:p>
      <w:pPr>
        <w:numPr>
          <w:ilvl w:val="0"/>
          <w:numId w:val="25"/>
        </w:numPr>
        <w:spacing w:lineRule="auto"/>
      </w:pPr>
      <w:r>
        <w:rPr/>
        <w:t xml:space="preserve">How it works (3-step process)</w:t>
      </w:r>
    </w:p>
    <w:p>
      <w:pPr>
        <w:numPr>
          <w:ilvl w:val="0"/>
          <w:numId w:val="25"/>
        </w:numPr>
        <w:spacing w:lineRule="auto"/>
      </w:pPr>
      <w:r>
        <w:rPr/>
        <w:t xml:space="preserve">Code example</w:t>
      </w:r>
    </w:p>
    <w:p>
      <w:pPr>
        <w:numPr>
          <w:ilvl w:val="0"/>
          <w:numId w:val="25"/>
        </w:numPr>
        <w:spacing w:lineRule="auto"/>
      </w:pPr>
      <w:r>
        <w:rPr/>
        <w:t xml:space="preserve">Feature grid</w:t>
      </w:r>
    </w:p>
    <w:p>
      <w:pPr>
        <w:numPr>
          <w:ilvl w:val="0"/>
          <w:numId w:val="25"/>
        </w:numPr>
        <w:spacing w:lineRule="auto"/>
      </w:pPr>
      <w:r>
        <w:rPr/>
        <w:t xml:space="preserve">Integration logos</w:t>
      </w:r>
    </w:p>
    <w:p>
      <w:pPr>
        <w:numPr>
          <w:ilvl w:val="0"/>
          <w:numId w:val="25"/>
        </w:numPr>
        <w:spacing w:lineRule="auto"/>
      </w:pPr>
      <w:r>
        <w:rPr/>
        <w:t xml:space="preserve">Compliance section</w:t>
      </w:r>
    </w:p>
    <w:p>
      <w:pPr>
        <w:numPr>
          <w:ilvl w:val="0"/>
          <w:numId w:val="25"/>
        </w:numPr>
        <w:spacing w:lineRule="auto"/>
      </w:pPr>
      <w:r>
        <w:rPr/>
        <w:t xml:space="preserve">Pricing table</w:t>
      </w:r>
    </w:p>
    <w:p>
      <w:pPr>
        <w:numPr>
          <w:ilvl w:val="0"/>
          <w:numId w:val="25"/>
        </w:numPr>
        <w:spacing w:lineRule="auto"/>
      </w:pPr>
      <w:r>
        <w:rPr/>
        <w:t xml:space="preserve">Final CTA</w:t>
      </w:r>
    </w:p>
    <w:p>
      <w:pPr>
        <w:spacing w:after="210" w:lineRule="auto"/>
      </w:pPr>
      <w:r>
        <w:rPr>
          <w:b/>
        </w:rPr>
        <w:t xml:space="preserve">Tone:</w:t>
      </w:r>
      <w:r>
        <w:rPr/>
        <w:t xml:space="preserve"> Direct, technical, evidence-based</w:t>
      </w:r>
    </w:p>
    <w:p>
      <w:pPr>
        <w:spacing w:line="271" w:before="240" w:lineRule="auto"/>
      </w:pPr>
      <w:bookmarkStart w:id="40" w:name="documentation"/>
      <w:r>
        <w:rPr>
          <w:b/>
          <w:sz w:val="33"/>
        </w:rPr>
        <w:t xml:space="preserve">Documentation</w:t>
      </w:r>
      <w:bookmarkEnd w:id="40"/>
    </w:p>
    <w:p>
      <w:pPr>
        <w:spacing w:after="210" w:lineRule="auto"/>
      </w:pPr>
      <w:r>
        <w:rPr>
          <w:b/>
        </w:rPr>
        <w:t xml:space="preserve">Style:</w:t>
      </w:r>
    </w:p>
    <w:p>
      <w:pPr>
        <w:numPr>
          <w:ilvl w:val="0"/>
          <w:numId w:val="26"/>
        </w:numPr>
        <w:spacing w:lineRule="auto"/>
      </w:pPr>
      <w:r>
        <w:rPr/>
        <w:t xml:space="preserve">Write for developers actively integrating</w:t>
      </w:r>
    </w:p>
    <w:p>
      <w:pPr>
        <w:numPr>
          <w:ilvl w:val="0"/>
          <w:numId w:val="26"/>
        </w:numPr>
        <w:spacing w:lineRule="auto"/>
      </w:pPr>
      <w:r>
        <w:rPr/>
        <w:t xml:space="preserve">Show working code first, explain theory second</w:t>
      </w:r>
    </w:p>
    <w:p>
      <w:pPr>
        <w:numPr>
          <w:ilvl w:val="0"/>
          <w:numId w:val="26"/>
        </w:numPr>
        <w:spacing w:lineRule="auto"/>
      </w:pPr>
      <w:r>
        <w:rPr/>
        <w:t xml:space="preserve">Use tabs for multi-language examples</w:t>
      </w:r>
    </w:p>
    <w:p>
      <w:pPr>
        <w:numPr>
          <w:ilvl w:val="0"/>
          <w:numId w:val="26"/>
        </w:numPr>
        <w:spacing w:lineRule="auto"/>
      </w:pPr>
      <w:r>
        <w:rPr/>
        <w:t xml:space="preserve">Include error handling and edge cases</w:t>
      </w:r>
    </w:p>
    <w:p>
      <w:pPr>
        <w:spacing w:after="210" w:lineRule="auto"/>
      </w:pPr>
      <w:r>
        <w:rPr>
          <w:b/>
        </w:rPr>
        <w:t xml:space="preserve">Structure:</w:t>
      </w:r>
    </w:p>
    <w:p>
      <w:pPr>
        <w:numPr>
          <w:ilvl w:val="0"/>
          <w:numId w:val="27"/>
        </w:numPr>
        <w:spacing w:lineRule="auto"/>
      </w:pPr>
      <w:r>
        <w:rPr/>
        <w:t xml:space="preserve">Quick start (fastest path to first interception)</w:t>
      </w:r>
    </w:p>
    <w:p>
      <w:pPr>
        <w:numPr>
          <w:ilvl w:val="0"/>
          <w:numId w:val="27"/>
        </w:numPr>
        <w:spacing w:lineRule="auto"/>
      </w:pPr>
      <w:r>
        <w:rPr/>
        <w:t xml:space="preserve">Core concepts (how SupraWall works)</w:t>
      </w:r>
    </w:p>
    <w:p>
      <w:pPr>
        <w:numPr>
          <w:ilvl w:val="0"/>
          <w:numId w:val="27"/>
        </w:numPr>
        <w:spacing w:lineRule="auto"/>
      </w:pPr>
      <w:r>
        <w:rPr/>
        <w:t xml:space="preserve">Framework-specific guides</w:t>
      </w:r>
    </w:p>
    <w:p>
      <w:pPr>
        <w:numPr>
          <w:ilvl w:val="0"/>
          <w:numId w:val="27"/>
        </w:numPr>
        <w:spacing w:lineRule="auto"/>
      </w:pPr>
      <w:r>
        <w:rPr/>
        <w:t xml:space="preserve">API reference</w:t>
      </w:r>
    </w:p>
    <w:p>
      <w:pPr>
        <w:numPr>
          <w:ilvl w:val="0"/>
          <w:numId w:val="27"/>
        </w:numPr>
        <w:spacing w:lineRule="auto"/>
      </w:pPr>
      <w:r>
        <w:rPr/>
        <w:t xml:space="preserve">Compliance guides</w:t>
      </w:r>
    </w:p>
    <w:p>
      <w:pPr>
        <w:spacing w:line="271" w:before="240" w:lineRule="auto"/>
      </w:pPr>
      <w:bookmarkStart w:id="41" w:name="social_media"/>
      <w:r>
        <w:rPr>
          <w:b/>
          <w:sz w:val="33"/>
        </w:rPr>
        <w:t xml:space="preserve">Social Media</w:t>
      </w:r>
      <w:bookmarkEnd w:id="41"/>
    </w:p>
    <w:p>
      <w:pPr>
        <w:spacing w:after="210" w:lineRule="auto"/>
      </w:pPr>
      <w:r>
        <w:rPr>
          <w:b/>
        </w:rPr>
        <w:t xml:space="preserve">LinkedIn (Primary Channel):</w:t>
      </w:r>
    </w:p>
    <w:p>
      <w:pPr>
        <w:numPr>
          <w:ilvl w:val="0"/>
          <w:numId w:val="28"/>
        </w:numPr>
        <w:spacing w:lineRule="auto"/>
      </w:pPr>
      <w:r>
        <w:rPr/>
        <w:t xml:space="preserve">Share security incidents with technical analysis</w:t>
      </w:r>
    </w:p>
    <w:p>
      <w:pPr>
        <w:numPr>
          <w:ilvl w:val="0"/>
          <w:numId w:val="28"/>
        </w:numPr>
        <w:spacing w:lineRule="auto"/>
      </w:pPr>
      <w:r>
        <w:rPr/>
        <w:t xml:space="preserve">Announce new framework integrations</w:t>
      </w:r>
    </w:p>
    <w:p>
      <w:pPr>
        <w:numPr>
          <w:ilvl w:val="0"/>
          <w:numId w:val="28"/>
        </w:numPr>
        <w:spacing w:lineRule="auto"/>
      </w:pPr>
      <w:r>
        <w:rPr/>
        <w:t xml:space="preserve">Post compliance regulation updates</w:t>
      </w:r>
    </w:p>
    <w:p>
      <w:pPr>
        <w:numPr>
          <w:ilvl w:val="0"/>
          <w:numId w:val="28"/>
        </w:numPr>
        <w:spacing w:lineRule="auto"/>
      </w:pPr>
      <w:r>
        <w:rPr/>
        <w:t xml:space="preserve">Highlight customer implementations (with permission)</w:t>
      </w:r>
    </w:p>
    <w:p>
      <w:pPr>
        <w:spacing w:after="210" w:lineRule="auto"/>
      </w:pPr>
      <w:r>
        <w:rPr>
          <w:b/>
        </w:rPr>
        <w:t xml:space="preserve">Twitter/X:</w:t>
      </w:r>
    </w:p>
    <w:p>
      <w:pPr>
        <w:numPr>
          <w:ilvl w:val="0"/>
          <w:numId w:val="29"/>
        </w:numPr>
        <w:spacing w:lineRule="auto"/>
      </w:pPr>
      <w:r>
        <w:rPr/>
        <w:t xml:space="preserve">Real-time security news</w:t>
      </w:r>
    </w:p>
    <w:p>
      <w:pPr>
        <w:numPr>
          <w:ilvl w:val="0"/>
          <w:numId w:val="29"/>
        </w:numPr>
        <w:spacing w:lineRule="auto"/>
      </w:pPr>
      <w:r>
        <w:rPr/>
        <w:t xml:space="preserve">Code snippets and tips</w:t>
      </w:r>
    </w:p>
    <w:p>
      <w:pPr>
        <w:numPr>
          <w:ilvl w:val="0"/>
          <w:numId w:val="29"/>
        </w:numPr>
        <w:spacing w:lineRule="auto"/>
      </w:pPr>
      <w:r>
        <w:rPr/>
        <w:t xml:space="preserve">Industry commentary on AI agent risks</w:t>
      </w:r>
    </w:p>
    <w:p>
      <w:pPr>
        <w:spacing w:after="210" w:lineRule="auto"/>
      </w:pPr>
      <w:r>
        <w:rPr>
          <w:b/>
        </w:rPr>
        <w:t xml:space="preserve">Tone:</w:t>
      </w:r>
      <w:r>
        <w:rPr/>
        <w:t xml:space="preserve"> Professional, informative, occasionally opinionated on security matters</w:t>
      </w:r>
    </w:p>
    <w:p>
      <w:pPr>
        <w:spacing w:line="271" w:before="240" w:lineRule="auto"/>
      </w:pPr>
      <w:bookmarkStart w:id="42" w:name="email_marketing"/>
      <w:r>
        <w:rPr>
          <w:b/>
          <w:sz w:val="33"/>
        </w:rPr>
        <w:t xml:space="preserve">Email Marketing</w:t>
      </w:r>
      <w:bookmarkEnd w:id="42"/>
    </w:p>
    <w:p>
      <w:pPr>
        <w:spacing w:after="210" w:lineRule="auto"/>
      </w:pPr>
      <w:r>
        <w:rPr>
          <w:b/>
        </w:rPr>
        <w:t xml:space="preserve">Onboarding Sequence:</w:t>
      </w:r>
    </w:p>
    <w:p>
      <w:pPr>
        <w:numPr>
          <w:ilvl w:val="0"/>
          <w:numId w:val="30"/>
        </w:numPr>
        <w:spacing w:lineRule="auto"/>
      </w:pPr>
      <w:r>
        <w:rPr/>
        <w:t xml:space="preserve">Welcome + quick start guide</w:t>
      </w:r>
    </w:p>
    <w:p>
      <w:pPr>
        <w:numPr>
          <w:ilvl w:val="0"/>
          <w:numId w:val="30"/>
        </w:numPr>
        <w:spacing w:lineRule="auto"/>
      </w:pPr>
      <w:r>
        <w:rPr/>
        <w:t xml:space="preserve">First interception milestone</w:t>
      </w:r>
    </w:p>
    <w:p>
      <w:pPr>
        <w:numPr>
          <w:ilvl w:val="0"/>
          <w:numId w:val="30"/>
        </w:numPr>
        <w:spacing w:lineRule="auto"/>
      </w:pPr>
      <w:r>
        <w:rPr/>
        <w:t xml:space="preserve">Policy configuration tips</w:t>
      </w:r>
    </w:p>
    <w:p>
      <w:pPr>
        <w:numPr>
          <w:ilvl w:val="0"/>
          <w:numId w:val="30"/>
        </w:numPr>
        <w:spacing w:lineRule="auto"/>
      </w:pPr>
      <w:r>
        <w:rPr/>
        <w:t xml:space="preserve">Compliance feature tour</w:t>
      </w:r>
    </w:p>
    <w:p>
      <w:pPr>
        <w:numPr>
          <w:ilvl w:val="0"/>
          <w:numId w:val="30"/>
        </w:numPr>
        <w:spacing w:lineRule="auto"/>
      </w:pPr>
      <w:r>
        <w:rPr/>
        <w:t xml:space="preserve">Community resources</w:t>
      </w:r>
    </w:p>
    <w:p>
      <w:pPr>
        <w:spacing w:after="210" w:lineRule="auto"/>
      </w:pPr>
      <w:r>
        <w:rPr>
          <w:b/>
        </w:rPr>
        <w:t xml:space="preserve">Newsletter:</w:t>
      </w:r>
    </w:p>
    <w:p>
      <w:pPr>
        <w:numPr>
          <w:ilvl w:val="0"/>
          <w:numId w:val="31"/>
        </w:numPr>
        <w:spacing w:lineRule="auto"/>
      </w:pPr>
      <w:r>
        <w:rPr/>
        <w:t xml:space="preserve">Monthly security briefing</w:t>
      </w:r>
    </w:p>
    <w:p>
      <w:pPr>
        <w:numPr>
          <w:ilvl w:val="0"/>
          <w:numId w:val="31"/>
        </w:numPr>
        <w:spacing w:lineRule="auto"/>
      </w:pPr>
      <w:r>
        <w:rPr/>
        <w:t xml:space="preserve">New framework integrations</w:t>
      </w:r>
    </w:p>
    <w:p>
      <w:pPr>
        <w:numPr>
          <w:ilvl w:val="0"/>
          <w:numId w:val="31"/>
        </w:numPr>
        <w:spacing w:lineRule="auto"/>
      </w:pPr>
      <w:r>
        <w:rPr/>
        <w:t xml:space="preserve">Compliance regulation updates</w:t>
      </w:r>
    </w:p>
    <w:p>
      <w:pPr>
        <w:numPr>
          <w:ilvl w:val="0"/>
          <w:numId w:val="31"/>
        </w:numPr>
        <w:spacing w:lineRule="auto"/>
      </w:pPr>
      <w:r>
        <w:rPr/>
        <w:t xml:space="preserve">Customer success stories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brand_partnerships"/>
      <w:r>
        <w:rPr>
          <w:b/>
          <w:sz w:val="42"/>
        </w:rPr>
        <w:t xml:space="preserve">Brand Partnerships</w:t>
      </w:r>
      <w:bookmarkEnd w:id="43"/>
    </w:p>
    <w:p>
      <w:pPr>
        <w:spacing w:line="271" w:before="240" w:lineRule="auto"/>
      </w:pPr>
      <w:bookmarkStart w:id="44" w:name="integration_partners"/>
      <w:r>
        <w:rPr>
          <w:b/>
          <w:sz w:val="33"/>
        </w:rPr>
        <w:t xml:space="preserve">Integration Partners</w:t>
      </w:r>
      <w:bookmarkEnd w:id="44"/>
    </w:p>
    <w:p>
      <w:pPr>
        <w:spacing w:after="210" w:lineRule="auto"/>
      </w:pPr>
      <w:r>
        <w:rPr/>
        <w:t xml:space="preserve">Current integrations highlighted:</w:t>
      </w:r>
    </w:p>
    <w:p>
      <w:pPr>
        <w:numPr>
          <w:ilvl w:val="0"/>
          <w:numId w:val="32"/>
        </w:numPr>
        <w:spacing w:lineRule="auto"/>
      </w:pPr>
      <w:r>
        <w:rPr/>
        <w:t xml:space="preserve">Claude Cowork</w:t>
      </w:r>
    </w:p>
    <w:p>
      <w:pPr>
        <w:numPr>
          <w:ilvl w:val="0"/>
          <w:numId w:val="32"/>
        </w:numPr>
        <w:spacing w:lineRule="auto"/>
      </w:pPr>
      <w:r>
        <w:rPr/>
        <w:t xml:space="preserve">Vercel AI</w:t>
      </w:r>
    </w:p>
    <w:p>
      <w:pPr>
        <w:numPr>
          <w:ilvl w:val="0"/>
          <w:numId w:val="32"/>
        </w:numPr>
        <w:spacing w:lineRule="auto"/>
      </w:pPr>
      <w:r>
        <w:rPr/>
        <w:t xml:space="preserve">LangChain</w:t>
      </w:r>
    </w:p>
    <w:p>
      <w:pPr>
        <w:numPr>
          <w:ilvl w:val="0"/>
          <w:numId w:val="32"/>
        </w:numPr>
        <w:spacing w:lineRule="auto"/>
      </w:pPr>
      <w:r>
        <w:rPr/>
        <w:t xml:space="preserve">CrewAI</w:t>
      </w:r>
    </w:p>
    <w:p>
      <w:pPr>
        <w:numPr>
          <w:ilvl w:val="0"/>
          <w:numId w:val="32"/>
        </w:numPr>
        <w:spacing w:lineRule="auto"/>
      </w:pPr>
      <w:r>
        <w:rPr/>
        <w:t xml:space="preserve">AutoGen</w:t>
      </w:r>
    </w:p>
    <w:p>
      <w:pPr>
        <w:spacing w:after="210" w:lineRule="auto"/>
      </w:pPr>
      <w:r>
        <w:rPr>
          <w:b/>
        </w:rPr>
        <w:t xml:space="preserve">Partnership Messaging:</w:t>
      </w:r>
      <w:r>
        <w:rPr/>
        <w:br w:type="textWrapping"/>
      </w:r>
      <w:r>
        <w:rPr>
          <w:rFonts w:eastAsia="Georgia" w:cs="Georgia" w:ascii="Georgia" w:hAnsi="Georgia"/>
        </w:rPr>
        <w:t xml:space="preserve">"Now Integrated with [Partner]" — positions SupraWall as additive security layer for established frameworks.</w:t>
      </w:r>
    </w:p>
    <w:p>
      <w:pPr>
        <w:spacing w:line="271" w:before="240" w:lineRule="auto"/>
      </w:pPr>
      <w:bookmarkStart w:id="45" w:name="technology_stack_compatibility"/>
      <w:r>
        <w:rPr>
          <w:b/>
          <w:sz w:val="33"/>
        </w:rPr>
        <w:t xml:space="preserve">Technology Stack Compatibility</w:t>
      </w:r>
      <w:bookmarkEnd w:id="45"/>
    </w:p>
    <w:p>
      <w:pPr>
        <w:spacing w:after="210" w:lineRule="auto"/>
      </w:pPr>
      <w:r>
        <w:rPr/>
        <w:t xml:space="preserve">Emphasize SupraWall works with:</w:t>
      </w:r>
    </w:p>
    <w:p>
      <w:pPr>
        <w:numPr>
          <w:ilvl w:val="0"/>
          <w:numId w:val="33"/>
        </w:numPr>
        <w:spacing w:lineRule="auto"/>
      </w:pPr>
      <w:r>
        <w:rPr/>
        <w:t xml:space="preserve">Multiple languages (Python, TypeScript)</w:t>
      </w:r>
    </w:p>
    <w:p>
      <w:pPr>
        <w:numPr>
          <w:ilvl w:val="0"/>
          <w:numId w:val="33"/>
        </w:numPr>
        <w:spacing w:lineRule="auto"/>
      </w:pPr>
      <w:r>
        <w:rPr/>
        <w:t xml:space="preserve">Multiple frameworks (LangChain, CrewAI, AutoGen, Vercel AI)</w:t>
      </w:r>
    </w:p>
    <w:p>
      <w:pPr>
        <w:numPr>
          <w:ilvl w:val="0"/>
          <w:numId w:val="33"/>
        </w:numPr>
        <w:spacing w:lineRule="auto"/>
      </w:pPr>
      <w:r>
        <w:rPr/>
        <w:t xml:space="preserve">Multiple databases (PostgreSQL, extensible)</w:t>
      </w:r>
    </w:p>
    <w:p>
      <w:pPr>
        <w:numPr>
          <w:ilvl w:val="0"/>
          <w:numId w:val="33"/>
        </w:numPr>
        <w:spacing w:lineRule="auto"/>
      </w:pPr>
      <w:r>
        <w:rPr/>
        <w:t xml:space="preserve">Multiple deployment environments (Docker, self-hosted)</w:t>
      </w:r>
    </w:p>
    <w:p>
      <w:pPr>
        <w:spacing w:after="210" w:lineRule="auto"/>
      </w:pPr>
      <w:r>
        <w:rPr/>
        <w:t xml:space="preserve">This "bring your own stack" positioning reinforces developer-friendly values.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do_s_and_don_ts"/>
      <w:r>
        <w:rPr>
          <w:b/>
          <w:sz w:val="42"/>
        </w:rPr>
        <w:t xml:space="preserve">Do's and Don'ts</w:t>
      </w:r>
      <w:bookmarkEnd w:id="46"/>
    </w:p>
    <w:p>
      <w:pPr>
        <w:spacing w:line="271" w:before="240" w:lineRule="auto"/>
      </w:pPr>
      <w:bookmarkStart w:id="47" w:name="brand_voice"/>
      <w:r>
        <w:rPr>
          <w:b/>
          <w:sz w:val="33"/>
        </w:rPr>
        <w:t xml:space="preserve">Brand Voice</w:t>
      </w:r>
      <w:bookmarkEnd w:id="47"/>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Do</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Don't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"Your AI agent will go rogue"</w:t>
            </w:r>
          </w:p>
        </w:tc>
        <w:tc>
          <w:tcPr>
            <w:tcBorders>
              <w:bottom w:val="single" w:sz="8" w:space="0" w:color="000000"/>
              <w:right w:val="single" w:sz="8" w:space="0" w:color="000000"/>
            </w:tcBorders>
            <w:vAlign w:val="top"/>
          </w:tcPr>
          <w:p>
            <w:pPr>
              <w:spacing w:lineRule="auto"/>
              <w:jc w:val="left"/>
            </w:pPr>
            <w:r>
              <w:rPr/>
              <w:t xml:space="preserve">"AI agents might have issues"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"System prompts are not a security layer"</w:t>
            </w:r>
          </w:p>
        </w:tc>
        <w:tc>
          <w:tcPr>
            <w:tcBorders>
              <w:bottom w:val="single" w:sz="8" w:space="0" w:color="000000"/>
              <w:right w:val="single" w:sz="8" w:space="0" w:color="000000"/>
            </w:tcBorders>
            <w:vAlign w:val="top"/>
          </w:tcPr>
          <w:p>
            <w:pPr>
              <w:spacing w:lineRule="auto"/>
              <w:jc w:val="left"/>
            </w:pPr>
            <w:r>
              <w:rPr/>
              <w:t xml:space="preserve">"System prompts have limitations"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"Intercepts every tool call deterministically"</w:t>
            </w:r>
          </w:p>
        </w:tc>
        <w:tc>
          <w:tcPr>
            <w:tcBorders>
              <w:bottom w:val="single" w:sz="8" w:space="0" w:color="000000"/>
              <w:right w:val="single" w:sz="8" w:space="0" w:color="000000"/>
            </w:tcBorders>
            <w:vAlign w:val="top"/>
          </w:tcPr>
          <w:p>
            <w:pPr>
              <w:spacing w:lineRule="auto"/>
              <w:jc w:val="left"/>
            </w:pPr>
            <w:r>
              <w:rPr/>
              <w:t xml:space="preserve">"Monitors AI agent behavior"</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"EU AI Act Article 9 compliance"</w:t>
            </w:r>
          </w:p>
        </w:tc>
        <w:tc>
          <w:tcPr>
            <w:tcBorders>
              <w:bottom w:val="single" w:sz="8" w:space="0" w:color="000000"/>
              <w:right w:val="single" w:sz="8" w:space="0" w:color="000000"/>
            </w:tcBorders>
            <w:vAlign w:val="top"/>
          </w:tcPr>
          <w:p>
            <w:pPr>
              <w:spacing w:lineRule="auto"/>
              <w:jc w:val="left"/>
            </w:pPr>
            <w:r>
              <w:rPr/>
              <w:t xml:space="preserve">"Regulatory ready"</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"One line of code"</w:t>
            </w:r>
          </w:p>
        </w:tc>
        <w:tc>
          <w:tcPr>
            <w:tcBorders>
              <w:bottom w:val="single" w:sz="8" w:space="0" w:color="000000"/>
              <w:right w:val="single" w:sz="8" w:space="0" w:color="000000"/>
            </w:tcBorders>
            <w:vAlign w:val="top"/>
          </w:tcPr>
          <w:p>
            <w:pPr>
              <w:spacing w:lineRule="auto"/>
              <w:jc w:val="left"/>
            </w:pPr>
            <w:r>
              <w:rPr/>
              <w:t xml:space="preserve">"Simple integration"</w:t>
            </w:r>
          </w:p>
        </w:tc>
      </w:tr>
    </w:tbl>
    <w:p>
      <w:pPr>
        <w:spacing w:lineRule="auto"/>
      </w:pPr>
    </w:p>
    <w:p>
      <w:pPr>
        <w:spacing w:lineRule="auto"/>
      </w:pPr>
      <w:r>
        <w:rPr>
          <w:rFonts w:eastAsia="Georgia" w:cs="Georgia" w:ascii="Georgia" w:hAnsi="Georgia"/>
        </w:rPr>
        <w:t xml:space="preserve">Table 4: Voice examples — do's and don'ts</w:t>
      </w:r>
    </w:p>
    <w:p>
      <w:pPr>
        <w:spacing w:line="271" w:before="240" w:lineRule="auto"/>
      </w:pPr>
      <w:bookmarkStart w:id="48" w:name="visual_design"/>
      <w:r>
        <w:rPr>
          <w:b/>
          <w:sz w:val="33"/>
        </w:rPr>
        <w:t xml:space="preserve">Visual Design</w:t>
      </w:r>
      <w:bookmarkEnd w:id="4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Do</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Don't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Use dark backgrounds with high contrast</w:t>
            </w:r>
          </w:p>
        </w:tc>
        <w:tc>
          <w:tcPr>
            <w:tcBorders>
              <w:bottom w:val="single" w:sz="8" w:space="0" w:color="000000"/>
              <w:right w:val="single" w:sz="8" w:space="0" w:color="000000"/>
            </w:tcBorders>
            <w:vAlign w:val="top"/>
          </w:tcPr>
          <w:p>
            <w:pPr>
              <w:spacing w:lineRule="auto"/>
              <w:jc w:val="left"/>
            </w:pPr>
            <w:r>
              <w:rPr/>
              <w:t xml:space="preserve">Use light, friendly color palettes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Show actual code snippets</w:t>
            </w:r>
          </w:p>
        </w:tc>
        <w:tc>
          <w:tcPr>
            <w:tcBorders>
              <w:bottom w:val="single" w:sz="8" w:space="0" w:color="000000"/>
              <w:right w:val="single" w:sz="8" w:space="0" w:color="000000"/>
            </w:tcBorders>
            <w:vAlign w:val="top"/>
          </w:tcPr>
          <w:p>
            <w:pPr>
              <w:spacing w:lineRule="auto"/>
              <w:jc w:val="left"/>
            </w:pPr>
            <w:r>
              <w:rPr/>
              <w:t xml:space="preserve">Use pseudo-code or simplified examples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Display compliance dashboards and reports</w:t>
            </w:r>
          </w:p>
        </w:tc>
        <w:tc>
          <w:tcPr>
            <w:tcBorders>
              <w:bottom w:val="single" w:sz="8" w:space="0" w:color="000000"/>
              <w:right w:val="single" w:sz="8" w:space="0" w:color="000000"/>
            </w:tcBorders>
            <w:vAlign w:val="top"/>
          </w:tcPr>
          <w:p>
            <w:pPr>
              <w:spacing w:lineRule="auto"/>
              <w:jc w:val="left"/>
            </w:pPr>
            <w:r>
              <w:rPr/>
              <w:t xml:space="preserve">Use generic security imagery</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Use technical architecture diagrams</w:t>
            </w:r>
          </w:p>
        </w:tc>
        <w:tc>
          <w:tcPr>
            <w:tcBorders>
              <w:bottom w:val="single" w:sz="8" w:space="0" w:color="000000"/>
              <w:right w:val="single" w:sz="8" w:space="0" w:color="000000"/>
            </w:tcBorders>
            <w:vAlign w:val="top"/>
          </w:tcPr>
          <w:p>
            <w:pPr>
              <w:spacing w:lineRule="auto"/>
              <w:jc w:val="left"/>
            </w:pPr>
            <w:r>
              <w:rPr/>
              <w:t xml:space="preserve">Use abstract illustrations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Maintain clean, grid-based layouts</w:t>
            </w:r>
          </w:p>
        </w:tc>
        <w:tc>
          <w:tcPr>
            <w:tcBorders>
              <w:bottom w:val="single" w:sz="8" w:space="0" w:color="000000"/>
              <w:right w:val="single" w:sz="8" w:space="0" w:color="000000"/>
            </w:tcBorders>
            <w:vAlign w:val="top"/>
          </w:tcPr>
          <w:p>
            <w:pPr>
              <w:spacing w:lineRule="auto"/>
              <w:jc w:val="left"/>
            </w:pPr>
            <w:r>
              <w:rPr/>
              <w:t xml:space="preserve">Use decorative or organic shapes</w:t>
            </w:r>
          </w:p>
        </w:tc>
      </w:tr>
    </w:tbl>
    <w:p>
      <w:pPr>
        <w:spacing w:lineRule="auto"/>
      </w:pPr>
    </w:p>
    <w:p>
      <w:pPr>
        <w:spacing w:lineRule="auto"/>
      </w:pPr>
      <w:r>
        <w:rPr>
          <w:rFonts w:eastAsia="Georgia" w:cs="Georgia" w:ascii="Georgia" w:hAnsi="Georgia"/>
        </w:rPr>
        <w:t xml:space="preserve">Table 5: Visual design — do's and don'ts</w:t>
      </w:r>
    </w:p>
    <w:p>
      <w:pPr>
        <w:spacing w:line="271" w:before="240" w:lineRule="auto"/>
      </w:pPr>
      <w:bookmarkStart w:id="49" w:name="product_messaging"/>
      <w:r>
        <w:rPr>
          <w:b/>
          <w:sz w:val="33"/>
        </w:rPr>
        <w:t xml:space="preserve">Product Messaging</w:t>
      </w:r>
      <w:bookmarkEnd w:id="49"/>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Do</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Don't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Emphasize deterministic, hard-coded policies</w:t>
            </w:r>
          </w:p>
        </w:tc>
        <w:tc>
          <w:tcPr>
            <w:tcBorders>
              <w:bottom w:val="single" w:sz="8" w:space="0" w:color="000000"/>
              <w:right w:val="single" w:sz="8" w:space="0" w:color="000000"/>
            </w:tcBorders>
            <w:vAlign w:val="top"/>
          </w:tcPr>
          <w:p>
            <w:pPr>
              <w:spacing w:lineRule="auto"/>
              <w:jc w:val="left"/>
            </w:pPr>
            <w:r>
              <w:rPr/>
              <w:t xml:space="preserve">Suggest AI-powered security</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Reference specific incidents and statistics</w:t>
            </w:r>
          </w:p>
        </w:tc>
        <w:tc>
          <w:tcPr>
            <w:tcBorders>
              <w:bottom w:val="single" w:sz="8" w:space="0" w:color="000000"/>
              <w:right w:val="single" w:sz="8" w:space="0" w:color="000000"/>
            </w:tcBorders>
            <w:vAlign w:val="top"/>
          </w:tcPr>
          <w:p>
            <w:pPr>
              <w:spacing w:lineRule="auto"/>
              <w:jc w:val="left"/>
            </w:pPr>
            <w:r>
              <w:rPr/>
              <w:t xml:space="preserve">Use vague threat language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Show exact pricing and operation counts</w:t>
            </w:r>
          </w:p>
        </w:tc>
        <w:tc>
          <w:tcPr>
            <w:tcBorders>
              <w:bottom w:val="single" w:sz="8" w:space="0" w:color="000000"/>
              <w:right w:val="single" w:sz="8" w:space="0" w:color="000000"/>
            </w:tcBorders>
            <w:vAlign w:val="top"/>
          </w:tcPr>
          <w:p>
            <w:pPr>
              <w:spacing w:lineRule="auto"/>
              <w:jc w:val="left"/>
            </w:pPr>
            <w:r>
              <w:rPr/>
              <w:t xml:space="preserve">Hide pricing or use "Contact us"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Cite specific regulatory articles</w:t>
            </w:r>
          </w:p>
        </w:tc>
        <w:tc>
          <w:tcPr>
            <w:tcBorders>
              <w:bottom w:val="single" w:sz="8" w:space="0" w:color="000000"/>
              <w:right w:val="single" w:sz="8" w:space="0" w:color="000000"/>
            </w:tcBorders>
            <w:vAlign w:val="top"/>
          </w:tcPr>
          <w:p>
            <w:pPr>
              <w:spacing w:lineRule="auto"/>
              <w:jc w:val="left"/>
            </w:pPr>
            <w:r>
              <w:rPr/>
              <w:t xml:space="preserve">Make blanket compliance claims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Target technical decision-makers</w:t>
            </w:r>
          </w:p>
        </w:tc>
        <w:tc>
          <w:tcPr>
            <w:tcBorders>
              <w:bottom w:val="single" w:sz="8" w:space="0" w:color="000000"/>
              <w:right w:val="single" w:sz="8" w:space="0" w:color="000000"/>
            </w:tcBorders>
            <w:vAlign w:val="top"/>
          </w:tcPr>
          <w:p>
            <w:pPr>
              <w:spacing w:lineRule="auto"/>
              <w:jc w:val="left"/>
            </w:pPr>
            <w:r>
              <w:rPr/>
              <w:t xml:space="preserve">Target non-technical business buyers</w:t>
            </w:r>
          </w:p>
        </w:tc>
      </w:tr>
    </w:tbl>
    <w:p>
      <w:pPr>
        <w:spacing w:lineRule="auto"/>
      </w:pPr>
    </w:p>
    <w:p>
      <w:pPr>
        <w:spacing w:lineRule="auto"/>
      </w:pPr>
      <w:r>
        <w:rPr>
          <w:rFonts w:eastAsia="Georgia" w:cs="Georgia" w:ascii="Georgia" w:hAnsi="Georgia"/>
        </w:rPr>
        <w:t xml:space="preserve">Table 6: Product messaging — do's and don'ts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competitive_positioning"/>
      <w:r>
        <w:rPr>
          <w:b/>
          <w:sz w:val="42"/>
        </w:rPr>
        <w:t xml:space="preserve">Competitive Positioning</w:t>
      </w:r>
      <w:bookmarkEnd w:id="50"/>
    </w:p>
    <w:p>
      <w:pPr>
        <w:spacing w:line="271" w:before="240" w:lineRule="auto"/>
      </w:pPr>
      <w:bookmarkStart w:id="51" w:name="differentiation_points"/>
      <w:r>
        <w:rPr>
          <w:b/>
          <w:sz w:val="33"/>
        </w:rPr>
        <w:t xml:space="preserve">Differentiation Points</w:t>
      </w:r>
      <w:bookmarkEnd w:id="51"/>
    </w:p>
    <w:p>
      <w:pPr>
        <w:spacing w:after="210" w:lineRule="auto"/>
      </w:pPr>
      <w:r>
        <w:rPr>
          <w:b/>
        </w:rPr>
        <w:t xml:space="preserve">1. Deterministic vs Probabilistic</w:t>
      </w:r>
      <w:r>
        <w:rPr/>
        <w:br w:type="textWrapping"/>
      </w:r>
      <w:r>
        <w:rPr/>
        <w:t xml:space="preserve">SupraWall enforces hard-coded rules outside LLM context. Competitors rely on prompts and fine-tuning (probabilistic).</w:t>
      </w:r>
    </w:p>
    <w:p>
      <w:pPr>
        <w:spacing w:after="210" w:lineRule="auto"/>
      </w:pPr>
      <w:r>
        <w:rPr>
          <w:b/>
        </w:rPr>
        <w:t xml:space="preserve">2. Interception-Based Architecture</w:t>
      </w:r>
      <w:r>
        <w:rPr/>
        <w:br w:type="textWrapping"/>
      </w:r>
      <w:r>
        <w:rPr/>
        <w:t xml:space="preserve">We intercept before execution. Monitoring-only tools detect problems after damage is done.</w:t>
      </w:r>
    </w:p>
    <w:p>
      <w:pPr>
        <w:spacing w:after="210" w:lineRule="auto"/>
      </w:pPr>
      <w:r>
        <w:rPr>
          <w:b/>
        </w:rPr>
        <w:t xml:space="preserve">3. Developer-First Integration</w:t>
      </w:r>
      <w:r>
        <w:rPr/>
        <w:br w:type="textWrapping"/>
      </w:r>
      <w:r>
        <w:rPr/>
        <w:t xml:space="preserve">One line of code integration. Enterprise security platforms require complex setup.</w:t>
      </w:r>
    </w:p>
    <w:p>
      <w:pPr>
        <w:spacing w:after="210" w:lineRule="auto"/>
      </w:pPr>
      <w:r>
        <w:rPr>
          <w:b/>
        </w:rPr>
        <w:t xml:space="preserve">4. Compliance-Native Design</w:t>
      </w:r>
      <w:r>
        <w:rPr/>
        <w:br w:type="textWrapping"/>
      </w:r>
      <w:r>
        <w:rPr/>
        <w:t xml:space="preserve">Built for EU AI Act from day one. Retrofitted compliance features from competitors lack native integration.</w:t>
      </w:r>
    </w:p>
    <w:p>
      <w:pPr>
        <w:spacing w:after="210" w:lineRule="auto"/>
      </w:pPr>
      <w:r>
        <w:rPr>
          <w:b/>
        </w:rPr>
        <w:t xml:space="preserve">5. Per-Operation Pricing</w:t>
      </w:r>
      <w:r>
        <w:rPr/>
        <w:br w:type="textWrapping"/>
      </w:r>
      <w:r>
        <w:rPr/>
        <w:t xml:space="preserve">Pay only for actual interceptions. Competitors charge per agent or per seat.</w:t>
      </w:r>
    </w:p>
    <w:p>
      <w:pPr>
        <w:spacing w:line="271" w:before="240" w:lineRule="auto"/>
      </w:pPr>
      <w:bookmarkStart w:id="52" w:name="competitor_categories"/>
      <w:r>
        <w:rPr>
          <w:b/>
          <w:sz w:val="33"/>
        </w:rPr>
        <w:t xml:space="preserve">Competitor Categories</w:t>
      </w:r>
      <w:bookmarkEnd w:id="52"/>
    </w:p>
    <w:p>
      <w:pPr>
        <w:spacing w:after="210" w:lineRule="auto"/>
      </w:pPr>
      <w:r>
        <w:rPr>
          <w:b/>
        </w:rPr>
        <w:t xml:space="preserve">vs. Prompt Injection Defenses</w:t>
      </w:r>
      <w:r>
        <w:rPr/>
        <w:br w:type="textWrapping"/>
      </w:r>
      <w:r>
        <w:rPr/>
        <w:t xml:space="preserve">They try to make prompts unbreakable. We assume prompts will fail and enforce policy deterministically.</w:t>
      </w:r>
    </w:p>
    <w:p>
      <w:pPr>
        <w:spacing w:after="210" w:lineRule="auto"/>
      </w:pPr>
      <w:r>
        <w:rPr>
          <w:b/>
        </w:rPr>
        <w:t xml:space="preserve">vs. LLM Observability Platforms</w:t>
      </w:r>
      <w:r>
        <w:rPr/>
        <w:br w:type="textWrapping"/>
      </w:r>
      <w:r>
        <w:rPr/>
        <w:t xml:space="preserve">They monitor and alert. We intercept and enforce before execution.</w:t>
      </w:r>
    </w:p>
    <w:p>
      <w:pPr>
        <w:spacing w:after="210" w:lineRule="auto"/>
      </w:pPr>
      <w:r>
        <w:rPr>
          <w:b/>
        </w:rPr>
        <w:t xml:space="preserve">vs. Enterprise AI Governance Tools</w:t>
      </w:r>
      <w:r>
        <w:rPr/>
        <w:br w:type="textWrapping"/>
      </w:r>
      <w:r>
        <w:rPr/>
        <w:t xml:space="preserve">They require enterprise-wide deployment. We integrate with a single line of code.</w:t>
      </w:r>
    </w:p>
    <w:p>
      <w:pPr>
        <w:spacing w:line="271" w:before="240" w:lineRule="auto"/>
      </w:pPr>
      <w:bookmarkStart w:id="53" w:name="messaging_against_alternatives"/>
      <w:r>
        <w:rPr>
          <w:b/>
          <w:sz w:val="33"/>
        </w:rPr>
        <w:t xml:space="preserve">Messaging Against Alternatives</w:t>
      </w:r>
      <w:bookmarkEnd w:id="53"/>
    </w:p>
    <w:p>
      <w:pPr>
        <w:spacing w:after="210" w:lineRule="auto"/>
      </w:pPr>
      <w:r>
        <w:rPr>
          <w:b/>
        </w:rPr>
        <w:t xml:space="preserve">The Problem with System Prompts:</w:t>
      </w:r>
      <w:r>
        <w:rPr/>
        <w:br w:type="textWrapping"/>
      </w:r>
      <w:r>
        <w:rPr>
          <w:rFonts w:eastAsia="Georgia" w:cs="Georgia" w:ascii="Georgia" w:hAnsi="Georgia"/>
        </w:rPr>
        <w:t xml:space="preserve">"You told your LLM 'NEVER DROP TABLES'. It listened perfectly — until the context window filled up, the model hallucinated, and it deleted your production database anyway."</w:t>
      </w:r>
    </w:p>
    <w:p>
      <w:pPr>
        <w:spacing w:after="210" w:lineRule="auto"/>
      </w:pPr>
      <w:r>
        <w:rPr>
          <w:b/>
        </w:rPr>
        <w:t xml:space="preserve">The Problem with Monitoring:</w:t>
      </w:r>
      <w:r>
        <w:rPr/>
        <w:br w:type="textWrapping"/>
      </w:r>
      <w:r>
        <w:rPr/>
        <w:t xml:space="preserve">"Detecting the problem after your agent deleted 847 instances doesn't help. SupraWall blocks the deletion before it executes."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community_and_support"/>
      <w:r>
        <w:rPr>
          <w:b/>
          <w:sz w:val="42"/>
        </w:rPr>
        <w:t xml:space="preserve">Community and Support</w:t>
      </w:r>
      <w:bookmarkEnd w:id="54"/>
    </w:p>
    <w:p>
      <w:pPr>
        <w:spacing w:line="271" w:before="240" w:lineRule="auto"/>
      </w:pPr>
      <w:bookmarkStart w:id="55" w:name="community_positioning"/>
      <w:r>
        <w:rPr>
          <w:b/>
          <w:sz w:val="33"/>
        </w:rPr>
        <w:t xml:space="preserve">Community Positioning</w:t>
      </w:r>
      <w:bookmarkEnd w:id="55"/>
    </w:p>
    <w:p>
      <w:pPr>
        <w:spacing w:after="210" w:lineRule="auto"/>
      </w:pPr>
      <w:r>
        <w:rPr>
          <w:rFonts w:eastAsia="Georgia" w:cs="Georgia" w:ascii="Georgia" w:hAnsi="Georgia"/>
        </w:rPr>
        <w:t xml:space="preserve">"Join the Guardians" — community of developers building secure agentic systems.</w:t>
      </w:r>
    </w:p>
    <w:p>
      <w:pPr>
        <w:spacing w:line="271" w:before="240" w:lineRule="auto"/>
      </w:pPr>
      <w:bookmarkStart w:id="56" w:name="support_tier_communication"/>
      <w:r>
        <w:rPr>
          <w:b/>
          <w:sz w:val="33"/>
        </w:rPr>
        <w:t xml:space="preserve">Support Tier Communication</w:t>
      </w:r>
      <w:bookmarkEnd w:id="56"/>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Tier</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Support Level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Free</w:t>
            </w:r>
          </w:p>
        </w:tc>
        <w:tc>
          <w:tcPr>
            <w:tcBorders>
              <w:bottom w:val="single" w:sz="8" w:space="0" w:color="000000"/>
              <w:right w:val="single" w:sz="8" w:space="0" w:color="000000"/>
            </w:tcBorders>
            <w:vAlign w:val="center"/>
          </w:tcPr>
          <w:p>
            <w:pPr>
              <w:spacing w:lineRule="auto"/>
              <w:jc w:val="left"/>
            </w:pPr>
            <w:r>
              <w:rPr/>
              <w:t xml:space="preserve">Community Support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Builder</w:t>
            </w:r>
          </w:p>
        </w:tc>
        <w:tc>
          <w:tcPr>
            <w:tcBorders>
              <w:bottom w:val="single" w:sz="8" w:space="0" w:color="000000"/>
              <w:right w:val="single" w:sz="8" w:space="0" w:color="000000"/>
            </w:tcBorders>
            <w:vAlign w:val="center"/>
          </w:tcPr>
          <w:p>
            <w:pPr>
              <w:spacing w:lineRule="auto"/>
              <w:jc w:val="left"/>
            </w:pPr>
            <w:r>
              <w:rPr/>
              <w:t xml:space="preserve">Email Support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Scale</w:t>
            </w:r>
          </w:p>
        </w:tc>
        <w:tc>
          <w:tcPr>
            <w:tcBorders>
              <w:bottom w:val="single" w:sz="8" w:space="0" w:color="000000"/>
              <w:right w:val="single" w:sz="8" w:space="0" w:color="000000"/>
            </w:tcBorders>
            <w:vAlign w:val="center"/>
          </w:tcPr>
          <w:p>
            <w:pPr>
              <w:spacing w:lineRule="auto"/>
              <w:jc w:val="left"/>
            </w:pPr>
            <w:r>
              <w:rPr/>
              <w:t xml:space="preserve">Priority Support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Enterprise</w:t>
            </w:r>
          </w:p>
        </w:tc>
        <w:tc>
          <w:tcPr>
            <w:tcBorders>
              <w:bottom w:val="single" w:sz="8" w:space="0" w:color="000000"/>
              <w:right w:val="single" w:sz="8" w:space="0" w:color="000000"/>
            </w:tcBorders>
            <w:vAlign w:val="center"/>
          </w:tcPr>
          <w:p>
            <w:pPr>
              <w:spacing w:lineRule="auto"/>
              <w:jc w:val="left"/>
            </w:pPr>
            <w:r>
              <w:rPr/>
              <w:t xml:space="preserve">Dedicated Support + SLA</w:t>
            </w:r>
          </w:p>
        </w:tc>
      </w:tr>
    </w:tbl>
    <w:p>
      <w:pPr>
        <w:spacing w:lineRule="auto"/>
      </w:pPr>
    </w:p>
    <w:p>
      <w:pPr>
        <w:spacing w:lineRule="auto"/>
      </w:pPr>
      <w:r>
        <w:rPr/>
        <w:t xml:space="preserve">Table 7: Support tier structure</w:t>
      </w:r>
    </w:p>
    <w:p>
      <w:pPr>
        <w:spacing w:line="271" w:before="240" w:lineRule="auto"/>
      </w:pPr>
      <w:bookmarkStart w:id="57" w:name="documentation_philosophy"/>
      <w:r>
        <w:rPr>
          <w:b/>
          <w:sz w:val="33"/>
        </w:rPr>
        <w:t xml:space="preserve">Documentation Philosophy</w:t>
      </w:r>
      <w:bookmarkEnd w:id="57"/>
    </w:p>
    <w:p>
      <w:pPr>
        <w:numPr>
          <w:ilvl w:val="0"/>
          <w:numId w:val="34"/>
        </w:numPr>
        <w:spacing w:lineRule="auto"/>
      </w:pPr>
      <w:r>
        <w:rPr>
          <w:b/>
        </w:rPr>
        <w:t xml:space="preserve">Self-service first</w:t>
      </w:r>
      <w:r>
        <w:rPr/>
        <w:t xml:space="preserve">: Comprehensive docs reduce support burden</w:t>
      </w:r>
    </w:p>
    <w:p>
      <w:pPr>
        <w:numPr>
          <w:ilvl w:val="0"/>
          <w:numId w:val="34"/>
        </w:numPr>
        <w:spacing w:lineRule="auto"/>
      </w:pPr>
      <w:r>
        <w:rPr>
          <w:b/>
        </w:rPr>
        <w:t xml:space="preserve">Code-heavy</w:t>
      </w:r>
      <w:r>
        <w:rPr/>
        <w:t xml:space="preserve">: Every concept demonstrated with working code</w:t>
      </w:r>
    </w:p>
    <w:p>
      <w:pPr>
        <w:numPr>
          <w:ilvl w:val="0"/>
          <w:numId w:val="34"/>
        </w:numPr>
        <w:spacing w:lineRule="auto"/>
      </w:pPr>
      <w:r>
        <w:rPr>
          <w:b/>
        </w:rPr>
        <w:t xml:space="preserve">Framework-specific</w:t>
      </w:r>
      <w:r>
        <w:rPr/>
        <w:t xml:space="preserve">: Separate guides for LangChain, CrewAI, AutoGen, Vercel AI</w:t>
      </w:r>
    </w:p>
    <w:p>
      <w:pPr>
        <w:numPr>
          <w:ilvl w:val="0"/>
          <w:numId w:val="34"/>
        </w:numPr>
        <w:spacing w:lineRule="auto"/>
      </w:pPr>
      <w:r>
        <w:rPr>
          <w:b/>
        </w:rPr>
        <w:t xml:space="preserve">Compliance-focused</w:t>
      </w:r>
      <w:r>
        <w:rPr/>
        <w:t xml:space="preserve">: Dedicated section for EU AI Act implementation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evolution_and_updates"/>
      <w:r>
        <w:rPr>
          <w:b/>
          <w:sz w:val="42"/>
        </w:rPr>
        <w:t xml:space="preserve">Evolution and Updates</w:t>
      </w:r>
      <w:bookmarkEnd w:id="58"/>
    </w:p>
    <w:p>
      <w:pPr>
        <w:spacing w:line="271" w:before="240" w:lineRule="auto"/>
      </w:pPr>
      <w:bookmarkStart w:id="59" w:name="brand_consistency"/>
      <w:r>
        <w:rPr>
          <w:b/>
          <w:sz w:val="33"/>
        </w:rPr>
        <w:t xml:space="preserve">Brand Consistency</w:t>
      </w:r>
      <w:bookmarkEnd w:id="59"/>
    </w:p>
    <w:p>
      <w:pPr>
        <w:spacing w:after="210" w:lineRule="auto"/>
      </w:pPr>
      <w:r>
        <w:rPr/>
        <w:t xml:space="preserve">As SupraWall evolves:</w:t>
      </w:r>
    </w:p>
    <w:p>
      <w:pPr>
        <w:numPr>
          <w:ilvl w:val="0"/>
          <w:numId w:val="35"/>
        </w:numPr>
        <w:spacing w:lineRule="auto"/>
      </w:pPr>
      <w:r>
        <w:rPr/>
        <w:t xml:space="preserve">Maintain core positioning as "deterministic security layer"</w:t>
      </w:r>
    </w:p>
    <w:p>
      <w:pPr>
        <w:numPr>
          <w:ilvl w:val="0"/>
          <w:numId w:val="35"/>
        </w:numPr>
        <w:spacing w:lineRule="auto"/>
      </w:pPr>
      <w:r>
        <w:rPr/>
        <w:t xml:space="preserve">Preserve technical, developer-first voice</w:t>
      </w:r>
    </w:p>
    <w:p>
      <w:pPr>
        <w:numPr>
          <w:ilvl w:val="0"/>
          <w:numId w:val="35"/>
        </w:numPr>
        <w:spacing w:lineRule="auto"/>
      </w:pPr>
      <w:r>
        <w:rPr/>
        <w:t xml:space="preserve">Keep dark, high-contrast visual identity</w:t>
      </w:r>
    </w:p>
    <w:p>
      <w:pPr>
        <w:numPr>
          <w:ilvl w:val="0"/>
          <w:numId w:val="35"/>
        </w:numPr>
        <w:spacing w:lineRule="auto"/>
      </w:pPr>
      <w:r>
        <w:rPr/>
        <w:t xml:space="preserve">Continue evidence-based messaging with real incidents</w:t>
      </w:r>
    </w:p>
    <w:p>
      <w:pPr>
        <w:spacing w:line="271" w:before="240" w:lineRule="auto"/>
      </w:pPr>
      <w:bookmarkStart w:id="60" w:name="future_considerations"/>
      <w:r>
        <w:rPr>
          <w:b/>
          <w:sz w:val="33"/>
        </w:rPr>
        <w:t xml:space="preserve">Future Considerations</w:t>
      </w:r>
      <w:bookmarkEnd w:id="60"/>
    </w:p>
    <w:p>
      <w:pPr>
        <w:spacing w:after="210" w:lineRule="auto"/>
      </w:pPr>
      <w:r>
        <w:rPr>
          <w:b/>
        </w:rPr>
        <w:t xml:space="preserve">Potential Expansions:</w:t>
      </w:r>
    </w:p>
    <w:p>
      <w:pPr>
        <w:numPr>
          <w:ilvl w:val="0"/>
          <w:numId w:val="36"/>
        </w:numPr>
        <w:spacing w:lineRule="auto"/>
      </w:pPr>
      <w:r>
        <w:rPr/>
        <w:t xml:space="preserve">Additional language SDKs (Java, Go, Rust)</w:t>
      </w:r>
    </w:p>
    <w:p>
      <w:pPr>
        <w:numPr>
          <w:ilvl w:val="0"/>
          <w:numId w:val="36"/>
        </w:numPr>
        <w:spacing w:lineRule="auto"/>
      </w:pPr>
      <w:r>
        <w:rPr/>
        <w:t xml:space="preserve">More framework integrations</w:t>
      </w:r>
    </w:p>
    <w:p>
      <w:pPr>
        <w:numPr>
          <w:ilvl w:val="0"/>
          <w:numId w:val="36"/>
        </w:numPr>
        <w:spacing w:lineRule="auto"/>
      </w:pPr>
      <w:r>
        <w:rPr/>
        <w:t xml:space="preserve">Additional compliance frameworks (SOC2, ISO 27001)</w:t>
      </w:r>
    </w:p>
    <w:p>
      <w:pPr>
        <w:numPr>
          <w:ilvl w:val="0"/>
          <w:numId w:val="36"/>
        </w:numPr>
        <w:spacing w:lineRule="auto"/>
      </w:pPr>
      <w:r>
        <w:rPr/>
        <w:t xml:space="preserve">Enterprise-specific features</w:t>
      </w:r>
    </w:p>
    <w:p>
      <w:pPr>
        <w:spacing w:after="210" w:lineRule="auto"/>
      </w:pPr>
      <w:r>
        <w:rPr>
          <w:b/>
        </w:rPr>
        <w:t xml:space="preserve">Brand Flexibility:</w:t>
      </w:r>
      <w:r>
        <w:rPr/>
        <w:br w:type="textWrapping"/>
      </w:r>
      <w:r>
        <w:rPr/>
        <w:t xml:space="preserve">As we add features, ensure new messaging:</w:t>
      </w:r>
    </w:p>
    <w:p>
      <w:pPr>
        <w:numPr>
          <w:ilvl w:val="0"/>
          <w:numId w:val="37"/>
        </w:numPr>
        <w:spacing w:lineRule="auto"/>
      </w:pPr>
      <w:r>
        <w:rPr/>
        <w:t xml:space="preserve">Maintains technical precision</w:t>
      </w:r>
    </w:p>
    <w:p>
      <w:pPr>
        <w:numPr>
          <w:ilvl w:val="0"/>
          <w:numId w:val="37"/>
        </w:numPr>
        <w:spacing w:lineRule="auto"/>
      </w:pPr>
      <w:r>
        <w:rPr/>
        <w:t xml:space="preserve">Shows code examples</w:t>
      </w:r>
    </w:p>
    <w:p>
      <w:pPr>
        <w:numPr>
          <w:ilvl w:val="0"/>
          <w:numId w:val="37"/>
        </w:numPr>
        <w:spacing w:lineRule="auto"/>
      </w:pPr>
      <w:r>
        <w:rPr/>
        <w:t xml:space="preserve">Connects to real developer pain points</w:t>
      </w:r>
    </w:p>
    <w:p>
      <w:pPr>
        <w:numPr>
          <w:ilvl w:val="0"/>
          <w:numId w:val="37"/>
        </w:numPr>
        <w:spacing w:lineRule="auto"/>
      </w:pPr>
      <w:r>
        <w:rPr/>
        <w:t xml:space="preserve">Follows existing naming conventions</w:t>
      </w:r>
    </w:p>
    <w:p>
      <w:pPr>
        <w:spacing w:line="271" w:before="240" w:lineRule="auto"/>
      </w:pPr>
      <w:bookmarkStart w:id="61" w:name="version_control"/>
      <w:r>
        <w:rPr>
          <w:b/>
          <w:sz w:val="33"/>
        </w:rPr>
        <w:t xml:space="preserve">Version Control</w:t>
      </w:r>
      <w:bookmarkEnd w:id="61"/>
    </w:p>
    <w:p>
      <w:pPr>
        <w:spacing w:after="210" w:lineRule="auto"/>
      </w:pPr>
      <w:r>
        <w:rPr/>
        <w:t xml:space="preserve">This is Version 1.0 of the SupraWall Brand Guidelines, dated March 2026. Updates should be versioned and dated to maintain consistency across teams.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contact_and_governance"/>
      <w:r>
        <w:rPr>
          <w:b/>
          <w:sz w:val="42"/>
        </w:rPr>
        <w:t xml:space="preserve">Contact and Governance</w:t>
      </w:r>
      <w:bookmarkEnd w:id="62"/>
    </w:p>
    <w:p>
      <w:pPr>
        <w:spacing w:line="271" w:before="240" w:lineRule="auto"/>
      </w:pPr>
      <w:bookmarkStart w:id="63" w:name="brand_custodians"/>
      <w:r>
        <w:rPr>
          <w:b/>
          <w:sz w:val="33"/>
        </w:rPr>
        <w:t xml:space="preserve">Brand Custodians</w:t>
      </w:r>
      <w:bookmarkEnd w:id="63"/>
    </w:p>
    <w:p>
      <w:pPr>
        <w:spacing w:after="210" w:lineRule="auto"/>
      </w:pPr>
      <w:r>
        <w:rPr/>
        <w:t xml:space="preserve">Brand guidelines maintained by the SupraWall product and marketing teams. Questions regarding brand usage should be directed to the appropriate team leads.</w:t>
      </w:r>
    </w:p>
    <w:p>
      <w:pPr>
        <w:spacing w:line="271" w:before="240" w:lineRule="auto"/>
      </w:pPr>
      <w:bookmarkStart w:id="64" w:name="usage_approval"/>
      <w:r>
        <w:rPr>
          <w:b/>
          <w:sz w:val="33"/>
        </w:rPr>
        <w:t xml:space="preserve">Usage Approval</w:t>
      </w:r>
      <w:bookmarkEnd w:id="64"/>
    </w:p>
    <w:p>
      <w:pPr>
        <w:spacing w:after="210" w:lineRule="auto"/>
      </w:pPr>
      <w:r>
        <w:rPr/>
        <w:t xml:space="preserve">For partnership co-marketing, press mentions, or non-standard brand applications, seek approval from the brand team to ensure consistency with these guidelines.</w:t>
      </w:r>
    </w:p>
    <w:p>
      <w:pPr>
        <w:spacing w:line="271" w:before="240" w:lineRule="auto"/>
      </w:pPr>
      <w:bookmarkStart w:id="65" w:name="feedback"/>
      <w:r>
        <w:rPr>
          <w:b/>
          <w:sz w:val="33"/>
        </w:rPr>
        <w:t xml:space="preserve">Feedback</w:t>
      </w:r>
      <w:bookmarkEnd w:id="65"/>
    </w:p>
    <w:p>
      <w:pPr>
        <w:spacing w:after="210" w:lineRule="auto"/>
      </w:pPr>
      <w:r>
        <w:rPr/>
        <w:t xml:space="preserve">These guidelines are living documentation. If you identify gaps, inconsistencies, or opportunities for improvement, contribute feedback through internal channels.</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Brand Guidelines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decimal"/>
      <w:lvlText w:val="%1."/>
      <w:lvlJc w:val="left"/>
      <w:pPr>
        <w:tabs>
          <w:tab w:val="num" w:pos="1080"/>
        </w:tabs>
        <w:ind w:left="720" w:hanging="360"/>
      </w:p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2026-03-13T16:18:40.578Z</dcterms:created>
  <dcterms:modified xsi:type="dcterms:W3CDTF">2026-03-13T16:18:40.578Z</dcterms:modified>
</cp:coreProperties>
</file>