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jc w:val="center"/>
      </w:pPr>
      <w:r>
        <w:rPr>
          <w:rFonts w:ascii="Arial" w:cs="Arial" w:eastAsia="Arial" w:hAnsi="Arial"/>
          <w:b/>
          <w:bCs/>
          <w:color w:val="0A2342"/>
          <w:sz w:val="72"/>
          <w:szCs w:val="72"/>
        </w:rPr>
        <w:t xml:space="preserve">SUPRA-WALL</w:t>
      </w:r>
    </w:p>
    <w:p>
      <w:pPr>
        <w:spacing w:after="400"/>
        <w:jc w:val="center"/>
      </w:pPr>
      <w:r>
        <w:rPr>
          <w:rFonts w:ascii="Arial" w:cs="Arial" w:eastAsia="Arial" w:hAnsi="Arial"/>
          <w:color w:val="0E7490"/>
          <w:sz w:val="36"/>
          <w:szCs w:val="36"/>
        </w:rPr>
        <w:t xml:space="preserve">Enterprise SEO Expansion Plan</w:t>
      </w:r>
    </w:p>
    <w:p>
      <w:pPr>
        <w:pBdr>
          <w:bottom w:val="single" w:color="0E7490" w:sz="4" w:space="1"/>
        </w:pBdr>
        <w:spacing w:after="200" w:before="200"/>
      </w:pPr>
    </w:p>
    <w:p>
      <w:pPr>
        <w:spacing w:after="160" w:before="400"/>
        <w:jc w:val="center"/>
      </w:pPr>
      <w:r>
        <w:rPr>
          <w:rFonts w:ascii="Arial" w:cs="Arial" w:eastAsia="Arial" w:hAnsi="Arial"/>
          <w:b/>
          <w:bCs/>
          <w:color w:val="1B4F8A"/>
          <w:sz w:val="26"/>
          <w:szCs w:val="26"/>
        </w:rPr>
        <w:t xml:space="preserve">Dominating AI Agent Security &amp; EU AI Act Compliance Search</w:t>
      </w:r>
    </w:p>
    <w:p>
      <w:pPr>
        <w:spacing w:after="600"/>
        <w:jc w:val="center"/>
      </w:pPr>
      <w:r>
        <w:rPr>
          <w:rFonts w:ascii="Arial" w:cs="Arial" w:eastAsia="Arial" w:hAnsi="Arial"/>
          <w:color w:val="4B5563"/>
          <w:sz w:val="21"/>
          <w:szCs w:val="21"/>
        </w:rPr>
        <w:t xml:space="preserve">March 2026  —  Confidential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25 Keywords</w:t>
            </w:r>
          </w:p>
        </w:tc>
        <w:tc>
          <w:tcPr>
            <w:tcW w:type="dxa" w:w="2000"/>
            <w:tcBorders>
              <w:top w:val="single" w:color="E5E7EB" w:sz="1"/>
              <w:left w:val="single" w:color="E5E7EB" w:sz="1"/>
              <w:bottom w:val="single" w:color="E5E7EB" w:sz="1"/>
              <w:right w:val="single" w:color="E5E7EB" w:sz="1"/>
            </w:tcBorders>
            <w:shd w:fill="0E7490"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8 Clusters</w:t>
            </w:r>
          </w:p>
        </w:tc>
        <w:tc>
          <w:tcPr>
            <w:tcW w:type="dxa" w:w="2000"/>
            <w:tcBorders>
              <w:top w:val="single" w:color="E5E7EB" w:sz="1"/>
              <w:left w:val="single" w:color="E5E7EB" w:sz="1"/>
              <w:bottom w:val="single" w:color="E5E7EB" w:sz="1"/>
              <w:right w:val="single" w:color="E5E7EB" w:sz="1"/>
            </w:tcBorders>
            <w:shd w:fill="1B4F8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90-Day Plan</w:t>
            </w:r>
          </w:p>
        </w:tc>
      </w:tr>
    </w:tbl>
    <w:p>
      <w:r>
        <w:br w:type="page"/>
      </w:r>
    </w:p>
    <w:p>
      <w:pPr>
        <w:pStyle w:val="Heading1"/>
        <w:spacing w:after="160" w:before="400"/>
      </w:pPr>
      <w:r>
        <w:rPr>
          <w:rFonts w:ascii="Arial" w:cs="Arial" w:eastAsia="Arial" w:hAnsi="Arial"/>
          <w:b/>
          <w:bCs/>
          <w:color w:val="0A2342"/>
          <w:sz w:val="40"/>
          <w:szCs w:val="40"/>
        </w:rPr>
        <w:t xml:space="preserve">Executive Summary</w:t>
      </w:r>
    </w:p>
    <w:p>
      <w:pPr>
        <w:pBdr>
          <w:bottom w:val="single" w:color="0E7490" w:sz="4" w:space="1"/>
        </w:pBdr>
        <w:spacing w:after="200" w:before="200"/>
      </w:pPr>
    </w:p>
    <w:p>
      <w:pPr>
        <w:spacing w:after="160"/>
      </w:pPr>
      <w:r>
        <w:rPr>
          <w:rFonts w:ascii="Arial" w:cs="Arial" w:eastAsia="Arial" w:hAnsi="Arial"/>
          <w:b w:val="false"/>
          <w:bCs w:val="false"/>
          <w:color w:val="222222"/>
          <w:sz w:val="20"/>
          <w:szCs w:val="20"/>
        </w:rPr>
        <w:t xml:space="preserve">Supra-wall sits at the intersection of two of the fastest-growing search categories in enterprise software: AI agent security and EU AI Act compliance. This plan maps a clear path to own both — becoming the canonical result developers and compliance buyers find whenever they search for how to govern, secure, or prove compliance for their AI agents.</w:t>
      </w:r>
    </w:p>
    <w:p>
      <w:pPr>
        <w:spacing w:after="120"/>
      </w:pPr>
    </w:p>
    <w:p>
      <w:pPr>
        <w:spacing w:after="160"/>
      </w:pPr>
      <w:r>
        <w:rPr>
          <w:rFonts w:ascii="Arial" w:cs="Arial" w:eastAsia="Arial" w:hAnsi="Arial"/>
          <w:b/>
          <w:bCs/>
          <w:color w:val="222222"/>
          <w:sz w:val="20"/>
          <w:szCs w:val="20"/>
        </w:rPr>
        <w:t xml:space="preserve">Three compounding advantages define our SEO position:</w:t>
      </w:r>
    </w:p>
    <w:p>
      <w:pPr>
        <w:pStyle w:val="ListParagraph"/>
        <w:numPr>
          <w:ilvl w:val="0"/>
          <w:numId w:val="2"/>
        </w:numPr>
        <w:spacing w:after="80"/>
      </w:pPr>
      <w:r>
        <w:rPr>
          <w:rFonts w:ascii="Arial" w:cs="Arial" w:eastAsia="Arial" w:hAnsi="Arial"/>
          <w:color w:val="222222"/>
          <w:sz w:val="19"/>
          <w:szCs w:val="19"/>
        </w:rPr>
        <w:t xml:space="preserve">The August 2026 enforcement deadline is driving an unprecedented surge in high-intent searches. Terms like 'EU AI Act August 2026', 'AI agent human oversight', and 'Article 14 compliance' are exploding — and most result pages are occupied by generic law firm summaries, not technical tools.</w:t>
      </w:r>
    </w:p>
    <w:p>
      <w:pPr>
        <w:pStyle w:val="ListParagraph"/>
        <w:numPr>
          <w:ilvl w:val="0"/>
          <w:numId w:val="2"/>
        </w:numPr>
        <w:spacing w:after="80"/>
      </w:pPr>
      <w:r>
        <w:rPr>
          <w:rFonts w:ascii="Arial" w:cs="Arial" w:eastAsia="Arial" w:hAnsi="Arial"/>
          <w:color w:val="222222"/>
          <w:sz w:val="19"/>
          <w:szCs w:val="19"/>
        </w:rPr>
        <w:t xml:space="preserve">97% of AI agent codebases are currently non-compliant (Article 9, 12, and 14 violations). Every developer who discovers this will search for a fix. We need to own the fix pages.</w:t>
      </w:r>
    </w:p>
    <w:p>
      <w:pPr>
        <w:pStyle w:val="ListParagraph"/>
        <w:numPr>
          <w:ilvl w:val="0"/>
          <w:numId w:val="2"/>
        </w:numPr>
        <w:spacing w:after="80"/>
      </w:pPr>
      <w:r>
        <w:rPr>
          <w:rFonts w:ascii="Arial" w:cs="Arial" w:eastAsia="Arial" w:hAnsi="Arial"/>
          <w:color w:val="222222"/>
          <w:sz w:val="19"/>
          <w:szCs w:val="19"/>
        </w:rPr>
        <w:t xml:space="preserve">The competitor SEO field is thin. Lakera and Portkey rank for LLM safety terms but have almost no EU AI Act content. Credo AI and Holistic AI target enterprise compliance teams, not developers. The developer-facing, EU AI Act-specific keyword cluster is essentially unclaimed.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Keywords Targeted</w:t>
            </w:r>
          </w:p>
        </w:tc>
        <w:tc>
          <w:tcPr>
            <w:tcW w:type="dxa" w:w="234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Clusters</w:t>
            </w:r>
          </w:p>
        </w:tc>
        <w:tc>
          <w:tcPr>
            <w:tcW w:type="dxa" w:w="234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Content Pieces</w:t>
            </w:r>
          </w:p>
        </w:tc>
        <w:tc>
          <w:tcPr>
            <w:tcW w:type="dxa" w:w="234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Est. Organic Reach</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E7490"/>
                <w:sz w:val="22"/>
                <w:szCs w:val="22"/>
              </w:rPr>
              <w:t xml:space="preserve">25 priority KWs</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E7490"/>
                <w:sz w:val="22"/>
                <w:szCs w:val="22"/>
              </w:rPr>
              <w:t xml:space="preserve">8 topic clusters</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E7490"/>
                <w:sz w:val="22"/>
                <w:szCs w:val="22"/>
              </w:rPr>
              <w:t xml:space="preserve">32 pages/posts</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E7490"/>
                <w:sz w:val="22"/>
                <w:szCs w:val="22"/>
              </w:rPr>
              <w:t xml:space="preserve">50K–120K/mo by Q4</w:t>
            </w:r>
          </w:p>
        </w:tc>
      </w:tr>
    </w:tbl>
    <w:p>
      <w:r>
        <w:br w:type="page"/>
      </w:r>
    </w:p>
    <w:p>
      <w:pPr>
        <w:pStyle w:val="Heading1"/>
        <w:spacing w:after="160" w:before="400"/>
      </w:pPr>
      <w:r>
        <w:rPr>
          <w:rFonts w:ascii="Arial" w:cs="Arial" w:eastAsia="Arial" w:hAnsi="Arial"/>
          <w:b/>
          <w:bCs/>
          <w:color w:val="0A2342"/>
          <w:sz w:val="40"/>
          <w:szCs w:val="40"/>
        </w:rPr>
        <w:t xml:space="preserve">Keyword Opportunity Research</w:t>
      </w:r>
    </w:p>
    <w:p>
      <w:pPr>
        <w:pBdr>
          <w:bottom w:val="single" w:color="0E7490" w:sz="4" w:space="1"/>
        </w:pBdr>
        <w:spacing w:after="200" w:before="200"/>
      </w:pPr>
    </w:p>
    <w:p>
      <w:pPr>
        <w:spacing w:after="160"/>
      </w:pPr>
      <w:r>
        <w:rPr>
          <w:rFonts w:ascii="Arial" w:cs="Arial" w:eastAsia="Arial" w:hAnsi="Arial"/>
          <w:b w:val="false"/>
          <w:bCs w:val="false"/>
          <w:color w:val="222222"/>
          <w:sz w:val="20"/>
          <w:szCs w:val="20"/>
        </w:rPr>
        <w:t xml:space="preserve">Keywords are organized into 8 strategic clusters. Each cluster anchors a topic authority area. Together they form an interlocked SEO moat — ranking for one cluster reinforces rankings in adjacent clusters through internal linking.</w:t>
      </w:r>
    </w:p>
    <w:p>
      <w:pPr>
        <w:spacing w:after="120"/>
      </w:pPr>
    </w:p>
    <w:p>
      <w:pPr>
        <w:pStyle w:val="Heading2"/>
        <w:spacing w:after="160" w:before="280"/>
      </w:pPr>
      <w:r>
        <w:rPr>
          <w:rFonts w:ascii="Arial" w:cs="Arial" w:eastAsia="Arial" w:hAnsi="Arial"/>
          <w:b/>
          <w:bCs/>
          <w:color w:val="1B4F8A"/>
          <w:sz w:val="28"/>
          <w:szCs w:val="28"/>
        </w:rPr>
        <w:t xml:space="preserve">Cluster 1 — EU AI Act Core (Primary Opportunity)</w:t>
      </w:r>
    </w:p>
    <w:p>
      <w:pPr>
        <w:spacing w:after="160"/>
      </w:pPr>
      <w:r>
        <w:rPr>
          <w:rFonts w:ascii="Arial" w:cs="Arial" w:eastAsia="Arial" w:hAnsi="Arial"/>
          <w:b w:val="false"/>
          <w:bCs w:val="false"/>
          <w:color w:val="4B5563"/>
          <w:sz w:val="20"/>
          <w:szCs w:val="20"/>
        </w:rPr>
        <w:t xml:space="preserve">This is Supra-wall's highest-priority cluster. Search volume is spiking with the August 2026 deadline. Competitors have weak or zero coverage. These terms are owned by law firms and generic explainer sites — not developer tools. First-mover advantage is available right now.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1200"/>
        <w:gridCol w:w="1200"/>
        <w:gridCol w:w="1200"/>
        <w:gridCol w:w="1360"/>
      </w:tblGrid>
      <w:tr>
        <w:trPr>
          <w:tblHeader/>
        </w:trPr>
        <w:tc>
          <w:tcPr>
            <w:tcW w:type="dxa" w:w="31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Keyword</w:t>
            </w:r>
          </w:p>
        </w:tc>
        <w:tc>
          <w:tcPr>
            <w:tcW w:type="dxa" w:w="13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Volume</w:t>
            </w:r>
          </w:p>
        </w:tc>
        <w:tc>
          <w:tcPr>
            <w:tcW w:type="dxa" w:w="1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Difficulty</w:t>
            </w:r>
          </w:p>
        </w:tc>
        <w:tc>
          <w:tcPr>
            <w:tcW w:type="dxa" w:w="1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Opp. Score</w:t>
            </w:r>
          </w:p>
        </w:tc>
        <w:tc>
          <w:tcPr>
            <w:tcW w:type="dxa" w:w="1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Intent</w:t>
            </w:r>
          </w:p>
        </w:tc>
        <w:tc>
          <w:tcPr>
            <w:tcW w:type="dxa" w:w="136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Content Type</w:t>
            </w:r>
          </w:p>
        </w:tc>
      </w:tr>
      <w:tr>
        <w:tc>
          <w:tcPr>
            <w:tcW w:type="dxa" w:w="31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EU AI Act AI agent compliance</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Easy</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Commercial</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Landing page + guide</w:t>
            </w:r>
          </w:p>
        </w:tc>
      </w:tr>
      <w:tr>
        <w:tc>
          <w:tcPr>
            <w:tcW w:type="dxa" w:w="3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EU AI Act compliance August 2026</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High</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Inform.</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Pillar page</w:t>
            </w:r>
          </w:p>
        </w:tc>
      </w:tr>
      <w:tr>
        <w:tc>
          <w:tcPr>
            <w:tcW w:type="dxa" w:w="31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EU AI Act high risk AI systems</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Inform.</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Pillar page</w:t>
            </w:r>
          </w:p>
        </w:tc>
      </w:tr>
      <w:tr>
        <w:tc>
          <w:tcPr>
            <w:tcW w:type="dxa" w:w="3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EU AI Act compliance checklist</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High</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Inform.</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Interactive checklist</w:t>
            </w:r>
          </w:p>
        </w:tc>
      </w:tr>
      <w:tr>
        <w:tc>
          <w:tcPr>
            <w:tcW w:type="dxa" w:w="31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EU AI Act Article 14 human oversight</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Med</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Easy</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Inform.</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Blog + docs</w:t>
            </w:r>
          </w:p>
        </w:tc>
      </w:tr>
      <w:tr>
        <w:tc>
          <w:tcPr>
            <w:tcW w:type="dxa" w:w="3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EU AI Act Article 12 audit logging</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Med</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Easy</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Inform.</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Blog + docs</w:t>
            </w:r>
          </w:p>
        </w:tc>
      </w:tr>
      <w:tr>
        <w:tc>
          <w:tcPr>
            <w:tcW w:type="dxa" w:w="31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EU AI Act Article 9 risk management</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Med</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Easy</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Inform.</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Blog + docs</w:t>
            </w:r>
          </w:p>
        </w:tc>
      </w:tr>
      <w:tr>
        <w:tc>
          <w:tcPr>
            <w:tcW w:type="dxa" w:w="3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EU AI Act compliance software for AI agents</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Low</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Very Easy</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Commercial</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Comparison page</w:t>
            </w:r>
          </w:p>
        </w:tc>
      </w:tr>
    </w:tbl>
    <w:p>
      <w:pPr>
        <w:spacing w:after="120"/>
      </w:pPr>
    </w:p>
    <w:p>
      <w:pPr>
        <w:pStyle w:val="Heading2"/>
        <w:spacing w:after="160" w:before="280"/>
      </w:pPr>
      <w:r>
        <w:rPr>
          <w:rFonts w:ascii="Arial" w:cs="Arial" w:eastAsia="Arial" w:hAnsi="Arial"/>
          <w:b/>
          <w:bCs/>
          <w:color w:val="1B4F8A"/>
          <w:sz w:val="28"/>
          <w:szCs w:val="28"/>
        </w:rPr>
        <w:t xml:space="preserve">Cluster 2 — AI Agent Security (Volume Play)</w:t>
      </w:r>
    </w:p>
    <w:p>
      <w:pPr>
        <w:spacing w:after="160"/>
      </w:pPr>
      <w:r>
        <w:rPr>
          <w:rFonts w:ascii="Arial" w:cs="Arial" w:eastAsia="Arial" w:hAnsi="Arial"/>
          <w:b w:val="false"/>
          <w:bCs w:val="false"/>
          <w:color w:val="4B5563"/>
          <w:sz w:val="20"/>
          <w:szCs w:val="20"/>
        </w:rPr>
        <w:t xml:space="preserve">High-volume terms with stronger competition (Microsoft, Palo Alto, CyberArk). Supra-wall cannot own the top of these terms overnight — but can own the developer-specific long-tail variants that the enterprise security vendors miss. Strategic for brand authority.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1200"/>
        <w:gridCol w:w="1200"/>
        <w:gridCol w:w="1200"/>
        <w:gridCol w:w="1360"/>
      </w:tblGrid>
      <w:tr>
        <w:trPr>
          <w:tblHeader/>
        </w:trPr>
        <w:tc>
          <w:tcPr>
            <w:tcW w:type="dxa" w:w="31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Keyword</w:t>
            </w:r>
          </w:p>
        </w:tc>
        <w:tc>
          <w:tcPr>
            <w:tcW w:type="dxa" w:w="13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Volume</w:t>
            </w:r>
          </w:p>
        </w:tc>
        <w:tc>
          <w:tcPr>
            <w:tcW w:type="dxa" w:w="1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Difficulty</w:t>
            </w:r>
          </w:p>
        </w:tc>
        <w:tc>
          <w:tcPr>
            <w:tcW w:type="dxa" w:w="1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Opp. Score</w:t>
            </w:r>
          </w:p>
        </w:tc>
        <w:tc>
          <w:tcPr>
            <w:tcW w:type="dxa" w:w="1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Intent</w:t>
            </w:r>
          </w:p>
        </w:tc>
        <w:tc>
          <w:tcPr>
            <w:tcW w:type="dxa" w:w="136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Content Type</w:t>
            </w:r>
          </w:p>
        </w:tc>
      </w:tr>
      <w:tr>
        <w:tc>
          <w:tcPr>
            <w:tcW w:type="dxa" w:w="31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AI agent security</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Very High</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Hard</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Inform.</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Pillar page</w:t>
            </w:r>
          </w:p>
        </w:tc>
      </w:tr>
      <w:tr>
        <w:tc>
          <w:tcPr>
            <w:tcW w:type="dxa" w:w="3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AI agent security platform</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High</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Hard</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Commercial</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Landing page</w:t>
            </w:r>
          </w:p>
        </w:tc>
      </w:tr>
      <w:tr>
        <w:tc>
          <w:tcPr>
            <w:tcW w:type="dxa" w:w="31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AI agent policy enforcement</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Medium</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Easy</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Commercial</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Landing page</w:t>
            </w:r>
          </w:p>
        </w:tc>
      </w:tr>
      <w:tr>
        <w:tc>
          <w:tcPr>
            <w:tcW w:type="dxa" w:w="3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runtime AI agent security</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Medium</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Easy</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Commercial</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Landing page</w:t>
            </w:r>
          </w:p>
        </w:tc>
      </w:tr>
      <w:tr>
        <w:tc>
          <w:tcPr>
            <w:tcW w:type="dxa" w:w="31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AI agent access control</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Medium</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Commercial</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Landing page</w:t>
            </w:r>
          </w:p>
        </w:tc>
      </w:tr>
      <w:tr>
        <w:tc>
          <w:tcPr>
            <w:tcW w:type="dxa" w:w="3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secure LangChain agent</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Medium</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Easy</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Transact.</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How-to guide</w:t>
            </w:r>
          </w:p>
        </w:tc>
      </w:tr>
    </w:tbl>
    <w:p>
      <w:pPr>
        <w:spacing w:after="120"/>
      </w:pPr>
    </w:p>
    <w:p>
      <w:pPr>
        <w:pStyle w:val="Heading2"/>
        <w:spacing w:after="160" w:before="280"/>
      </w:pPr>
      <w:r>
        <w:rPr>
          <w:rFonts w:ascii="Arial" w:cs="Arial" w:eastAsia="Arial" w:hAnsi="Arial"/>
          <w:b/>
          <w:bCs/>
          <w:color w:val="1B4F8A"/>
          <w:sz w:val="28"/>
          <w:szCs w:val="28"/>
        </w:rPr>
        <w:t xml:space="preserve">Cluster 3 — Human Oversight &amp; Audit Logging</w:t>
      </w:r>
    </w:p>
    <w:p>
      <w:pPr>
        <w:spacing w:after="160"/>
      </w:pPr>
      <w:r>
        <w:rPr>
          <w:rFonts w:ascii="Arial" w:cs="Arial" w:eastAsia="Arial" w:hAnsi="Arial"/>
          <w:b w:val="false"/>
          <w:bCs w:val="false"/>
          <w:color w:val="4B5563"/>
          <w:sz w:val="20"/>
          <w:szCs w:val="20"/>
        </w:rPr>
        <w:t xml:space="preserve">These are 'pain point' keywords — developers Googling a specific problem they need to solve. High purchase intent. Low competition because most content is theoretical (academic/policy), not technical. Supra-wall should own the technical how-to space.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1200"/>
        <w:gridCol w:w="1200"/>
        <w:gridCol w:w="1200"/>
        <w:gridCol w:w="1360"/>
      </w:tblGrid>
      <w:tr>
        <w:trPr>
          <w:tblHeader/>
        </w:trPr>
        <w:tc>
          <w:tcPr>
            <w:tcW w:type="dxa" w:w="31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Keyword</w:t>
            </w:r>
          </w:p>
        </w:tc>
        <w:tc>
          <w:tcPr>
            <w:tcW w:type="dxa" w:w="13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Volume</w:t>
            </w:r>
          </w:p>
        </w:tc>
        <w:tc>
          <w:tcPr>
            <w:tcW w:type="dxa" w:w="1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Difficulty</w:t>
            </w:r>
          </w:p>
        </w:tc>
        <w:tc>
          <w:tcPr>
            <w:tcW w:type="dxa" w:w="1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Opp. Score</w:t>
            </w:r>
          </w:p>
        </w:tc>
        <w:tc>
          <w:tcPr>
            <w:tcW w:type="dxa" w:w="1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Intent</w:t>
            </w:r>
          </w:p>
        </w:tc>
        <w:tc>
          <w:tcPr>
            <w:tcW w:type="dxa" w:w="136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Content Type</w:t>
            </w:r>
          </w:p>
        </w:tc>
      </w:tr>
      <w:tr>
        <w:tc>
          <w:tcPr>
            <w:tcW w:type="dxa" w:w="31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AI agent audit log</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Medium</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Easy</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Commercial</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Docs + landing page</w:t>
            </w:r>
          </w:p>
        </w:tc>
      </w:tr>
      <w:tr>
        <w:tc>
          <w:tcPr>
            <w:tcW w:type="dxa" w:w="3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AI agent audit trail compliance</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Medium</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Easy</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Commercial</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Landing page</w:t>
            </w:r>
          </w:p>
        </w:tc>
      </w:tr>
      <w:tr>
        <w:tc>
          <w:tcPr>
            <w:tcW w:type="dxa" w:w="31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human in the loop AI agents</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Medium</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Inform.</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Guide</w:t>
            </w:r>
          </w:p>
        </w:tc>
      </w:tr>
      <w:tr>
        <w:tc>
          <w:tcPr>
            <w:tcW w:type="dxa" w:w="3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require human approval AI agent</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Low</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Very Easy</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Transact.</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Docs + how-to</w:t>
            </w:r>
          </w:p>
        </w:tc>
      </w:tr>
      <w:tr>
        <w:tc>
          <w:tcPr>
            <w:tcW w:type="dxa" w:w="31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AI agent human oversight implementation</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Low</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Very Easy</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Transact.</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How-to guide</w:t>
            </w:r>
          </w:p>
        </w:tc>
      </w:tr>
      <w:tr>
        <w:tc>
          <w:tcPr>
            <w:tcW w:type="dxa" w:w="3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MCP audit logging compliance</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Low</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Very Easy</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Inform.</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Blog post</w:t>
            </w:r>
          </w:p>
        </w:tc>
      </w:tr>
    </w:tbl>
    <w:p>
      <w:pPr>
        <w:spacing w:after="120"/>
      </w:pPr>
    </w:p>
    <w:p>
      <w:pPr>
        <w:pStyle w:val="Heading2"/>
        <w:spacing w:after="160" w:before="280"/>
      </w:pPr>
      <w:r>
        <w:rPr>
          <w:rFonts w:ascii="Arial" w:cs="Arial" w:eastAsia="Arial" w:hAnsi="Arial"/>
          <w:b/>
          <w:bCs/>
          <w:color w:val="1B4F8A"/>
          <w:sz w:val="28"/>
          <w:szCs w:val="28"/>
        </w:rPr>
        <w:t xml:space="preserve">Cluster 4 — Framework-Specific Long-tail (Easy Wins)</w:t>
      </w:r>
    </w:p>
    <w:p>
      <w:pPr>
        <w:spacing w:after="160"/>
      </w:pPr>
      <w:r>
        <w:rPr>
          <w:rFonts w:ascii="Arial" w:cs="Arial" w:eastAsia="Arial" w:hAnsi="Arial"/>
          <w:b w:val="false"/>
          <w:bCs w:val="false"/>
          <w:color w:val="4B5563"/>
          <w:sz w:val="20"/>
          <w:szCs w:val="20"/>
        </w:rPr>
        <w:t xml:space="preserve">Framework developers (LangChain, AutoGen, CrewAI users) will search for compliance guidance specific to their stack. These are very low competition because no one targets them yet. Each page is a direct entry point for high-intent developer traffic.</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1200"/>
        <w:gridCol w:w="1200"/>
        <w:gridCol w:w="1200"/>
        <w:gridCol w:w="1360"/>
      </w:tblGrid>
      <w:tr>
        <w:trPr>
          <w:tblHeader/>
        </w:trPr>
        <w:tc>
          <w:tcPr>
            <w:tcW w:type="dxa" w:w="31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Keyword</w:t>
            </w:r>
          </w:p>
        </w:tc>
        <w:tc>
          <w:tcPr>
            <w:tcW w:type="dxa" w:w="13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Volume</w:t>
            </w:r>
          </w:p>
        </w:tc>
        <w:tc>
          <w:tcPr>
            <w:tcW w:type="dxa" w:w="1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Difficulty</w:t>
            </w:r>
          </w:p>
        </w:tc>
        <w:tc>
          <w:tcPr>
            <w:tcW w:type="dxa" w:w="1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Opp. Score</w:t>
            </w:r>
          </w:p>
        </w:tc>
        <w:tc>
          <w:tcPr>
            <w:tcW w:type="dxa" w:w="1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Intent</w:t>
            </w:r>
          </w:p>
        </w:tc>
        <w:tc>
          <w:tcPr>
            <w:tcW w:type="dxa" w:w="136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Content Type</w:t>
            </w:r>
          </w:p>
        </w:tc>
      </w:tr>
      <w:tr>
        <w:tc>
          <w:tcPr>
            <w:tcW w:type="dxa" w:w="31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LangChain EU AI Act compliance</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Medium</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Very Easy</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Transact.</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Integration guide</w:t>
            </w:r>
          </w:p>
        </w:tc>
      </w:tr>
      <w:tr>
        <w:tc>
          <w:tcPr>
            <w:tcW w:type="dxa" w:w="3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AutoGen security policy enforcement</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Low</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Very Easy</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Transact.</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Integration guide</w:t>
            </w:r>
          </w:p>
        </w:tc>
      </w:tr>
      <w:tr>
        <w:tc>
          <w:tcPr>
            <w:tcW w:type="dxa" w:w="31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CrewAI EU AI Act</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Low</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Very Easy</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Transact.</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Integration guide</w:t>
            </w:r>
          </w:p>
        </w:tc>
      </w:tr>
      <w:tr>
        <w:tc>
          <w:tcPr>
            <w:tcW w:type="dxa" w:w="3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Vercel AI SDK compliance</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Low</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Very Easy</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Transact.</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Integration guide</w:t>
            </w:r>
          </w:p>
        </w:tc>
      </w:tr>
      <w:tr>
        <w:tc>
          <w:tcPr>
            <w:tcW w:type="dxa" w:w="31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secure AI agent one line</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Low</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Very Easy</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Transact.</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Quickstart page</w:t>
            </w:r>
          </w:p>
        </w:tc>
      </w:tr>
    </w:tbl>
    <w:p>
      <w:pPr>
        <w:spacing w:after="120"/>
      </w:pPr>
    </w:p>
    <w:p>
      <w:pPr>
        <w:pStyle w:val="Heading2"/>
        <w:spacing w:after="160" w:before="280"/>
      </w:pPr>
      <w:r>
        <w:rPr>
          <w:rFonts w:ascii="Arial" w:cs="Arial" w:eastAsia="Arial" w:hAnsi="Arial"/>
          <w:b/>
          <w:bCs/>
          <w:color w:val="1B4F8A"/>
          <w:sz w:val="28"/>
          <w:szCs w:val="28"/>
        </w:rPr>
        <w:t xml:space="preserve">Cluster 5 — Comparison &amp; Alternative Pages</w:t>
      </w:r>
    </w:p>
    <w:p>
      <w:pPr>
        <w:spacing w:after="160"/>
      </w:pPr>
      <w:r>
        <w:rPr>
          <w:rFonts w:ascii="Arial" w:cs="Arial" w:eastAsia="Arial" w:hAnsi="Arial"/>
          <w:b w:val="false"/>
          <w:bCs w:val="false"/>
          <w:color w:val="4B5563"/>
          <w:sz w:val="20"/>
          <w:szCs w:val="20"/>
        </w:rPr>
        <w:t xml:space="preserve">Comparison pages capture users already in evaluation mode — the highest-intent traffic. When a developer searches 'Lakera alternative', they have a problem with Lakera and are ready to switch. These pages convert at 3–5x normal blog content.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1200"/>
        <w:gridCol w:w="1200"/>
        <w:gridCol w:w="1200"/>
        <w:gridCol w:w="1360"/>
      </w:tblGrid>
      <w:tr>
        <w:trPr>
          <w:tblHeader/>
        </w:trPr>
        <w:tc>
          <w:tcPr>
            <w:tcW w:type="dxa" w:w="31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Keyword</w:t>
            </w:r>
          </w:p>
        </w:tc>
        <w:tc>
          <w:tcPr>
            <w:tcW w:type="dxa" w:w="13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Volume</w:t>
            </w:r>
          </w:p>
        </w:tc>
        <w:tc>
          <w:tcPr>
            <w:tcW w:type="dxa" w:w="1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Difficulty</w:t>
            </w:r>
          </w:p>
        </w:tc>
        <w:tc>
          <w:tcPr>
            <w:tcW w:type="dxa" w:w="1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Opp. Score</w:t>
            </w:r>
          </w:p>
        </w:tc>
        <w:tc>
          <w:tcPr>
            <w:tcW w:type="dxa" w:w="1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Intent</w:t>
            </w:r>
          </w:p>
        </w:tc>
        <w:tc>
          <w:tcPr>
            <w:tcW w:type="dxa" w:w="136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Content Type</w:t>
            </w:r>
          </w:p>
        </w:tc>
      </w:tr>
      <w:tr>
        <w:tc>
          <w:tcPr>
            <w:tcW w:type="dxa" w:w="31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Lakera alternative</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Low</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Easy</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Commercial</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Comparison page</w:t>
            </w:r>
          </w:p>
        </w:tc>
      </w:tr>
      <w:tr>
        <w:tc>
          <w:tcPr>
            <w:tcW w:type="dxa" w:w="3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Guardrails AI alternative</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Low</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Easy</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Commercial</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Comparison page</w:t>
            </w:r>
          </w:p>
        </w:tc>
      </w:tr>
      <w:tr>
        <w:tc>
          <w:tcPr>
            <w:tcW w:type="dxa" w:w="31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Portkey alternative compliance</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Low</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Easy</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Commercial</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Comparison page</w:t>
            </w:r>
          </w:p>
        </w:tc>
      </w:tr>
      <w:tr>
        <w:tc>
          <w:tcPr>
            <w:tcW w:type="dxa" w:w="31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AI agent security vs observability</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Low</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Easy</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Inform.</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Blog post</w:t>
            </w:r>
          </w:p>
        </w:tc>
      </w:tr>
    </w:tbl>
    <w:p>
      <w:r>
        <w:br w:type="page"/>
      </w:r>
    </w:p>
    <w:p>
      <w:pPr>
        <w:pStyle w:val="Heading1"/>
        <w:spacing w:after="160" w:before="400"/>
      </w:pPr>
      <w:r>
        <w:rPr>
          <w:rFonts w:ascii="Arial" w:cs="Arial" w:eastAsia="Arial" w:hAnsi="Arial"/>
          <w:b/>
          <w:bCs/>
          <w:color w:val="0A2342"/>
          <w:sz w:val="40"/>
          <w:szCs w:val="40"/>
        </w:rPr>
        <w:t xml:space="preserve">Competitor SEO Analysis</w:t>
      </w:r>
    </w:p>
    <w:p>
      <w:pPr>
        <w:pBdr>
          <w:bottom w:val="single" w:color="0E7490" w:sz="4" w:space="1"/>
        </w:pBdr>
        <w:spacing w:after="200" w:before="200"/>
      </w:pPr>
    </w:p>
    <w:p>
      <w:pPr>
        <w:spacing w:after="160"/>
      </w:pPr>
      <w:r>
        <w:rPr>
          <w:rFonts w:ascii="Arial" w:cs="Arial" w:eastAsia="Arial" w:hAnsi="Arial"/>
          <w:b w:val="false"/>
          <w:bCs w:val="false"/>
          <w:color w:val="222222"/>
          <w:sz w:val="20"/>
          <w:szCs w:val="20"/>
        </w:rPr>
        <w:t xml:space="preserve">Five competitors were analyzed for their SEO footprint in the AI agent security and EU AI Act compliance spaces. The analysis reveals a clear opening: no competitor is effectively targeting EU AI Act compliance from a developer-tools perspective.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660"/>
        <w:gridCol w:w="1700"/>
      </w:tblGrid>
      <w:tr>
        <w:trPr>
          <w:tblHeader/>
        </w:trPr>
        <w:tc>
          <w:tcPr>
            <w:tcW w:type="dxa" w:w="18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Competitor</w:t>
            </w:r>
          </w:p>
        </w:tc>
        <w:tc>
          <w:tcPr>
            <w:tcW w:type="dxa" w:w="14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Domain Strength</w:t>
            </w:r>
          </w:p>
        </w:tc>
        <w:tc>
          <w:tcPr>
            <w:tcW w:type="dxa" w:w="14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EU AI Act Content</w:t>
            </w:r>
          </w:p>
        </w:tc>
        <w:tc>
          <w:tcPr>
            <w:tcW w:type="dxa" w:w="14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Dev-Focused</w:t>
            </w:r>
          </w:p>
        </w:tc>
        <w:tc>
          <w:tcPr>
            <w:tcW w:type="dxa" w:w="166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Key Weakness</w:t>
            </w:r>
          </w:p>
        </w:tc>
        <w:tc>
          <w:tcPr>
            <w:tcW w:type="dxa" w:w="17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Our Angle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Lakera.ai</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Strong</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Weak</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Partial</w:t>
            </w:r>
          </w:p>
        </w:tc>
        <w:tc>
          <w:tcPr>
            <w:tcW w:type="dxa" w:w="1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Focused on prompt injection, not compliance/audit</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Own EU AI Act Article 9/12/14 content they lack</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Portkey.ai</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Minimal</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Yes</w:t>
            </w:r>
          </w:p>
        </w:tc>
        <w:tc>
          <w:tcPr>
            <w:tcW w:type="dxa" w:w="1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Positioned as gateway/observability, not compliance</w:t>
            </w:r>
          </w:p>
        </w:tc>
        <w:tc>
          <w:tcPr>
            <w:tcW w:type="dxa" w:w="17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Compliance-first positioning they don't offer</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Guardrails AI</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None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Yes</w:t>
            </w:r>
          </w:p>
        </w:tc>
        <w:tc>
          <w:tcPr>
            <w:tcW w:type="dxa" w:w="1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No EU AI Act content, open-source (no SaaS revenue angle)</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SaaS compliance platform they can't match</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Credo AI</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Strong</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Strong</w:t>
            </w:r>
          </w:p>
        </w:tc>
        <w:tc>
          <w:tcPr>
            <w:tcW w:type="dxa" w:w="1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DC2626"/>
                <w:sz w:val="18"/>
                <w:szCs w:val="18"/>
              </w:rPr>
              <w:t xml:space="preserve">No</w:t>
            </w:r>
          </w:p>
        </w:tc>
        <w:tc>
          <w:tcPr>
            <w:tcW w:type="dxa" w:w="1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Targets governance teams, not developers; complex, expensive</w:t>
            </w:r>
          </w:p>
        </w:tc>
        <w:tc>
          <w:tcPr>
            <w:tcW w:type="dxa" w:w="17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Developer-first, one-line integration vs. enterprise procurement</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MS Agent Gov. Toolkit</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Very Strong</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Weak</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Yes</w:t>
            </w:r>
          </w:p>
        </w:tc>
        <w:tc>
          <w:tcPr>
            <w:tcW w:type="dxa" w:w="1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Azure-only, no self-host, no EU data residency guarantee</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Multi-cloud + self-host + EU data residency story</w:t>
            </w:r>
          </w:p>
        </w:tc>
      </w:tr>
    </w:tbl>
    <w:p>
      <w:pPr>
        <w:spacing w:after="120"/>
      </w:pPr>
    </w:p>
    <w:p>
      <w:pPr>
        <w:spacing w:after="160"/>
      </w:pPr>
      <w:r>
        <w:rPr>
          <w:rFonts w:ascii="Arial" w:cs="Arial" w:eastAsia="Arial" w:hAnsi="Arial"/>
          <w:b w:val="false"/>
          <w:bCs w:val="false"/>
          <w:color w:val="4B5563"/>
          <w:sz w:val="20"/>
          <w:szCs w:val="20"/>
        </w:rPr>
        <w:t xml:space="preserve">Key insight: The developer-tool + EU AI Act compliance keyword combination is a blue ocean. Credo AI owns the 'governance for compliance teams' cluster. Lakera owns 'prompt injection'. Nobody owns 'EU AI Act compliance for developers building agents'. That is Supra-wall's territory to claim.</w:t>
      </w:r>
    </w:p>
    <w:p>
      <w:r>
        <w:br w:type="page"/>
      </w:r>
    </w:p>
    <w:p>
      <w:pPr>
        <w:pStyle w:val="Heading1"/>
        <w:spacing w:after="160" w:before="400"/>
      </w:pPr>
      <w:r>
        <w:rPr>
          <w:rFonts w:ascii="Arial" w:cs="Arial" w:eastAsia="Arial" w:hAnsi="Arial"/>
          <w:b/>
          <w:bCs/>
          <w:color w:val="0A2342"/>
          <w:sz w:val="40"/>
          <w:szCs w:val="40"/>
        </w:rPr>
        <w:t xml:space="preserve">Content Gap Analysis</w:t>
      </w:r>
    </w:p>
    <w:p>
      <w:pPr>
        <w:pBdr>
          <w:bottom w:val="single" w:color="0E7490" w:sz="4" w:space="1"/>
        </w:pBdr>
        <w:spacing w:after="200" w:before="200"/>
      </w:pPr>
    </w:p>
    <w:p>
      <w:pPr>
        <w:spacing w:after="160"/>
      </w:pPr>
      <w:r>
        <w:rPr>
          <w:rFonts w:ascii="Arial" w:cs="Arial" w:eastAsia="Arial" w:hAnsi="Arial"/>
          <w:b w:val="false"/>
          <w:bCs w:val="false"/>
          <w:color w:val="222222"/>
          <w:sz w:val="20"/>
          <w:szCs w:val="20"/>
        </w:rPr>
        <w:t xml:space="preserve">These are the highest-value content gaps — topics with clear search demand where no strong technical tool currently ranks. Each gap is an opportunity for Supra-wall to become the canonical result.</w:t>
      </w:r>
    </w:p>
    <w:p>
      <w:pPr>
        <w:spacing w:after="120"/>
      </w:pPr>
    </w:p>
    <w:p>
      <w:pPr>
        <w:pStyle w:val="Heading2"/>
        <w:spacing w:after="160" w:before="280"/>
      </w:pPr>
      <w:r>
        <w:rPr>
          <w:rFonts w:ascii="Arial" w:cs="Arial" w:eastAsia="Arial" w:hAnsi="Arial"/>
          <w:b/>
          <w:bCs/>
          <w:color w:val="1B4F8A"/>
          <w:sz w:val="28"/>
          <w:szCs w:val="28"/>
        </w:rPr>
        <w:t xml:space="preserve">Priority 1 — Gaps with Immediate Traffic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500"/>
        <w:gridCol w:w="1700"/>
        <w:gridCol w:w="1760"/>
      </w:tblGrid>
      <w:tr>
        <w:trPr>
          <w:tblHeader/>
        </w:trPr>
        <w:tc>
          <w:tcPr>
            <w:tcW w:type="dxa" w:w="26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Gap / Topic</w:t>
            </w:r>
          </w:p>
        </w:tc>
        <w:tc>
          <w:tcPr>
            <w:tcW w:type="dxa" w:w="18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Why It Matters</w:t>
            </w:r>
          </w:p>
        </w:tc>
        <w:tc>
          <w:tcPr>
            <w:tcW w:type="dxa" w:w="15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Format</w:t>
            </w:r>
          </w:p>
        </w:tc>
        <w:tc>
          <w:tcPr>
            <w:tcW w:type="dxa" w:w="17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Target Keyword</w:t>
            </w:r>
          </w:p>
        </w:tc>
        <w:tc>
          <w:tcPr>
            <w:tcW w:type="dxa" w:w="176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Priority</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EU AI Act compliance guide for AI agent developers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97% of codebases non-compliant. Zero technical tools rank for this.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Pillar page (3,000+ words)</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EU AI Act AI agent compliance</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DC2626"/>
                <w:sz w:val="16"/>
                <w:szCs w:val="16"/>
              </w:rPr>
              <w:t xml:space="preserve">P1 — This week</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How to add an audit log to your LangChain agent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Developers Googling exactly this. Article 12 obligation. Nobody ranks.</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How-to guide + code</w:t>
            </w:r>
          </w:p>
        </w:tc>
        <w:tc>
          <w:tcPr>
            <w:tcW w:type="dxa" w:w="17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LangChain audit log compliance</w:t>
            </w:r>
          </w:p>
        </w:tc>
        <w:tc>
          <w:tcPr>
            <w:tcW w:type="dxa" w:w="1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DC2626"/>
                <w:sz w:val="16"/>
                <w:szCs w:val="16"/>
              </w:rPr>
              <w:t xml:space="preserve">P1 — This week</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EU AI Act Article 14: human oversight implementation guide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Article 14 pages are all law firm summaries. Zero technical how-to.</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Technical guide + code</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EU AI Act Article 14 human oversight</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DC2626"/>
                <w:sz w:val="16"/>
                <w:szCs w:val="16"/>
              </w:rPr>
              <w:t xml:space="preserve">P1 — This week</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REQUIRE_APPROVAL: how to add human approval gates to AI agents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Zero content exists on this specific implementation pattern.</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Docs page + how-to</w:t>
            </w:r>
          </w:p>
        </w:tc>
        <w:tc>
          <w:tcPr>
            <w:tcW w:type="dxa" w:w="17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require human approval AI agent</w:t>
            </w:r>
          </w:p>
        </w:tc>
        <w:tc>
          <w:tcPr>
            <w:tcW w:type="dxa" w:w="1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DC2626"/>
                <w:sz w:val="16"/>
                <w:szCs w:val="16"/>
              </w:rPr>
              <w:t xml:space="preserve">P1 — This week</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How to prove EU AI Act compliance to an auditor (with templates)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Compliance evidence report template — high commercial intent, zero competition.</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Guide + downloadable template</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EU AI Act compliance evidence report</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D97706"/>
                <w:sz w:val="16"/>
                <w:szCs w:val="16"/>
              </w:rPr>
              <w:t xml:space="preserve">P2 — This month</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EU AI Act vs. SOC 2 for AI systems: what's different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Common question in developer forums. Nobody ranks for the comparison.</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Comparison blog post</w:t>
            </w:r>
          </w:p>
        </w:tc>
        <w:tc>
          <w:tcPr>
            <w:tcW w:type="dxa" w:w="17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EU AI Act SOC 2 AI compliance</w:t>
            </w:r>
          </w:p>
        </w:tc>
        <w:tc>
          <w:tcPr>
            <w:tcW w:type="dxa" w:w="1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D97706"/>
                <w:sz w:val="16"/>
                <w:szCs w:val="16"/>
              </w:rPr>
              <w:t xml:space="preserve">P2 — This month</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AutoGen EU AI Act compliance guide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Framework-specific, very low competition, high purchase intent.</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Integration guide + code</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AutoGen EU AI Act compliance</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D97706"/>
                <w:sz w:val="16"/>
                <w:szCs w:val="16"/>
              </w:rPr>
              <w:t xml:space="preserve">P2 — This month</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Supra-wall vs. Lakera: which do you need?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Comparison page — highest-converting content type for SaaS tools.</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Comparison landing page</w:t>
            </w:r>
          </w:p>
        </w:tc>
        <w:tc>
          <w:tcPr>
            <w:tcW w:type="dxa" w:w="17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Lakera alternative</w:t>
            </w:r>
          </w:p>
        </w:tc>
        <w:tc>
          <w:tcPr>
            <w:tcW w:type="dxa" w:w="1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D97706"/>
                <w:sz w:val="16"/>
                <w:szCs w:val="16"/>
              </w:rPr>
              <w:t xml:space="preserve">P2 — This month</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OWASP Agentic AI Top 10: how to fix each risk</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OWASP Agentic AI Top 10 published 2026. Zero tool-specific remediation guides.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Long-form guide + code</w:t>
            </w:r>
          </w:p>
        </w:tc>
        <w:tc>
          <w:tcPr>
            <w:tcW w:type="dxa" w:w="17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OWASP agentic AI security</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B5563"/>
                <w:sz w:val="16"/>
                <w:szCs w:val="16"/>
              </w:rPr>
              <w:t xml:space="preserve">P3 — This quarter</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The EU AI Act glossary for developers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Every developer is learning this vocabulary. Glossary pages rank for hundreds of long-tail terms.</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Glossary / definitions page</w:t>
            </w:r>
          </w:p>
        </w:tc>
        <w:tc>
          <w:tcPr>
            <w:tcW w:type="dxa" w:w="17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EU AI Act glossary terms</w:t>
            </w:r>
          </w:p>
        </w:tc>
        <w:tc>
          <w:tcPr>
            <w:tcW w:type="dxa" w:w="1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4B5563"/>
                <w:sz w:val="16"/>
                <w:szCs w:val="16"/>
              </w:rPr>
              <w:t xml:space="preserve">P3 — This quarter</w:t>
            </w:r>
          </w:p>
        </w:tc>
      </w:tr>
    </w:tbl>
    <w:p>
      <w:r>
        <w:br w:type="page"/>
      </w:r>
    </w:p>
    <w:p>
      <w:pPr>
        <w:pStyle w:val="Heading1"/>
        <w:spacing w:after="160" w:before="400"/>
      </w:pPr>
      <w:r>
        <w:rPr>
          <w:rFonts w:ascii="Arial" w:cs="Arial" w:eastAsia="Arial" w:hAnsi="Arial"/>
          <w:b/>
          <w:bCs/>
          <w:color w:val="0A2342"/>
          <w:sz w:val="40"/>
          <w:szCs w:val="40"/>
        </w:rPr>
        <w:t xml:space="preserve">Recommended Site Structure for SEO Authority</w:t>
      </w:r>
    </w:p>
    <w:p>
      <w:pPr>
        <w:pBdr>
          <w:bottom w:val="single" w:color="0E7490" w:sz="4" w:space="1"/>
        </w:pBdr>
        <w:spacing w:after="200" w:before="200"/>
      </w:pPr>
    </w:p>
    <w:p>
      <w:pPr>
        <w:spacing w:after="160"/>
      </w:pPr>
      <w:r>
        <w:rPr>
          <w:rFonts w:ascii="Arial" w:cs="Arial" w:eastAsia="Arial" w:hAnsi="Arial"/>
          <w:b w:val="false"/>
          <w:bCs w:val="false"/>
          <w:color w:val="222222"/>
          <w:sz w:val="20"/>
          <w:szCs w:val="20"/>
        </w:rPr>
        <w:t xml:space="preserve">Topic clusters require a deliberate URL and internal-linking architecture. This structure gives Supra-wall maximum crawlability and clusters topical authority to accelerate rankings across all keyword groups.</w:t>
      </w:r>
    </w:p>
    <w:p>
      <w:pPr>
        <w:spacing w:after="120"/>
      </w:pPr>
    </w:p>
    <w:p>
      <w:pPr>
        <w:pStyle w:val="Heading2"/>
        <w:spacing w:after="160" w:before="280"/>
      </w:pPr>
      <w:r>
        <w:rPr>
          <w:rFonts w:ascii="Arial" w:cs="Arial" w:eastAsia="Arial" w:hAnsi="Arial"/>
          <w:b/>
          <w:bCs/>
          <w:color w:val="1B4F8A"/>
          <w:sz w:val="28"/>
          <w:szCs w:val="28"/>
        </w:rPr>
        <w:t xml:space="preserve">URL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URL Pattern</w:t>
            </w:r>
          </w:p>
        </w:tc>
        <w:tc>
          <w:tcPr>
            <w:tcW w:type="dxa" w:w="34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Purpose</w:t>
            </w:r>
          </w:p>
        </w:tc>
        <w:tc>
          <w:tcPr>
            <w:tcW w:type="dxa" w:w="316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Priority Pages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E7490"/>
                <w:sz w:val="18"/>
                <w:szCs w:val="18"/>
              </w:rPr>
              <w:t xml:space="preserve">/eu-ai-act/</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EU AI Act topic cluster hub</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B5563"/>
                <w:sz w:val="16"/>
                <w:szCs w:val="16"/>
              </w:rPr>
              <w:t xml:space="preserve">/eu-ai-act/ (pillar), /eu-ai-act/article-14/, /eu-ai-act/article-12/, /eu-ai-act/high-risk-ai-systems/, /eu-ai-act/compliance-checklist/</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E7490"/>
                <w:sz w:val="18"/>
                <w:szCs w:val="18"/>
              </w:rPr>
              <w:t xml:space="preserve">/integrations/[framework]/</w:t>
            </w:r>
          </w:p>
        </w:tc>
        <w:tc>
          <w:tcPr>
            <w:tcW w:type="dxa" w:w="3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Framework-specific pages for SEO + onboarding</w:t>
            </w:r>
          </w:p>
        </w:tc>
        <w:tc>
          <w:tcPr>
            <w:tcW w:type="dxa" w:w="3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4B5563"/>
                <w:sz w:val="16"/>
                <w:szCs w:val="16"/>
              </w:rPr>
              <w:t xml:space="preserve">/integrations/langchain/, /integrations/autogen/, /integrations/crewai/, /integrations/vercel-ai/</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E7490"/>
                <w:sz w:val="18"/>
                <w:szCs w:val="18"/>
              </w:rPr>
              <w:t xml:space="preserve">/vs/[competitor]/</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Comparison pages — highest purchase intent</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B5563"/>
                <w:sz w:val="16"/>
                <w:szCs w:val="16"/>
              </w:rPr>
              <w:t xml:space="preserve">/vs/lakera/, /vs/guardrails-ai/, /vs/portkey/, /vs/credo-ai/</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E7490"/>
                <w:sz w:val="18"/>
                <w:szCs w:val="18"/>
              </w:rPr>
              <w:t xml:space="preserve">/blog/</w:t>
            </w:r>
          </w:p>
        </w:tc>
        <w:tc>
          <w:tcPr>
            <w:tcW w:type="dxa" w:w="3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Informational + long-tail keyword content</w:t>
            </w:r>
          </w:p>
        </w:tc>
        <w:tc>
          <w:tcPr>
            <w:tcW w:type="dxa" w:w="3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4B5563"/>
                <w:sz w:val="16"/>
                <w:szCs w:val="16"/>
              </w:rPr>
              <w:t xml:space="preserve">7-article EU AI Act blog series, OWASP guide, audit log how-tos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E7490"/>
                <w:sz w:val="18"/>
                <w:szCs w:val="18"/>
              </w:rPr>
              <w:t xml:space="preserve">/docs/</w:t>
            </w:r>
          </w:p>
        </w:tc>
        <w:tc>
          <w:tcPr>
            <w:tcW w:type="dxa" w:w="3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Technical documentation — ranks for exact-match developer queries</w:t>
            </w:r>
          </w:p>
        </w:tc>
        <w:tc>
          <w:tcPr>
            <w:tcW w:type="dxa" w:w="3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4B5563"/>
                <w:sz w:val="16"/>
                <w:szCs w:val="16"/>
              </w:rPr>
              <w:t xml:space="preserve">/docs/policies/, /docs/audit-logs/, /docs/human-oversight/, /docs/compliance-report/</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E7490"/>
                <w:sz w:val="18"/>
                <w:szCs w:val="18"/>
              </w:rPr>
              <w:t xml:space="preserve">/compliance/</w:t>
            </w:r>
          </w:p>
        </w:tc>
        <w:tc>
          <w:tcPr>
            <w:tcW w:type="dxa" w:w="3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Enterprise compliance landing page</w:t>
            </w:r>
          </w:p>
        </w:tc>
        <w:tc>
          <w:tcPr>
            <w:tcW w:type="dxa" w:w="3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4B5563"/>
                <w:sz w:val="16"/>
                <w:szCs w:val="16"/>
              </w:rPr>
              <w:t xml:space="preserve">EU AI Act evidence, compliance report export, checklist page</w:t>
            </w:r>
          </w:p>
        </w:tc>
      </w:tr>
    </w:tbl>
    <w:p>
      <w:pPr>
        <w:spacing w:after="120"/>
      </w:pPr>
    </w:p>
    <w:p>
      <w:pPr>
        <w:pStyle w:val="Heading2"/>
        <w:spacing w:after="160" w:before="280"/>
      </w:pPr>
      <w:r>
        <w:rPr>
          <w:rFonts w:ascii="Arial" w:cs="Arial" w:eastAsia="Arial" w:hAnsi="Arial"/>
          <w:b/>
          <w:bCs/>
          <w:color w:val="1B4F8A"/>
          <w:sz w:val="28"/>
          <w:szCs w:val="28"/>
        </w:rPr>
        <w:t xml:space="preserve">Internal Linking Logic</w:t>
      </w:r>
    </w:p>
    <w:p>
      <w:pPr>
        <w:spacing w:after="160"/>
      </w:pPr>
      <w:r>
        <w:rPr>
          <w:rFonts w:ascii="Arial" w:cs="Arial" w:eastAsia="Arial" w:hAnsi="Arial"/>
          <w:b w:val="false"/>
          <w:bCs w:val="false"/>
          <w:color w:val="4B5563"/>
          <w:sz w:val="20"/>
          <w:szCs w:val="20"/>
        </w:rPr>
        <w:t xml:space="preserve">Every piece of content links to the relevant pillar page and the /compliance/ landing page. Framework integration pages link to the EU AI Act cluster. Blog posts link to /docs/ for the technical implementation. This creates a web of authority that flows to your highest-value pages.</w:t>
      </w:r>
    </w:p>
    <w:p>
      <w:pPr>
        <w:spacing w:after="120"/>
      </w:pPr>
    </w:p>
    <w:p>
      <w:pPr>
        <w:pStyle w:val="ListParagraph"/>
        <w:numPr>
          <w:ilvl w:val="0"/>
          <w:numId w:val="2"/>
        </w:numPr>
        <w:spacing w:after="80"/>
      </w:pPr>
      <w:r>
        <w:rPr>
          <w:rFonts w:ascii="Arial" w:cs="Arial" w:eastAsia="Arial" w:hAnsi="Arial"/>
          <w:color w:val="222222"/>
          <w:sz w:val="19"/>
          <w:szCs w:val="19"/>
        </w:rPr>
        <w:t xml:space="preserve">EU AI Act pillar page links to: all Article sub-pages, /compliance/, /docs/audit-logs/</w:t>
      </w:r>
    </w:p>
    <w:p>
      <w:pPr>
        <w:pStyle w:val="ListParagraph"/>
        <w:numPr>
          <w:ilvl w:val="0"/>
          <w:numId w:val="2"/>
        </w:numPr>
        <w:spacing w:after="80"/>
      </w:pPr>
      <w:r>
        <w:rPr>
          <w:rFonts w:ascii="Arial" w:cs="Arial" w:eastAsia="Arial" w:hAnsi="Arial"/>
          <w:color w:val="222222"/>
          <w:sz w:val="19"/>
          <w:szCs w:val="19"/>
        </w:rPr>
        <w:t xml:space="preserve">Framework integration pages link to: EU AI Act pillar, /docs/, relevant comparison pages</w:t>
      </w:r>
    </w:p>
    <w:p>
      <w:pPr>
        <w:pStyle w:val="ListParagraph"/>
        <w:numPr>
          <w:ilvl w:val="0"/>
          <w:numId w:val="2"/>
        </w:numPr>
        <w:spacing w:after="80"/>
      </w:pPr>
      <w:r>
        <w:rPr>
          <w:rFonts w:ascii="Arial" w:cs="Arial" w:eastAsia="Arial" w:hAnsi="Arial"/>
          <w:color w:val="222222"/>
          <w:sz w:val="19"/>
          <w:szCs w:val="19"/>
        </w:rPr>
        <w:t xml:space="preserve">Blog posts link to: relevant pillar page, 1-2 related blog posts, /compliance/ as CTA</w:t>
      </w:r>
    </w:p>
    <w:p>
      <w:pPr>
        <w:pStyle w:val="ListParagraph"/>
        <w:numPr>
          <w:ilvl w:val="0"/>
          <w:numId w:val="2"/>
        </w:numPr>
        <w:spacing w:after="80"/>
      </w:pPr>
      <w:r>
        <w:rPr>
          <w:rFonts w:ascii="Arial" w:cs="Arial" w:eastAsia="Arial" w:hAnsi="Arial"/>
          <w:color w:val="222222"/>
          <w:sz w:val="19"/>
          <w:szCs w:val="19"/>
        </w:rPr>
        <w:t xml:space="preserve">Comparison (/vs/) pages link to: /pricing/, /compliance/, quickstart</w:t>
      </w:r>
    </w:p>
    <w:p>
      <w:pPr>
        <w:pStyle w:val="ListParagraph"/>
        <w:numPr>
          <w:ilvl w:val="0"/>
          <w:numId w:val="2"/>
        </w:numPr>
        <w:spacing w:after="80"/>
      </w:pPr>
      <w:r>
        <w:rPr>
          <w:rFonts w:ascii="Arial" w:cs="Arial" w:eastAsia="Arial" w:hAnsi="Arial"/>
          <w:color w:val="222222"/>
          <w:sz w:val="19"/>
          <w:szCs w:val="19"/>
        </w:rPr>
        <w:t xml:space="preserve">Docs pages link to: blog posts explaining the concept, /compliance/ for enterprise CTA</w:t>
      </w:r>
    </w:p>
    <w:p>
      <w:r>
        <w:br w:type="page"/>
      </w:r>
    </w:p>
    <w:p>
      <w:pPr>
        <w:pStyle w:val="Heading1"/>
        <w:spacing w:after="160" w:before="400"/>
      </w:pPr>
      <w:r>
        <w:rPr>
          <w:rFonts w:ascii="Arial" w:cs="Arial" w:eastAsia="Arial" w:hAnsi="Arial"/>
          <w:b/>
          <w:bCs/>
          <w:color w:val="0A2342"/>
          <w:sz w:val="40"/>
          <w:szCs w:val="40"/>
        </w:rPr>
        <w:t xml:space="preserve">Technical SEO Checklist</w:t>
      </w:r>
    </w:p>
    <w:p>
      <w:pPr>
        <w:pBdr>
          <w:bottom w:val="single" w:color="0E7490"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Check</w:t>
            </w:r>
          </w:p>
        </w:tc>
        <w:tc>
          <w:tcPr>
            <w:tcW w:type="dxa" w:w="15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Status</w:t>
            </w:r>
          </w:p>
        </w:tc>
        <w:tc>
          <w:tcPr>
            <w:tcW w:type="dxa" w:w="466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Action Required</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sitemap.ts present (detected in codebase)</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PASS</w:t>
            </w:r>
          </w:p>
        </w:tc>
        <w:tc>
          <w:tcPr>
            <w:tcW w:type="dxa" w:w="4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Verify it includes all /eu-ai-act/, /vs/, /integrations/ URLs when added</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Next.js App Router — server-side rendering</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PASS</w:t>
            </w:r>
          </w:p>
        </w:tc>
        <w:tc>
          <w:tcPr>
            <w:tcW w:type="dxa" w:w="4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Excellent for SEO. Ensure all new pages use SSR, not client-only rendering</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Structured data: Organization schema</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CHECK</w:t>
            </w:r>
          </w:p>
        </w:tc>
        <w:tc>
          <w:tcPr>
            <w:tcW w:type="dxa" w:w="4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Add Organization schema to homepage with name, url, logo, sameAs (GitHub, LinkedIn)</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Structured data: FAQ schema on key pages</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ADD</w:t>
            </w:r>
          </w:p>
        </w:tc>
        <w:tc>
          <w:tcPr>
            <w:tcW w:type="dxa" w:w="4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Add FAQ schema to EU AI Act pillar page and compliance landing page (boosts SERP features)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Structured data: HowTo schema on integration guides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ADD</w:t>
            </w:r>
          </w:p>
        </w:tc>
        <w:tc>
          <w:tcPr>
            <w:tcW w:type="dxa" w:w="4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Add HowTo schema to LangChain, AutoGen, CrewAI integration guides (rich results)</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Structured data: Product schema on pricing page</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ADD</w:t>
            </w:r>
          </w:p>
        </w:tc>
        <w:tc>
          <w:tcPr>
            <w:tcW w:type="dxa" w:w="4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Add Product schema with pricing, description, and review markup</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Meta titles: 50-60 chars, keyword-first</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CHECK</w:t>
            </w:r>
          </w:p>
        </w:tc>
        <w:tc>
          <w:tcPr>
            <w:tcW w:type="dxa" w:w="4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Audit all pages. Format: '[Primary KW] — Supra-wall'. Example: 'EU AI Act Compliance for AI Agents — Supra-wall'</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Meta descriptions: 150-160 chars with CTA</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CHECK</w:t>
            </w:r>
          </w:p>
        </w:tc>
        <w:tc>
          <w:tcPr>
            <w:tcW w:type="dxa" w:w="4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Every page needs a unique meta description ending in a call to action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Page speed: Core Web Vitals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CHECK</w:t>
            </w:r>
          </w:p>
        </w:tc>
        <w:tc>
          <w:tcPr>
            <w:tcW w:type="dxa" w:w="4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Run PageSpeed Insights. Target LCP &lt; 2.5s, CLS &lt; 0.1. Optimize hero images and JS bundles</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Canonical tags on all pages</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CHECK</w:t>
            </w:r>
          </w:p>
        </w:tc>
        <w:tc>
          <w:tcPr>
            <w:tcW w:type="dxa" w:w="4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Verify no duplicate content issues, especially between /docs/ and /blog/ content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robots.txt — allow all key directories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CHECK</w:t>
            </w:r>
          </w:p>
        </w:tc>
        <w:tc>
          <w:tcPr>
            <w:tcW w:type="dxa" w:w="4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Ensure /eu-ai-act/, /vs/, /integrations/ are not accidentally blocked</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Image alt text on all images</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ADD</w:t>
            </w:r>
          </w:p>
        </w:tc>
        <w:tc>
          <w:tcPr>
            <w:tcW w:type="dxa" w:w="4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Every image needs descriptive alt text including target keyword where relevant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Open Graph + Twitter Card tags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ADD</w:t>
            </w:r>
          </w:p>
        </w:tc>
        <w:tc>
          <w:tcPr>
            <w:tcW w:type="dxa" w:w="46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Add OG tags to every page for social sharing previews (affects click-through from LinkedIn)</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Breadcrumb schema on all inner pages</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C2626"/>
                <w:sz w:val="18"/>
                <w:szCs w:val="18"/>
              </w:rPr>
              <w:t xml:space="preserve">ADD</w:t>
            </w:r>
          </w:p>
        </w:tc>
        <w:tc>
          <w:tcPr>
            <w:tcW w:type="dxa" w:w="46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Add BreadcrumbList schema to all sub-pages — helps Google understand site hierarchy</w:t>
            </w:r>
          </w:p>
        </w:tc>
      </w:tr>
    </w:tbl>
    <w:p>
      <w:r>
        <w:br w:type="page"/>
      </w:r>
    </w:p>
    <w:p>
      <w:pPr>
        <w:pStyle w:val="Heading1"/>
        <w:spacing w:after="160" w:before="400"/>
      </w:pPr>
      <w:r>
        <w:rPr>
          <w:rFonts w:ascii="Arial" w:cs="Arial" w:eastAsia="Arial" w:hAnsi="Arial"/>
          <w:b/>
          <w:bCs/>
          <w:color w:val="0A2342"/>
          <w:sz w:val="40"/>
          <w:szCs w:val="40"/>
        </w:rPr>
        <w:t xml:space="preserve">90-Day SEO Execution Plan</w:t>
      </w:r>
    </w:p>
    <w:p>
      <w:pPr>
        <w:pBdr>
          <w:bottom w:val="single" w:color="0E7490" w:sz="4" w:space="1"/>
        </w:pBdr>
        <w:spacing w:after="200" w:before="200"/>
      </w:pPr>
    </w:p>
    <w:p>
      <w:pPr>
        <w:spacing w:after="160"/>
      </w:pPr>
      <w:r>
        <w:rPr>
          <w:rFonts w:ascii="Arial" w:cs="Arial" w:eastAsia="Arial" w:hAnsi="Arial"/>
          <w:b w:val="false"/>
          <w:bCs w:val="false"/>
          <w:color w:val="222222"/>
          <w:sz w:val="20"/>
          <w:szCs w:val="20"/>
        </w:rPr>
        <w:t xml:space="preserve">Built for a solo/small team. Every action is ranked by SEO impact and ordered to maximize compounding returns — early content builds authority that accelerates everything published after it.</w:t>
      </w:r>
    </w:p>
    <w:p>
      <w:pPr>
        <w:spacing w:after="120"/>
      </w:pPr>
    </w:p>
    <w:p>
      <w:pPr>
        <w:pStyle w:val="Heading2"/>
        <w:spacing w:after="160" w:before="280"/>
      </w:pPr>
      <w:r>
        <w:rPr>
          <w:rFonts w:ascii="Arial" w:cs="Arial" w:eastAsia="Arial" w:hAnsi="Arial"/>
          <w:b/>
          <w:bCs/>
          <w:color w:val="1B4F8A"/>
          <w:sz w:val="28"/>
          <w:szCs w:val="28"/>
        </w:rPr>
        <w:t xml:space="preserve">Month 1 — Foundation &amp; Quick Wins (Weeks 1-4)</w:t>
      </w:r>
    </w:p>
    <w:p>
      <w:pPr>
        <w:spacing w:after="160"/>
      </w:pPr>
      <w:r>
        <w:rPr>
          <w:rFonts w:ascii="Arial" w:cs="Arial" w:eastAsia="Arial" w:hAnsi="Arial"/>
          <w:b w:val="false"/>
          <w:bCs w:val="false"/>
          <w:color w:val="4B5563"/>
          <w:sz w:val="20"/>
          <w:szCs w:val="20"/>
        </w:rPr>
        <w:t xml:space="preserve">Goal: Get the non-negotiable, highest-impact pages live and indexed. These are pages that will rank for low-competition terms within 30-60 days and start building domain authority.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300"/>
        <w:gridCol w:w="1300"/>
        <w:gridCol w:w="1360"/>
      </w:tblGrid>
      <w:tr>
        <w:trPr>
          <w:tblHeader/>
        </w:trPr>
        <w:tc>
          <w:tcPr>
            <w:tcW w:type="dxa" w:w="3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Action</w:t>
            </w:r>
          </w:p>
        </w:tc>
        <w:tc>
          <w:tcPr>
            <w:tcW w:type="dxa" w:w="2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Expected Outcome</w:t>
            </w:r>
          </w:p>
        </w:tc>
        <w:tc>
          <w:tcPr>
            <w:tcW w:type="dxa" w:w="13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Impact</w:t>
            </w:r>
          </w:p>
        </w:tc>
        <w:tc>
          <w:tcPr>
            <w:tcW w:type="dxa" w:w="13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Effort</w:t>
            </w:r>
          </w:p>
        </w:tc>
        <w:tc>
          <w:tcPr>
            <w:tcW w:type="dxa" w:w="136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Owner</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Create EU AI Act pillar page at /eu-ai-act/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Ranks for 6+ high-intent terms, becomes internal link hub</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1 day</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Create /eu-ai-act/article-14-human-oversight/</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Own Article 14 SERP — currently occupied by law firms only</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3 hrs</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Create /eu-ai-act/article-12-audit-logging/</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Own Article 12 SERP — zero technical tools rank here</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3 hrs</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Create /compliance/ landing page (enterprise)</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Enterprise entry point. Maps features to EU AI Act articles. CTA: compliance report</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4 hrs</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Publish Blog Post 1: 'EU AI Act High-Risk Provisions for AI Agent Developers'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Target: 'EU AI Act AI agent compliance'. Drives inbound via search + LinkedIn</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3 hrs (use A1 agent task)</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Agent A1</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Add FAQ + HowTo structured data to key pages</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Unlocks rich results (People Also Ask boxes) in Google SERPs</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2 hrs</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Submit all new URLs to Google Search Console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Ensures Google crawls and indexes new pages within days, not weeks</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30 min</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Add Organization + BreadcrumbList schema to site</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Improves SERP appearance and click-through rate across all pages</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2 hrs</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bl>
    <w:p>
      <w:pPr>
        <w:spacing w:after="120"/>
      </w:pPr>
    </w:p>
    <w:p>
      <w:pPr>
        <w:pStyle w:val="Heading2"/>
        <w:spacing w:after="160" w:before="280"/>
      </w:pPr>
      <w:r>
        <w:rPr>
          <w:rFonts w:ascii="Arial" w:cs="Arial" w:eastAsia="Arial" w:hAnsi="Arial"/>
          <w:b/>
          <w:bCs/>
          <w:color w:val="1B4F8A"/>
          <w:sz w:val="28"/>
          <w:szCs w:val="28"/>
        </w:rPr>
        <w:t xml:space="preserve">Month 2 — Framework Content &amp; Comparison Pages (Weeks 5-8)</w:t>
      </w:r>
    </w:p>
    <w:p>
      <w:pPr>
        <w:spacing w:after="160"/>
      </w:pPr>
      <w:r>
        <w:rPr>
          <w:rFonts w:ascii="Arial" w:cs="Arial" w:eastAsia="Arial" w:hAnsi="Arial"/>
          <w:b w:val="false"/>
          <w:bCs w:val="false"/>
          <w:color w:val="4B5563"/>
          <w:sz w:val="20"/>
          <w:szCs w:val="20"/>
        </w:rPr>
        <w:t xml:space="preserve">Goal: Build the framework-specific integration pages that capture developer traffic, and launch comparison pages for the highest-intent commercial keywords.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300"/>
        <w:gridCol w:w="1300"/>
        <w:gridCol w:w="1360"/>
      </w:tblGrid>
      <w:tr>
        <w:trPr>
          <w:tblHeader/>
        </w:trPr>
        <w:tc>
          <w:tcPr>
            <w:tcW w:type="dxa" w:w="3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Action</w:t>
            </w:r>
          </w:p>
        </w:tc>
        <w:tc>
          <w:tcPr>
            <w:tcW w:type="dxa" w:w="2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Expected Outcome</w:t>
            </w:r>
          </w:p>
        </w:tc>
        <w:tc>
          <w:tcPr>
            <w:tcW w:type="dxa" w:w="13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Impact</w:t>
            </w:r>
          </w:p>
        </w:tc>
        <w:tc>
          <w:tcPr>
            <w:tcW w:type="dxa" w:w="13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Effort</w:t>
            </w:r>
          </w:p>
        </w:tc>
        <w:tc>
          <w:tcPr>
            <w:tcW w:type="dxa" w:w="136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Owner</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Create /integrations/langchain/ with EU AI Act compliance guide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LangChain is #1 AI framework. Own 'LangChain EU AI Act' — zero competition</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4 hrs</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Create /integrations/autogen/ with policy configuration guide</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AutoGen is #2. 'AutoGen security policy' has zero competition</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3 hrs</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Create /integrations/crewai/ and /integrations/vercel-ai/</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Complete the framework matrix. Compound authority across framework-specific terms</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4 hrs</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Launch /vs/lakera/ comparison page</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Captures 'Lakera alternative' searches — highest-converting traffic type</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3 hrs</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Launch /vs/guardrails-ai/ comparison page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Same play — Guardrails AI users searching for SaaS alternative</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2 hrs</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Publish Blog Post 2: 'How to Prove Human Oversight to EU Regulators'</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Target: 'AI agent human oversight EU'. Thought leadership + backlink magnet</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3 hrs (use A1 agent)</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Agent A1</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Publish Blog Post 3: 'The LangChain EU AI Act Compliance Checklist'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Framework-specific, very low competition, high purchase intent</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3 hrs (use A1 agent)</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Agent A1</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Reach out to 5 EU AI Act content roundups for inclusion</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Get listed in 'best EU AI Act tools' articles — instant backlinks + referral traffic</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2 hrs</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bl>
    <w:p>
      <w:pPr>
        <w:spacing w:after="120"/>
      </w:pPr>
    </w:p>
    <w:p>
      <w:pPr>
        <w:pStyle w:val="Heading2"/>
        <w:spacing w:after="160" w:before="280"/>
      </w:pPr>
      <w:r>
        <w:rPr>
          <w:rFonts w:ascii="Arial" w:cs="Arial" w:eastAsia="Arial" w:hAnsi="Arial"/>
          <w:b/>
          <w:bCs/>
          <w:color w:val="1B4F8A"/>
          <w:sz w:val="28"/>
          <w:szCs w:val="28"/>
        </w:rPr>
        <w:t xml:space="preserve">Month 3 — Authority &amp; Link Building (Weeks 9-12)</w:t>
      </w:r>
    </w:p>
    <w:p>
      <w:pPr>
        <w:spacing w:after="160"/>
      </w:pPr>
      <w:r>
        <w:rPr>
          <w:rFonts w:ascii="Arial" w:cs="Arial" w:eastAsia="Arial" w:hAnsi="Arial"/>
          <w:b w:val="false"/>
          <w:bCs w:val="false"/>
          <w:color w:val="4B5563"/>
          <w:sz w:val="20"/>
          <w:szCs w:val="20"/>
        </w:rPr>
        <w:t xml:space="preserve">Goal: Build the backlink profile and SERP features (featured snippets, People Also Ask) that cement Supra-wall as the authoritative source in these keyword clusters.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300"/>
        <w:gridCol w:w="1300"/>
        <w:gridCol w:w="1360"/>
      </w:tblGrid>
      <w:tr>
        <w:trPr>
          <w:tblHeader/>
        </w:trPr>
        <w:tc>
          <w:tcPr>
            <w:tcW w:type="dxa" w:w="3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Action</w:t>
            </w:r>
          </w:p>
        </w:tc>
        <w:tc>
          <w:tcPr>
            <w:tcW w:type="dxa" w:w="2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Expected Outcome</w:t>
            </w:r>
          </w:p>
        </w:tc>
        <w:tc>
          <w:tcPr>
            <w:tcW w:type="dxa" w:w="13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Impact</w:t>
            </w:r>
          </w:p>
        </w:tc>
        <w:tc>
          <w:tcPr>
            <w:tcW w:type="dxa" w:w="13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Effort</w:t>
            </w:r>
          </w:p>
        </w:tc>
        <w:tc>
          <w:tcPr>
            <w:tcW w:type="dxa" w:w="136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Owner</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Create EU AI Act glossary page at /eu-ai-act/glossary/</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Ranks for 50+ long-tail definitional queries. Becomes most-linked page on site</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4 hrs</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Publish OWASP Agentic AI Top 10 remediation guide</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OWASP published Agentic AI Top 10 in 2026 — zero tool-specific remediation guides exist</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1 day (use A1 agent)</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Agent A1</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Submit to 10 EU AI Act compliance tool roundup articles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Each listing = backlink + referral traffic. Prioritize centraleyes.com, peoplemanagingpeople.com</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3 hrs</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Publish guest post on LangChain or AutoGen official blog</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 guest post on their blog = authoritative backlink + direct developer audience exposure</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High</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1 day</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Optimize top 5 pages for featured snippet (add TL;DR summary boxes)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Featured snippets = 0-click visibility, huge for brand awareness and branded searches</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3 hrs</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Build /eu-ai-act/compliance-report-template/ with downloadable PDF</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Lead generation + backlink magnet. Every company sharing the template links back to us</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4 hrs</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Publish Blog Posts 4 &amp; 5 from the queue (use A1 agent)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Maintain publishing cadence — 4 posts/month minimum for compound organic growth</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3 hrs each (use A1)</w:t>
            </w:r>
          </w:p>
        </w:tc>
        <w:tc>
          <w:tcPr>
            <w:tcW w:type="dxa" w:w="1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Agent A1</w:t>
            </w:r>
          </w:p>
        </w:tc>
      </w:tr>
      <w:tr>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8"/>
                <w:szCs w:val="18"/>
              </w:rPr>
              <w:t xml:space="preserve">Monitor and optimize based on Search Console data</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After 90 days, identify which pages are ranking on page 2 and double down on those</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D97706"/>
                <w:sz w:val="18"/>
                <w:szCs w:val="18"/>
              </w:rPr>
              <w:t xml:space="preserve">Medium</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2 hrs</w:t>
            </w:r>
          </w:p>
        </w:tc>
        <w:tc>
          <w:tcPr>
            <w:tcW w:type="dxa" w:w="1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000000"/>
                <w:sz w:val="18"/>
                <w:szCs w:val="18"/>
              </w:rPr>
              <w:t xml:space="preserve">Alejandro</w:t>
            </w:r>
          </w:p>
        </w:tc>
      </w:tr>
    </w:tbl>
    <w:p>
      <w:r>
        <w:br w:type="page"/>
      </w:r>
    </w:p>
    <w:p>
      <w:pPr>
        <w:pStyle w:val="Heading1"/>
        <w:spacing w:after="160" w:before="400"/>
      </w:pPr>
      <w:r>
        <w:rPr>
          <w:rFonts w:ascii="Arial" w:cs="Arial" w:eastAsia="Arial" w:hAnsi="Arial"/>
          <w:b/>
          <w:bCs/>
          <w:color w:val="0A2342"/>
          <w:sz w:val="40"/>
          <w:szCs w:val="40"/>
        </w:rPr>
        <w:t xml:space="preserve">Link Building Strategy</w:t>
      </w:r>
    </w:p>
    <w:p>
      <w:pPr>
        <w:pBdr>
          <w:bottom w:val="single" w:color="0E7490" w:sz="4" w:space="1"/>
        </w:pBdr>
        <w:spacing w:after="200" w:before="200"/>
      </w:pPr>
    </w:p>
    <w:p>
      <w:pPr>
        <w:spacing w:after="160"/>
      </w:pPr>
      <w:r>
        <w:rPr>
          <w:rFonts w:ascii="Arial" w:cs="Arial" w:eastAsia="Arial" w:hAnsi="Arial"/>
          <w:b w:val="false"/>
          <w:bCs w:val="false"/>
          <w:color w:val="222222"/>
          <w:sz w:val="20"/>
          <w:szCs w:val="20"/>
        </w:rPr>
        <w:t xml:space="preserve">Backlinks remain the primary ranking factor for competitive keywords. For Supra-wall, the goal is 20–30 high-quality backlinks in the first 90 days from sources the target audience already trusts.</w:t>
      </w:r>
    </w:p>
    <w:p>
      <w:pPr>
        <w:spacing w:after="120"/>
      </w:pPr>
    </w:p>
    <w:p>
      <w:pPr>
        <w:pStyle w:val="Heading2"/>
        <w:spacing w:after="160" w:before="280"/>
      </w:pPr>
      <w:r>
        <w:rPr>
          <w:rFonts w:ascii="Arial" w:cs="Arial" w:eastAsia="Arial" w:hAnsi="Arial"/>
          <w:b/>
          <w:bCs/>
          <w:color w:val="1B4F8A"/>
          <w:sz w:val="28"/>
          <w:szCs w:val="28"/>
        </w:rPr>
        <w:t xml:space="preserve">Tier 1 — High-Authority, Highest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Source Type</w:t>
            </w:r>
          </w:p>
        </w:tc>
        <w:tc>
          <w:tcPr>
            <w:tcW w:type="dxa" w:w="22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Target Sites</w:t>
            </w:r>
          </w:p>
        </w:tc>
        <w:tc>
          <w:tcPr>
            <w:tcW w:type="dxa" w:w="436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How to Get the Link</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Framework official docs/blogs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7"/>
                <w:szCs w:val="17"/>
              </w:rPr>
              <w:t xml:space="preserve">LangChain blog, AutoGen repo, CrewAI docs</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Contribute integration guide or how-to article. Frame it as developer education, not a promotion.</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EU AI Act resource pages</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7"/>
                <w:szCs w:val="17"/>
              </w:rPr>
              <w:t xml:space="preserve">artificialintelligenceact.eu, digital-strategy.ec.europa.eu, dataguard.com/eu-ai-act/</w:t>
            </w:r>
          </w:p>
        </w:tc>
        <w:tc>
          <w:tcPr>
            <w:tcW w:type="dxa" w:w="4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Email the maintainers with Supra-wall listed as a technical implementation tool in their 'compliance resources' sections.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'Best AI compliance tools' roundups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7"/>
                <w:szCs w:val="17"/>
              </w:rPr>
              <w:t xml:space="preserve">centraleyes.com, peoplemanagingpeople.com, exceeds.ai/blog</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Email the article authors with a brief pitch. These articles are updated regularly and authors want more tools to cover.</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OWASP contribution</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7"/>
                <w:szCs w:val="17"/>
              </w:rPr>
              <w:t xml:space="preserve">cheatsheetseries.owasp.org/AI_Agent_Security</w:t>
            </w:r>
          </w:p>
        </w:tc>
        <w:tc>
          <w:tcPr>
            <w:tcW w:type="dxa" w:w="43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Submit a PR to the OWASP AI Agent Security cheat sheet adding Supra-wall as a recommended policy enforcement tool.</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AI security communities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7"/>
                <w:szCs w:val="17"/>
              </w:rPr>
              <w:t xml:space="preserve">HackerNews (Show HN), r/MachineLearning, r/LangChain</w:t>
            </w:r>
          </w:p>
        </w:tc>
        <w:tc>
          <w:tcPr>
            <w:tcW w:type="dxa" w:w="4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Post 'Show HN: Supra-wall — EU AI Act compliance in one line of code for AI agents'. Genuine community value first.</w:t>
            </w:r>
          </w:p>
        </w:tc>
      </w:tr>
    </w:tbl>
    <w:p>
      <w:pPr>
        <w:spacing w:after="120"/>
      </w:pPr>
    </w:p>
    <w:p>
      <w:pPr>
        <w:pStyle w:val="Heading2"/>
        <w:spacing w:after="160" w:before="280"/>
      </w:pPr>
      <w:r>
        <w:rPr>
          <w:rFonts w:ascii="Arial" w:cs="Arial" w:eastAsia="Arial" w:hAnsi="Arial"/>
          <w:b/>
          <w:bCs/>
          <w:color w:val="1B4F8A"/>
          <w:sz w:val="28"/>
          <w:szCs w:val="28"/>
        </w:rPr>
        <w:t xml:space="preserve">Tier 2 — Supporting Link Sources</w:t>
      </w:r>
    </w:p>
    <w:p>
      <w:pPr>
        <w:pStyle w:val="ListParagraph"/>
        <w:numPr>
          <w:ilvl w:val="0"/>
          <w:numId w:val="2"/>
        </w:numPr>
        <w:spacing w:after="80"/>
      </w:pPr>
      <w:r>
        <w:rPr>
          <w:rFonts w:ascii="Arial" w:cs="Arial" w:eastAsia="Arial" w:hAnsi="Arial"/>
          <w:color w:val="222222"/>
          <w:sz w:val="19"/>
          <w:szCs w:val="19"/>
        </w:rPr>
        <w:t xml:space="preserve">EU AI Act consultancy partners (from C1/C2 agent tasks) — each partnership generates a 'technology partners' backlink</w:t>
      </w:r>
    </w:p>
    <w:p>
      <w:pPr>
        <w:pStyle w:val="ListParagraph"/>
        <w:numPr>
          <w:ilvl w:val="0"/>
          <w:numId w:val="2"/>
        </w:numPr>
        <w:spacing w:after="80"/>
      </w:pPr>
      <w:r>
        <w:rPr>
          <w:rFonts w:ascii="Arial" w:cs="Arial" w:eastAsia="Arial" w:hAnsi="Arial"/>
          <w:color w:val="222222"/>
          <w:sz w:val="19"/>
          <w:szCs w:val="19"/>
        </w:rPr>
        <w:t xml:space="preserve">Plugin marketplace listing — Anthropic's Claude plugin directory becomes a backlink to suprawall.ai</w:t>
      </w:r>
    </w:p>
    <w:p>
      <w:pPr>
        <w:pStyle w:val="ListParagraph"/>
        <w:numPr>
          <w:ilvl w:val="0"/>
          <w:numId w:val="2"/>
        </w:numPr>
        <w:spacing w:after="80"/>
      </w:pPr>
      <w:r>
        <w:rPr>
          <w:rFonts w:ascii="Arial" w:cs="Arial" w:eastAsia="Arial" w:hAnsi="Arial"/>
          <w:color w:val="222222"/>
          <w:sz w:val="19"/>
          <w:szCs w:val="19"/>
        </w:rPr>
        <w:t xml:space="preserve">GitHub README backlinks — every developer who uses Supra-wall and writes about it on GitHub links back</w:t>
      </w:r>
    </w:p>
    <w:p>
      <w:pPr>
        <w:pStyle w:val="ListParagraph"/>
        <w:numPr>
          <w:ilvl w:val="0"/>
          <w:numId w:val="2"/>
        </w:numPr>
        <w:spacing w:after="80"/>
      </w:pPr>
      <w:r>
        <w:rPr>
          <w:rFonts w:ascii="Arial" w:cs="Arial" w:eastAsia="Arial" w:hAnsi="Arial"/>
          <w:color w:val="222222"/>
          <w:sz w:val="19"/>
          <w:szCs w:val="19"/>
        </w:rPr>
        <w:t xml:space="preserve">Conference / meetup listings — speaking at EU AI Act or AI agent conferences gets listed with a backlink</w:t>
      </w:r>
    </w:p>
    <w:p>
      <w:pPr>
        <w:pStyle w:val="ListParagraph"/>
        <w:numPr>
          <w:ilvl w:val="0"/>
          <w:numId w:val="2"/>
        </w:numPr>
        <w:spacing w:after="80"/>
      </w:pPr>
      <w:r>
        <w:rPr>
          <w:rFonts w:ascii="Arial" w:cs="Arial" w:eastAsia="Arial" w:hAnsi="Arial"/>
          <w:color w:val="222222"/>
          <w:sz w:val="19"/>
          <w:szCs w:val="19"/>
        </w:rPr>
        <w:t xml:space="preserve">Developer tool directories — submit to Hacker News' Software section, Product Hunt, and AlternativeTo</w:t>
      </w:r>
    </w:p>
    <w:p>
      <w:r>
        <w:br w:type="page"/>
      </w:r>
    </w:p>
    <w:p>
      <w:pPr>
        <w:pStyle w:val="Heading1"/>
        <w:spacing w:after="160" w:before="400"/>
      </w:pPr>
      <w:r>
        <w:rPr>
          <w:rFonts w:ascii="Arial" w:cs="Arial" w:eastAsia="Arial" w:hAnsi="Arial"/>
          <w:b/>
          <w:bCs/>
          <w:color w:val="0A2342"/>
          <w:sz w:val="40"/>
          <w:szCs w:val="40"/>
        </w:rPr>
        <w:t xml:space="preserve">90-Day Content Calendar</w:t>
      </w:r>
    </w:p>
    <w:p>
      <w:pPr>
        <w:pBdr>
          <w:bottom w:val="single" w:color="0E7490" w:sz="4" w:space="1"/>
        </w:pBdr>
        <w:spacing w:after="200" w:before="200"/>
      </w:pPr>
    </w:p>
    <w:p>
      <w:pPr>
        <w:spacing w:after="160"/>
      </w:pPr>
      <w:r>
        <w:rPr>
          <w:rFonts w:ascii="Arial" w:cs="Arial" w:eastAsia="Arial" w:hAnsi="Arial"/>
          <w:b w:val="false"/>
          <w:bCs w:val="false"/>
          <w:color w:val="222222"/>
          <w:sz w:val="20"/>
          <w:szCs w:val="20"/>
        </w:rPr>
        <w:t xml:space="preserve">32 pages and posts to be produced over 12 weeks. Automated tasks A1 (blog drafting) and A2 (LinkedIn posts) handle the recurring content. Alejandro handles the high-leverage landing pages that require product knowledge.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260"/>
        <w:gridCol w:w="1500"/>
        <w:gridCol w:w="1300"/>
      </w:tblGrid>
      <w:tr>
        <w:trPr>
          <w:tblHeader/>
        </w:trPr>
        <w:tc>
          <w:tcPr>
            <w:tcW w:type="dxa" w:w="9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Week</w:t>
            </w:r>
          </w:p>
        </w:tc>
        <w:tc>
          <w:tcPr>
            <w:tcW w:type="dxa" w:w="24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Content Piece</w:t>
            </w:r>
          </w:p>
        </w:tc>
        <w:tc>
          <w:tcPr>
            <w:tcW w:type="dxa" w:w="326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Target Keyword</w:t>
            </w:r>
          </w:p>
        </w:tc>
        <w:tc>
          <w:tcPr>
            <w:tcW w:type="dxa" w:w="15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Type</w:t>
            </w:r>
          </w:p>
        </w:tc>
        <w:tc>
          <w:tcPr>
            <w:tcW w:type="dxa" w:w="13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Who</w:t>
            </w:r>
          </w:p>
        </w:tc>
      </w:tr>
      <w:tr>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1</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/eu-ai-act/ pillar page</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EU AI Act AI agent compliance</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Landing page</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16"/>
                <w:szCs w:val="16"/>
              </w:rPr>
              <w:t xml:space="preserve">Alejandro</w:t>
            </w:r>
          </w:p>
        </w:tc>
      </w:tr>
      <w:tr>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1</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/eu-ai-act/article-14-human-oversight/</w:t>
            </w:r>
          </w:p>
        </w:tc>
        <w:tc>
          <w:tcPr>
            <w:tcW w:type="dxa" w:w="3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EU AI Act Article 14 human oversight</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Docs/guide</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A2342"/>
                <w:sz w:val="16"/>
                <w:szCs w:val="16"/>
              </w:rPr>
              <w:t xml:space="preserve">Alejandro</w:t>
            </w:r>
          </w:p>
        </w:tc>
      </w:tr>
      <w:tr>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1</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/eu-ai-act/article-12-audit-logging/</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EU AI Act Article 12 audit logging</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Docs/guide</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16"/>
                <w:szCs w:val="16"/>
              </w:rPr>
              <w:t xml:space="preserve">Alejandro</w:t>
            </w:r>
          </w:p>
        </w:tc>
      </w:tr>
      <w:tr>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1</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/compliance/ enterprise landing page</w:t>
            </w:r>
          </w:p>
        </w:tc>
        <w:tc>
          <w:tcPr>
            <w:tcW w:type="dxa" w:w="3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EU AI Act compliance software AI agents</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Landing page</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A2342"/>
                <w:sz w:val="16"/>
                <w:szCs w:val="16"/>
              </w:rPr>
              <w:t xml:space="preserve">Alejandro</w:t>
            </w:r>
          </w:p>
        </w:tc>
      </w:tr>
      <w:tr>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2</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Blog: EU AI Act High-Risk Provisions for Developers</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EU AI Act high risk AI agents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Blog post</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Agent A1</w:t>
            </w:r>
          </w:p>
        </w:tc>
      </w:tr>
      <w:tr>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2</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/eu-ai-act/article-9-risk-management/</w:t>
            </w:r>
          </w:p>
        </w:tc>
        <w:tc>
          <w:tcPr>
            <w:tcW w:type="dxa" w:w="3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EU AI Act Article 9 risk management</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Docs/guide</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A2342"/>
                <w:sz w:val="16"/>
                <w:szCs w:val="16"/>
              </w:rPr>
              <w:t xml:space="preserve">Alejandro</w:t>
            </w:r>
          </w:p>
        </w:tc>
      </w:tr>
      <w:tr>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3</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Blog: How to Prove Human Oversight to EU Regulators</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AI agent human oversight EU</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Blog post</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Agent A1</w:t>
            </w:r>
          </w:p>
        </w:tc>
      </w:tr>
      <w:tr>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3</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/integrations/langchain/ EU AI Act guide</w:t>
            </w:r>
          </w:p>
        </w:tc>
        <w:tc>
          <w:tcPr>
            <w:tcW w:type="dxa" w:w="3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LangChain EU AI Act compliance</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Integration</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A2342"/>
                <w:sz w:val="16"/>
                <w:szCs w:val="16"/>
              </w:rPr>
              <w:t xml:space="preserve">Alejandro</w:t>
            </w:r>
          </w:p>
        </w:tc>
      </w:tr>
      <w:tr>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4</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Blog: LangChain EU AI Act Compliance Checklist</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LangChain audit log compliance</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Blog post</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Agent A1</w:t>
            </w:r>
          </w:p>
        </w:tc>
      </w:tr>
      <w:tr>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4</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/integrations/autogen/ compliance guide</w:t>
            </w:r>
          </w:p>
        </w:tc>
        <w:tc>
          <w:tcPr>
            <w:tcW w:type="dxa" w:w="3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AutoGen EU AI Act</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Integration</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A2342"/>
                <w:sz w:val="16"/>
                <w:szCs w:val="16"/>
              </w:rPr>
              <w:t xml:space="preserve">Alejandro</w:t>
            </w:r>
          </w:p>
        </w:tc>
      </w:tr>
      <w:tr>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5</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/vs/lakera/ comparison page</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Lakera alternative</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Comparison</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16"/>
                <w:szCs w:val="16"/>
              </w:rPr>
              <w:t xml:space="preserve">Alejandro</w:t>
            </w:r>
          </w:p>
        </w:tc>
      </w:tr>
      <w:tr>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5</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/vs/guardrails-ai/ comparison page</w:t>
            </w:r>
          </w:p>
        </w:tc>
        <w:tc>
          <w:tcPr>
            <w:tcW w:type="dxa" w:w="3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Guardrails AI alternative</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Comparison</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A2342"/>
                <w:sz w:val="16"/>
                <w:szCs w:val="16"/>
              </w:rPr>
              <w:t xml:space="preserve">Alejandro</w:t>
            </w:r>
          </w:p>
        </w:tc>
      </w:tr>
      <w:tr>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6</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Blog: AI Agent Audit Log Requirements (Article 12 deep dive)</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AI agent audit log requirements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Blog post</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Agent A1</w:t>
            </w:r>
          </w:p>
        </w:tc>
      </w:tr>
      <w:tr>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6</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/integrations/crewai/ and /integrations/vercel-ai/</w:t>
            </w:r>
          </w:p>
        </w:tc>
        <w:tc>
          <w:tcPr>
            <w:tcW w:type="dxa" w:w="3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CrewAI EU AI Act / Vercel AI compliance</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Integration</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A2342"/>
                <w:sz w:val="16"/>
                <w:szCs w:val="16"/>
              </w:rPr>
              <w:t xml:space="preserve">Alejandro</w:t>
            </w:r>
          </w:p>
        </w:tc>
      </w:tr>
      <w:tr>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7</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Blog: Why Your AI Agent's Tool Calls Are Now a Legal Record</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AI agent audit trail compliance</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Blog post</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Agent A1</w:t>
            </w:r>
          </w:p>
        </w:tc>
      </w:tr>
      <w:tr>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7</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/vs/portkey/ comparison page</w:t>
            </w:r>
          </w:p>
        </w:tc>
        <w:tc>
          <w:tcPr>
            <w:tcW w:type="dxa" w:w="3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Portkey alternative compliance</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Comparison</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A2342"/>
                <w:sz w:val="16"/>
                <w:szCs w:val="16"/>
              </w:rPr>
              <w:t xml:space="preserve">Alejandro</w:t>
            </w:r>
          </w:p>
        </w:tc>
      </w:tr>
      <w:tr>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8</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Blog: The CTO's Guide to AI Agent Governance in 2026</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AI agent governance 2026</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Blog post</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Agent A1</w:t>
            </w:r>
          </w:p>
        </w:tc>
      </w:tr>
      <w:tr>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8</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/eu-ai-act/compliance-report-template/ + PDF download</w:t>
            </w:r>
          </w:p>
        </w:tc>
        <w:tc>
          <w:tcPr>
            <w:tcW w:type="dxa" w:w="3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EU AI Act compliance evidence report</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Lead magnet</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A2342"/>
                <w:sz w:val="16"/>
                <w:szCs w:val="16"/>
              </w:rPr>
              <w:t xml:space="preserve">Alejandro</w:t>
            </w:r>
          </w:p>
        </w:tc>
      </w:tr>
      <w:tr>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9</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Blog: EU AI Act vs. SOC 2 — What's Different for AI Systems</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EU AI Act SOC 2 compliance</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Blog post</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Agent A1</w:t>
            </w:r>
          </w:p>
        </w:tc>
      </w:tr>
      <w:tr>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9</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OWASP Agentic AI Top 10 remediation guide</w:t>
            </w:r>
          </w:p>
        </w:tc>
        <w:tc>
          <w:tcPr>
            <w:tcW w:type="dxa" w:w="3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OWASP agentic AI security</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Long guide</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Agent A1 + Alejandro</w:t>
            </w:r>
          </w:p>
        </w:tc>
      </w:tr>
      <w:tr>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10</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/eu-ai-act/glossary/ page</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EU AI Act glossary terms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Glossary</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A2342"/>
                <w:sz w:val="16"/>
                <w:szCs w:val="16"/>
              </w:rPr>
              <w:t xml:space="preserve">Alejandro</w:t>
            </w:r>
          </w:p>
        </w:tc>
      </w:tr>
      <w:tr>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10</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Blog: 5 AI Agent Tool Calls That Could Violate the EU AI Act</w:t>
            </w:r>
          </w:p>
        </w:tc>
        <w:tc>
          <w:tcPr>
            <w:tcW w:type="dxa" w:w="3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EU AI Act AI agent violations</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Blog post</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Agent A1</w:t>
            </w:r>
          </w:p>
        </w:tc>
      </w:tr>
      <w:tr>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11</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Blog: What 'Human-in-the-Loop' Actually Means Under EU Law</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human in the loop EU AI Act</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Blog post</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Agent A1</w:t>
            </w:r>
          </w:p>
        </w:tc>
      </w:tr>
      <w:tr>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11</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/eu-ai-act/compliance-checklist/ interactive page</w:t>
            </w:r>
          </w:p>
        </w:tc>
        <w:tc>
          <w:tcPr>
            <w:tcW w:type="dxa" w:w="3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EU AI Act compliance checklist developers</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Tool/page</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A2342"/>
                <w:sz w:val="16"/>
                <w:szCs w:val="16"/>
              </w:rPr>
              <w:t xml:space="preserve">Alejandro</w:t>
            </w:r>
          </w:p>
        </w:tc>
      </w:tr>
      <w:tr>
        <w:tc>
          <w:tcPr>
            <w:tcW w:type="dxa" w:w="9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12</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Blog: EU AI Act Enforcement Is Here — Are Your Agents Ready?</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EU AI Act enforcement August 2026</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Blog post</w:t>
            </w:r>
          </w:p>
        </w:tc>
        <w:tc>
          <w:tcPr>
            <w:tcW w:type="dxa" w:w="13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Agent A1</w:t>
            </w:r>
          </w:p>
        </w:tc>
      </w:tr>
      <w:tr>
        <w:tc>
          <w:tcPr>
            <w:tcW w:type="dxa" w:w="9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0A2342"/>
                <w:sz w:val="18"/>
                <w:szCs w:val="18"/>
              </w:rPr>
              <w:t xml:space="preserve">12</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7"/>
                <w:szCs w:val="17"/>
              </w:rPr>
              <w:t xml:space="preserve">Review + optimize top 10 pages based on Search Console data</w:t>
            </w:r>
          </w:p>
        </w:tc>
        <w:tc>
          <w:tcPr>
            <w:tcW w:type="dxa" w:w="3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E7490"/>
                <w:sz w:val="16"/>
                <w:szCs w:val="16"/>
              </w:rPr>
              <w:t xml:space="preserve">All clusters</w:t>
            </w:r>
          </w:p>
        </w:tc>
        <w:tc>
          <w:tcPr>
            <w:tcW w:type="dxa" w:w="1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val="false"/>
                <w:bCs w:val="false"/>
                <w:color w:val="000000"/>
                <w:sz w:val="16"/>
                <w:szCs w:val="16"/>
              </w:rPr>
              <w:t xml:space="preserve">Optimization</w:t>
            </w:r>
          </w:p>
        </w:tc>
        <w:tc>
          <w:tcPr>
            <w:tcW w:type="dxa" w:w="13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A2342"/>
                <w:sz w:val="16"/>
                <w:szCs w:val="16"/>
              </w:rPr>
              <w:t xml:space="preserve">Alejandro</w:t>
            </w:r>
          </w:p>
        </w:tc>
      </w:tr>
    </w:tbl>
    <w:p>
      <w:r>
        <w:br w:type="page"/>
      </w:r>
    </w:p>
    <w:p>
      <w:pPr>
        <w:pStyle w:val="Heading1"/>
        <w:spacing w:after="160" w:before="400"/>
      </w:pPr>
      <w:r>
        <w:rPr>
          <w:rFonts w:ascii="Arial" w:cs="Arial" w:eastAsia="Arial" w:hAnsi="Arial"/>
          <w:b/>
          <w:bCs/>
          <w:color w:val="0A2342"/>
          <w:sz w:val="40"/>
          <w:szCs w:val="40"/>
        </w:rPr>
        <w:t xml:space="preserve">KPIs &amp; Success Metrics</w:t>
      </w:r>
    </w:p>
    <w:p>
      <w:pPr>
        <w:pBdr>
          <w:bottom w:val="single" w:color="0E7490" w:sz="4" w:space="1"/>
        </w:pBdr>
        <w:spacing w:after="200" w:before="200"/>
      </w:pPr>
    </w:p>
    <w:p>
      <w:pPr>
        <w:spacing w:after="160"/>
      </w:pPr>
      <w:r>
        <w:rPr>
          <w:rFonts w:ascii="Arial" w:cs="Arial" w:eastAsia="Arial" w:hAnsi="Arial"/>
          <w:b w:val="false"/>
          <w:bCs w:val="false"/>
          <w:color w:val="222222"/>
          <w:sz w:val="20"/>
          <w:szCs w:val="20"/>
        </w:rPr>
        <w:t xml:space="preserve">Track these metrics monthly. The primary leading indicator is keyword rankings — organic traffic follows rankings by 4-8 weeks.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rPr>
          <w:tblHeader/>
        </w:trPr>
        <w:tc>
          <w:tcPr>
            <w:tcW w:type="dxa" w:w="24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Metric</w:t>
            </w:r>
          </w:p>
        </w:tc>
        <w:tc>
          <w:tcPr>
            <w:tcW w:type="dxa" w:w="18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Baseline (Now)</w:t>
            </w:r>
          </w:p>
        </w:tc>
        <w:tc>
          <w:tcPr>
            <w:tcW w:type="dxa" w:w="18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Month 1 Target</w:t>
            </w:r>
          </w:p>
        </w:tc>
        <w:tc>
          <w:tcPr>
            <w:tcW w:type="dxa" w:w="180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Month 3 Target</w:t>
            </w:r>
          </w:p>
        </w:tc>
        <w:tc>
          <w:tcPr>
            <w:tcW w:type="dxa" w:w="1560"/>
            <w:tcBorders>
              <w:top w:val="single" w:color="E5E7EB" w:sz="1"/>
              <w:left w:val="single" w:color="E5E7EB" w:sz="1"/>
              <w:bottom w:val="single" w:color="E5E7EB" w:sz="1"/>
              <w:right w:val="single" w:color="E5E7EB" w:sz="1"/>
            </w:tcBorders>
            <w:shd w:fill="0A2342" w:val="clear"/>
            <w:tcMar>
              <w:top w:type="dxa" w:w="100"/>
              <w:left w:type="dxa" w:w="140"/>
              <w:bottom w:type="dxa" w:w="100"/>
              <w:right w:type="dxa" w:w="140"/>
            </w:tcMar>
            <w:vAlign w:val="center"/>
          </w:tcPr>
          <w:p>
            <w:pPr>
              <w:jc w:val="left"/>
            </w:pPr>
            <w:r>
              <w:rPr>
                <w:rFonts w:ascii="Arial" w:cs="Arial" w:eastAsia="Arial" w:hAnsi="Arial"/>
                <w:b/>
                <w:bCs/>
                <w:color w:val="FFFFFF"/>
                <w:sz w:val="17"/>
                <w:szCs w:val="17"/>
              </w:rPr>
              <w:t xml:space="preserve">Month 6 Target</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EU AI Act keywords ranked (page 1)</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DC2626"/>
                <w:sz w:val="18"/>
                <w:szCs w:val="18"/>
              </w:rPr>
              <w:t xml:space="preserve">0</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D97706"/>
                <w:sz w:val="18"/>
                <w:szCs w:val="18"/>
              </w:rPr>
              <w:t xml:space="preserve">3-5</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6A34A"/>
                <w:sz w:val="18"/>
                <w:szCs w:val="18"/>
              </w:rPr>
              <w:t xml:space="preserve">10-15</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20+</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AI agent security keywords ranked (page 1)</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DC2626"/>
                <w:sz w:val="18"/>
                <w:szCs w:val="18"/>
              </w:rPr>
              <w:t xml:space="preserve">0</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D97706"/>
                <w:sz w:val="18"/>
                <w:szCs w:val="18"/>
              </w:rPr>
              <w:t xml:space="preserve">1-2</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16A34A"/>
                <w:sz w:val="18"/>
                <w:szCs w:val="18"/>
              </w:rPr>
              <w:t xml:space="preserve">5-8</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12+</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Monthly organic visitors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DC2626"/>
                <w:sz w:val="18"/>
                <w:szCs w:val="18"/>
              </w:rPr>
              <w:t xml:space="preserve">~0 (pre-launch)</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D97706"/>
                <w:sz w:val="18"/>
                <w:szCs w:val="18"/>
              </w:rPr>
              <w:t xml:space="preserve">500-1,000</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6A34A"/>
                <w:sz w:val="18"/>
                <w:szCs w:val="18"/>
              </w:rPr>
              <w:t xml:space="preserve">5,000-10,000</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25,000-50,000</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Blog posts published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DC2626"/>
                <w:sz w:val="18"/>
                <w:szCs w:val="18"/>
              </w:rPr>
              <w:t xml:space="preserve">0</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D97706"/>
                <w:sz w:val="18"/>
                <w:szCs w:val="18"/>
              </w:rPr>
              <w:t xml:space="preserve">4</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16A34A"/>
                <w:sz w:val="18"/>
                <w:szCs w:val="18"/>
              </w:rPr>
              <w:t xml:space="preserve">12</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28</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Landing/comparison pages live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DC2626"/>
                <w:sz w:val="18"/>
                <w:szCs w:val="18"/>
              </w:rPr>
              <w:t xml:space="preserve">0</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D97706"/>
                <w:sz w:val="18"/>
                <w:szCs w:val="18"/>
              </w:rPr>
              <w:t xml:space="preserve">5</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6A34A"/>
                <w:sz w:val="18"/>
                <w:szCs w:val="18"/>
              </w:rPr>
              <w:t xml:space="preserve">15</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25</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Referring domains (backlinks)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DC2626"/>
                <w:sz w:val="18"/>
                <w:szCs w:val="18"/>
              </w:rPr>
              <w:t xml:space="preserve">0</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D97706"/>
                <w:sz w:val="18"/>
                <w:szCs w:val="18"/>
              </w:rPr>
              <w:t xml:space="preserve">10</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16A34A"/>
                <w:sz w:val="18"/>
                <w:szCs w:val="18"/>
              </w:rPr>
              <w:t xml:space="preserve">30</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70+</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Search Console impressions/month</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DC2626"/>
                <w:sz w:val="18"/>
                <w:szCs w:val="18"/>
              </w:rPr>
              <w:t xml:space="preserve">~0</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D97706"/>
                <w:sz w:val="18"/>
                <w:szCs w:val="18"/>
              </w:rPr>
              <w:t xml:space="preserve">10,000+</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6A34A"/>
                <w:sz w:val="18"/>
                <w:szCs w:val="18"/>
              </w:rPr>
              <w:t xml:space="preserve">100,000+</w:t>
            </w:r>
          </w:p>
        </w:tc>
        <w:tc>
          <w:tcPr>
            <w:tcW w:type="dxa" w:w="1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500,000+</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left"/>
            </w:pPr>
            <w:r>
              <w:rPr>
                <w:rFonts w:ascii="Arial" w:cs="Arial" w:eastAsia="Arial" w:hAnsi="Arial"/>
                <w:b/>
                <w:bCs/>
                <w:color w:val="000000"/>
                <w:sz w:val="18"/>
                <w:szCs w:val="18"/>
              </w:rPr>
              <w:t xml:space="preserve">Organic leads/signups per month</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DC2626"/>
                <w:sz w:val="18"/>
                <w:szCs w:val="18"/>
              </w:rPr>
              <w:t xml:space="preserve">0</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D97706"/>
                <w:sz w:val="18"/>
                <w:szCs w:val="18"/>
              </w:rPr>
              <w:t xml:space="preserve">5-10</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val="false"/>
                <w:bCs w:val="false"/>
                <w:color w:val="16A34A"/>
                <w:sz w:val="18"/>
                <w:szCs w:val="18"/>
              </w:rPr>
              <w:t xml:space="preserve">30-50</w:t>
            </w:r>
          </w:p>
        </w:tc>
        <w:tc>
          <w:tcPr>
            <w:tcW w:type="dxa" w:w="1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vAlign w:val="center"/>
          </w:tcPr>
          <w:p>
            <w:pPr>
              <w:jc w:val="center"/>
            </w:pPr>
            <w:r>
              <w:rPr>
                <w:rFonts w:ascii="Arial" w:cs="Arial" w:eastAsia="Arial" w:hAnsi="Arial"/>
                <w:b/>
                <w:bCs/>
                <w:color w:val="16A34A"/>
                <w:sz w:val="18"/>
                <w:szCs w:val="18"/>
              </w:rPr>
              <w:t xml:space="preserve">100-200</w:t>
            </w:r>
          </w:p>
        </w:tc>
      </w:tr>
    </w:tbl>
    <w:p>
      <w:pPr>
        <w:spacing w:after="120"/>
      </w:pPr>
    </w:p>
    <w:p>
      <w:pPr>
        <w:pStyle w:val="Heading2"/>
        <w:spacing w:after="160" w:before="280"/>
      </w:pPr>
      <w:r>
        <w:rPr>
          <w:rFonts w:ascii="Arial" w:cs="Arial" w:eastAsia="Arial" w:hAnsi="Arial"/>
          <w:b/>
          <w:bCs/>
          <w:color w:val="1B4F8A"/>
          <w:sz w:val="28"/>
          <w:szCs w:val="28"/>
        </w:rPr>
        <w:t xml:space="preserve">Monitoring Tools</w:t>
      </w:r>
    </w:p>
    <w:p>
      <w:pPr>
        <w:pStyle w:val="ListParagraph"/>
        <w:numPr>
          <w:ilvl w:val="0"/>
          <w:numId w:val="2"/>
        </w:numPr>
        <w:spacing w:after="80"/>
      </w:pPr>
      <w:r>
        <w:rPr>
          <w:rFonts w:ascii="Arial" w:cs="Arial" w:eastAsia="Arial" w:hAnsi="Arial"/>
          <w:color w:val="222222"/>
          <w:sz w:val="19"/>
          <w:szCs w:val="19"/>
        </w:rPr>
        <w:t xml:space="preserve">Google Search Console — free, tracks impressions, clicks, and ranking positions. Set up immediately.</w:t>
      </w:r>
    </w:p>
    <w:p>
      <w:pPr>
        <w:pStyle w:val="ListParagraph"/>
        <w:numPr>
          <w:ilvl w:val="0"/>
          <w:numId w:val="2"/>
        </w:numPr>
        <w:spacing w:after="80"/>
      </w:pPr>
      <w:r>
        <w:rPr>
          <w:rFonts w:ascii="Arial" w:cs="Arial" w:eastAsia="Arial" w:hAnsi="Arial"/>
          <w:color w:val="222222"/>
          <w:sz w:val="19"/>
          <w:szCs w:val="19"/>
        </w:rPr>
        <w:t xml:space="preserve">Google Analytics 4 — free, track organic traffic by page and conversions from organic.</w:t>
      </w:r>
    </w:p>
    <w:p>
      <w:pPr>
        <w:pStyle w:val="ListParagraph"/>
        <w:numPr>
          <w:ilvl w:val="0"/>
          <w:numId w:val="2"/>
        </w:numPr>
        <w:spacing w:after="80"/>
      </w:pPr>
      <w:r>
        <w:rPr>
          <w:rFonts w:ascii="Arial" w:cs="Arial" w:eastAsia="Arial" w:hAnsi="Arial"/>
          <w:color w:val="222222"/>
          <w:sz w:val="19"/>
          <w:szCs w:val="19"/>
        </w:rPr>
        <w:t xml:space="preserve">Ahrefs or Semrush — paid ($99-$119/mo). Best for monitoring competitor moves and keyword ranking history. Worth it at month 2 once content is live.</w:t>
      </w:r>
    </w:p>
    <w:p>
      <w:pPr>
        <w:pStyle w:val="ListParagraph"/>
        <w:numPr>
          <w:ilvl w:val="0"/>
          <w:numId w:val="2"/>
        </w:numPr>
        <w:spacing w:after="80"/>
      </w:pPr>
      <w:r>
        <w:rPr>
          <w:rFonts w:ascii="Arial" w:cs="Arial" w:eastAsia="Arial" w:hAnsi="Arial"/>
          <w:color w:val="222222"/>
          <w:sz w:val="19"/>
          <w:szCs w:val="19"/>
        </w:rPr>
        <w:t xml:space="preserve">Agent A3 (SEO Monitor) — automated weekly brief via the scheduled task already set up. Covers keyword trends, content gaps, and competitor moves.</w:t>
      </w:r>
    </w:p>
    <w:p>
      <w:pPr>
        <w:spacing w:after="120"/>
      </w:pPr>
    </w:p>
    <w:p>
      <w:pPr>
        <w:pBdr>
          <w:bottom w:val="single" w:color="0E7490" w:sz="4" w:space="1"/>
        </w:pBdr>
        <w:spacing w:after="200" w:before="200"/>
      </w:pPr>
    </w:p>
    <w:p>
      <w:pPr>
        <w:spacing w:after="160" w:before="240"/>
        <w:jc w:val="center"/>
      </w:pPr>
      <w:r>
        <w:rPr>
          <w:rFonts w:ascii="Arial" w:cs="Arial" w:eastAsia="Arial" w:hAnsi="Arial"/>
          <w:color w:val="4B5563"/>
          <w:sz w:val="18"/>
          <w:szCs w:val="18"/>
        </w:rPr>
        <w:t xml:space="preserve">Supra-wall  |  suprawall.ai  |  Enterprise SEO Expansion Plan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spacing w:before="80"/>
      <w:jc w:val="center"/>
    </w:pPr>
    <w:r>
      <w:rPr>
        <w:rFonts w:ascii="Arial" w:cs="Arial" w:eastAsia="Arial" w:hAnsi="Arial"/>
        <w:color w:val="4B5563"/>
        <w:sz w:val="16"/>
        <w:szCs w:val="16"/>
      </w:rPr>
      <w:t xml:space="preserve">Confidential — Supra-wall.ai   |   Page </w:t>
    </w:r>
    <w:r>
      <w:rPr>
        <w:rFonts w:ascii="Arial" w:cs="Arial" w:eastAsia="Arial" w:hAnsi="Arial"/>
        <w:color w:val="4B5563"/>
        <w:sz w:val="16"/>
        <w:szCs w:val="16"/>
      </w:rPr>
      <w:fldChar w:fldCharType="begin"/>
      <w:instrText xml:space="preserve">PAGE</w:instrText>
      <w:fldChar w:fldCharType="separate"/>
      <w:fldChar w:fldCharType="end"/>
    </w:r>
    <w:r>
      <w:rPr>
        <w:rFonts w:ascii="Arial" w:cs="Arial" w:eastAsia="Arial" w:hAnsi="Arial"/>
        <w:color w:val="4B5563"/>
        <w:sz w:val="16"/>
        <w:szCs w:val="16"/>
      </w:rPr>
      <w:t xml:space="preserve"> of </w:t>
    </w:r>
    <w:r>
      <w:rPr>
        <w:rFonts w:ascii="Arial" w:cs="Arial" w:eastAsia="Arial" w:hAnsi="Arial"/>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490" w:sz="4" w:space="1"/>
      </w:pBdr>
      <w:spacing w:after="120"/>
      <w:jc w:val="right"/>
    </w:pPr>
    <w:r>
      <w:rPr>
        <w:rFonts w:ascii="Arial" w:cs="Arial" w:eastAsia="Arial" w:hAnsi="Arial"/>
        <w:color w:val="4B5563"/>
        <w:sz w:val="17"/>
        <w:szCs w:val="17"/>
      </w:rPr>
      <w:t xml:space="preserve">Supra-wall | Enterprise SEO Expansion Plan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2342"/>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1B4F8A"/>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2026-03-12T09:58:59.122Z</dcterms:created>
  <dcterms:modified xsi:type="dcterms:W3CDTF">2026-03-12T09:58:59.127Z</dcterms:modified>
</cp:coreProperties>
</file>

<file path=docProps/custom.xml><?xml version="1.0" encoding="utf-8"?>
<Properties xmlns="http://schemas.openxmlformats.org/officeDocument/2006/custom-properties" xmlns:vt="http://schemas.openxmlformats.org/officeDocument/2006/docPropsVTypes"/>
</file>