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0D9F6E"/>
          <w:sz w:val="56"/>
          <w:szCs w:val="56"/>
        </w:rPr>
        <w:t xml:space="preserve">SUPRAWALL</w:t>
      </w:r>
    </w:p>
    <w:p>
      <w:pPr>
        <w:spacing w:after="200"/>
        <w:jc w:val="center"/>
      </w:pPr>
      <w:r>
        <w:rPr>
          <w:rFonts w:ascii="Arial" w:cs="Arial" w:eastAsia="Arial" w:hAnsi="Arial"/>
          <w:b/>
          <w:bCs/>
          <w:sz w:val="32"/>
          <w:szCs w:val="32"/>
        </w:rPr>
        <w:t xml:space="preserve">SEO / GEO BASELINE EVALUATION</w:t>
      </w:r>
    </w:p>
    <w:p>
      <w:pPr>
        <w:spacing w:after="100"/>
        <w:jc w:val="center"/>
      </w:pPr>
      <w:r>
        <w:rPr>
          <w:rFonts w:ascii="Arial" w:cs="Arial" w:eastAsia="Arial" w:hAnsi="Arial"/>
          <w:color w:val="666666"/>
          <w:sz w:val="24"/>
          <w:szCs w:val="24"/>
        </w:rPr>
        <w:t xml:space="preserve">Post-Audit Implementation Assessment &amp; 6-Month Roadmap to 1M/month</w:t>
      </w:r>
    </w:p>
    <w:p>
      <w:pPr>
        <w:spacing w:after="100"/>
        <w:jc w:val="center"/>
      </w:pPr>
      <w:r>
        <w:rPr>
          <w:rFonts w:ascii="Arial" w:cs="Arial" w:eastAsia="Arial" w:hAnsi="Arial"/>
          <w:color w:val="0D9F6E"/>
          <w:sz w:val="22"/>
          <w:szCs w:val="22"/>
        </w:rPr>
        <w:t xml:space="preserve">supra-wall.com</w:t>
      </w:r>
    </w:p>
    <w:p>
      <w:pPr>
        <w:spacing w:after="600"/>
        <w:jc w:val="center"/>
      </w:pPr>
      <w:r>
        <w:rPr>
          <w:rFonts w:ascii="Arial" w:cs="Arial" w:eastAsia="Arial" w:hAnsi="Arial"/>
          <w:color w:val="666666"/>
          <w:sz w:val="22"/>
          <w:szCs w:val="22"/>
        </w:rPr>
        <w:t xml:space="preserve">March 20, 2026</w:t>
      </w:r>
    </w:p>
    <w:p>
      <w:pPr>
        <w:jc w:val="center"/>
      </w:pPr>
      <w:r>
        <w:rPr>
          <w:rFonts w:ascii="Arial" w:cs="Arial" w:eastAsia="Arial" w:hAnsi="Arial"/>
          <w:sz w:val="22"/>
          <w:szCs w:val="22"/>
        </w:rPr>
        <w:t xml:space="preserve">Prepared for: Wiser Automation Agency</w:t>
      </w:r>
    </w:p>
    <w:p>
      <w:r>
        <w:br w:type="page"/>
      </w:r>
    </w:p>
    <w:p>
      <w:pPr>
        <w:pStyle w:val="Heading1"/>
        <w:spacing w:after="150" w:before="300"/>
      </w:pPr>
      <w:r>
        <w:rPr>
          <w:rFonts w:ascii="Arial" w:cs="Arial" w:eastAsia="Arial" w:hAnsi="Arial"/>
          <w:b/>
          <w:bCs/>
        </w:rPr>
        <w:t xml:space="preserve">1. EXECUTIVE SUMMARY</w:t>
      </w:r>
    </w:p>
    <w:p>
      <w:pPr>
        <w:spacing w:after="120"/>
      </w:pPr>
      <w:r>
        <w:rPr>
          <w:rFonts w:ascii="Arial" w:cs="Arial" w:eastAsia="Arial" w:hAnsi="Arial"/>
          <w:sz w:val="22"/>
          <w:szCs w:val="22"/>
        </w:rPr>
        <w:t xml:space="preserve">This report evaluates the current SEO/GEO state of supra-wall.com following the implementation of recommendations from the March 19, 2026 comprehensive audit. The site has undergone significant transformation in just one day, moving from a near-invisible web presence to a technically sound SEO foundation with 91 page components deployed. However, Google indexation remains critically low and competitive positioning requires aggressive content and link-building execution over the next 6 months.</w:t>
      </w:r>
    </w:p>
    <w:p>
      <w:pPr>
        <w:pBdr>
          <w:bottom w:val="single" w:color="0D9F6E" w:sz="4"/>
        </w:pBdr>
        <w:spacing w:after="200" w:before="200"/>
      </w:pPr>
    </w:p>
    <w:p>
      <w:pPr>
        <w:pStyle w:val="Heading2"/>
        <w:spacing w:after="150" w:before="300"/>
      </w:pPr>
      <w:r>
        <w:rPr>
          <w:rFonts w:ascii="Arial" w:cs="Arial" w:eastAsia="Arial" w:hAnsi="Arial"/>
          <w:b/>
          <w:bCs/>
        </w:rPr>
        <w:t xml:space="preserve">1.1 Current Baseline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600"/>
        <w:gridCol w:w="1360"/>
      </w:tblGrid>
      <w:tr>
        <w:tc>
          <w:tcPr>
            <w:tcW w:type="dxa" w:w="3200"/>
            <w:tcBorders>
              <w:top w:val="single" w:color="CCCCCC" w:sz="1"/>
              <w:left w:val="single" w:color="CCCCCC" w:sz="1"/>
              <w:bottom w:val="single" w:color="CCCCCC" w:sz="1"/>
              <w:right w:val="single" w:color="CCCCCC" w:sz="1"/>
            </w:tcBorders>
            <w:shd w:fill="0D9F6E"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2200"/>
            <w:tcBorders>
              <w:top w:val="single" w:color="CCCCCC" w:sz="1"/>
              <w:left w:val="single" w:color="CCCCCC" w:sz="1"/>
              <w:bottom w:val="single" w:color="CCCCCC" w:sz="1"/>
              <w:right w:val="single" w:color="CCCCCC" w:sz="1"/>
            </w:tcBorders>
            <w:shd w:fill="0D9F6E" w:val="clear"/>
            <w:tcMar>
              <w:top w:type="dxa" w:w="60"/>
              <w:left w:type="dxa" w:w="100"/>
              <w:bottom w:type="dxa" w:w="60"/>
              <w:right w:type="dxa" w:w="100"/>
            </w:tcMar>
          </w:tcPr>
          <w:p>
            <w:r>
              <w:rPr>
                <w:rFonts w:ascii="Arial" w:cs="Arial" w:eastAsia="Arial" w:hAnsi="Arial"/>
                <w:b/>
                <w:bCs/>
                <w:color w:val="FFFFFF"/>
                <w:sz w:val="20"/>
                <w:szCs w:val="20"/>
              </w:rPr>
              <w:t xml:space="preserve">Audit Finding (Mar 19)</w:t>
            </w:r>
          </w:p>
        </w:tc>
        <w:tc>
          <w:tcPr>
            <w:tcW w:type="dxa" w:w="2600"/>
            <w:tcBorders>
              <w:top w:val="single" w:color="CCCCCC" w:sz="1"/>
              <w:left w:val="single" w:color="CCCCCC" w:sz="1"/>
              <w:bottom w:val="single" w:color="CCCCCC" w:sz="1"/>
              <w:right w:val="single" w:color="CCCCCC" w:sz="1"/>
            </w:tcBorders>
            <w:shd w:fill="0D9F6E" w:val="clear"/>
            <w:tcMar>
              <w:top w:type="dxa" w:w="60"/>
              <w:left w:type="dxa" w:w="100"/>
              <w:bottom w:type="dxa" w:w="60"/>
              <w:right w:type="dxa" w:w="100"/>
            </w:tcMar>
          </w:tcPr>
          <w:p>
            <w:r>
              <w:rPr>
                <w:rFonts w:ascii="Arial" w:cs="Arial" w:eastAsia="Arial" w:hAnsi="Arial"/>
                <w:b/>
                <w:bCs/>
                <w:color w:val="FFFFFF"/>
                <w:sz w:val="20"/>
                <w:szCs w:val="20"/>
              </w:rPr>
              <w:t xml:space="preserve">Current State (Mar 20)</w:t>
            </w:r>
          </w:p>
        </w:tc>
        <w:tc>
          <w:tcPr>
            <w:tcW w:type="dxa" w:w="1360"/>
            <w:tcBorders>
              <w:top w:val="single" w:color="CCCCCC" w:sz="1"/>
              <w:left w:val="single" w:color="CCCCCC" w:sz="1"/>
              <w:bottom w:val="single" w:color="CCCCCC" w:sz="1"/>
              <w:right w:val="single" w:color="CCCCCC" w:sz="1"/>
            </w:tcBorders>
            <w:shd w:fill="0D9F6E"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Google Indexed Pages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page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 pages (homepage + 3 integrations)</w:t>
            </w:r>
          </w:p>
        </w:tc>
        <w:tc>
          <w:tcPr>
            <w:tcW w:type="dxa" w:w="13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jc w:val="center"/>
            </w:pPr>
            <w:r>
              <w:rPr>
                <w:rFonts w:ascii="Arial" w:cs="Arial" w:eastAsia="Arial" w:hAnsi="Arial"/>
                <w:b/>
                <w:bCs/>
                <w:sz w:val="20"/>
                <w:szCs w:val="20"/>
              </w:rPr>
              <w:t xml:space="preserve">In Progress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 Pages Deployed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pages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91 page components (97 files)</w:t>
            </w:r>
          </w:p>
        </w:tc>
        <w:tc>
          <w:tcPr>
            <w:tcW w:type="dxa" w:w="13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sz w:val="20"/>
                <w:szCs w:val="20"/>
              </w:rPr>
              <w:t xml:space="preserve">Done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Learn/Security Hub</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article (340 words)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22 articles (avg ~600 lines each)</w:t>
            </w:r>
          </w:p>
        </w:tc>
        <w:tc>
          <w:tcPr>
            <w:tcW w:type="dxa" w:w="13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sz w:val="20"/>
                <w:szCs w:val="20"/>
              </w:rPr>
              <w:t xml:space="preserve">Done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Blog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Non-existent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articles deployed</w:t>
            </w:r>
          </w:p>
        </w:tc>
        <w:tc>
          <w:tcPr>
            <w:tcW w:type="dxa" w:w="13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sz w:val="20"/>
                <w:szCs w:val="20"/>
              </w:rPr>
              <w:t xml:space="preserve">Done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Comparison Pages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 competitor comparison pages</w:t>
            </w:r>
          </w:p>
        </w:tc>
        <w:tc>
          <w:tcPr>
            <w:tcW w:type="dxa" w:w="13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sz w:val="20"/>
                <w:szCs w:val="20"/>
              </w:rPr>
              <w:t xml:space="preserve">Done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Integration Guides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 pages (unknown content)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 integration pages</w:t>
            </w:r>
          </w:p>
        </w:tc>
        <w:tc>
          <w:tcPr>
            <w:tcW w:type="dxa" w:w="13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sz w:val="20"/>
                <w:szCs w:val="20"/>
              </w:rPr>
              <w:t xml:space="preserve">Done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Canonical Tags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Missing on ALL pages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Implemented on all pages via Next.js metadata</w:t>
            </w:r>
          </w:p>
        </w:tc>
        <w:tc>
          <w:tcPr>
            <w:tcW w:type="dxa" w:w="13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sz w:val="20"/>
                <w:szCs w:val="20"/>
              </w:rPr>
              <w:t xml:space="preserve">FIXED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XML Sitemap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Missing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Dynamic auto-generated sitemap.ts</w:t>
            </w:r>
          </w:p>
        </w:tc>
        <w:tc>
          <w:tcPr>
            <w:tcW w:type="dxa" w:w="13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sz w:val="20"/>
                <w:szCs w:val="20"/>
              </w:rPr>
              <w:t xml:space="preserve">FIXED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Robots.txt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Could not verify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Configured: allows public, blocks admin/api/dashboard</w:t>
            </w:r>
          </w:p>
        </w:tc>
        <w:tc>
          <w:tcPr>
            <w:tcW w:type="dxa" w:w="13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sz w:val="20"/>
                <w:szCs w:val="20"/>
              </w:rPr>
              <w:t xml:space="preserve">FIXED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Schema.org Domain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References suprawall.ai (WRONG)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References supra-wall.com (verify needed)</w:t>
            </w:r>
          </w:p>
        </w:tc>
        <w:tc>
          <w:tcPr>
            <w:tcW w:type="dxa" w:w="13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sz w:val="20"/>
                <w:szCs w:val="20"/>
              </w:rPr>
              <w:t xml:space="preserve">FIXED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Structured Data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Partial (broken)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Organization + FAQ + TechArticle + WebApplication + SoftwareApplication</w:t>
            </w:r>
          </w:p>
        </w:tc>
        <w:tc>
          <w:tcPr>
            <w:tcW w:type="dxa" w:w="13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sz w:val="20"/>
                <w:szCs w:val="20"/>
              </w:rPr>
              <w:t xml:space="preserve">FIXED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Vercel Staging Indexed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CRITICAL duplicate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noindex headers on preview deployments</w:t>
            </w:r>
          </w:p>
        </w:tc>
        <w:tc>
          <w:tcPr>
            <w:tcW w:type="dxa" w:w="13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sz w:val="20"/>
                <w:szCs w:val="20"/>
              </w:rPr>
              <w:t xml:space="preserve">FIXED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Vercel Staging in SERPs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Indexed by Google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STILL APPEARING in Google results</w:t>
            </w:r>
          </w:p>
        </w:tc>
        <w:tc>
          <w:tcPr>
            <w:tcW w:type="dxa" w:w="13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jc w:val="center"/>
            </w:pPr>
            <w:r>
              <w:rPr>
                <w:rFonts w:ascii="Arial" w:cs="Arial" w:eastAsia="Arial" w:hAnsi="Arial"/>
                <w:b/>
                <w:bCs/>
                <w:sz w:val="20"/>
                <w:szCs w:val="20"/>
              </w:rPr>
              <w:t xml:space="preserve">WARNING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LLMs.txt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mentioned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Comprehensive llms.txt deployed</w:t>
            </w:r>
          </w:p>
        </w:tc>
        <w:tc>
          <w:tcPr>
            <w:tcW w:type="dxa" w:w="13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sz w:val="20"/>
                <w:szCs w:val="20"/>
              </w:rPr>
              <w:t xml:space="preserve">Done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GEO / AI Citations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Zero citations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Zero citations (unchanged)</w:t>
            </w:r>
          </w:p>
        </w:tc>
        <w:tc>
          <w:tcPr>
            <w:tcW w:type="dxa" w:w="13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pPr>
              <w:jc w:val="center"/>
            </w:pPr>
            <w:r>
              <w:rPr>
                <w:rFonts w:ascii="Arial" w:cs="Arial" w:eastAsia="Arial" w:hAnsi="Arial"/>
                <w:b/>
                <w:bCs/>
                <w:sz w:val="20"/>
                <w:szCs w:val="20"/>
              </w:rPr>
              <w:t xml:space="preserve">Critical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Backlink Profile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Near zero</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Near zero (unchanged)</w:t>
            </w:r>
          </w:p>
        </w:tc>
        <w:tc>
          <w:tcPr>
            <w:tcW w:type="dxa" w:w="13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pPr>
              <w:jc w:val="center"/>
            </w:pPr>
            <w:r>
              <w:rPr>
                <w:rFonts w:ascii="Arial" w:cs="Arial" w:eastAsia="Arial" w:hAnsi="Arial"/>
                <w:b/>
                <w:bCs/>
                <w:sz w:val="20"/>
                <w:szCs w:val="20"/>
              </w:rPr>
              <w:t xml:space="preserve">Critical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Internal Linking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 links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Improved but no centralized link graph</w:t>
            </w:r>
          </w:p>
        </w:tc>
        <w:tc>
          <w:tcPr>
            <w:tcW w:type="dxa" w:w="13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jc w:val="center"/>
            </w:pPr>
            <w:r>
              <w:rPr>
                <w:rFonts w:ascii="Arial" w:cs="Arial" w:eastAsia="Arial" w:hAnsi="Arial"/>
                <w:b/>
                <w:bCs/>
                <w:sz w:val="20"/>
                <w:szCs w:val="20"/>
              </w:rPr>
              <w:t xml:space="preserve">Partial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Google Search Console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Unknown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Needs verification</w:t>
            </w:r>
          </w:p>
        </w:tc>
        <w:tc>
          <w:tcPr>
            <w:tcW w:type="dxa" w:w="13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jc w:val="center"/>
            </w:pPr>
            <w:r>
              <w:rPr>
                <w:rFonts w:ascii="Arial" w:cs="Arial" w:eastAsia="Arial" w:hAnsi="Arial"/>
                <w:b/>
                <w:bCs/>
                <w:sz w:val="20"/>
                <w:szCs w:val="20"/>
              </w:rPr>
              <w:t xml:space="preserve">WARNING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Monthly Organic Traffic</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 (too early for impact)</w:t>
            </w:r>
          </w:p>
        </w:tc>
        <w:tc>
          <w:tcPr>
            <w:tcW w:type="dxa" w:w="13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pPr>
              <w:jc w:val="center"/>
            </w:pPr>
            <w:r>
              <w:rPr>
                <w:rFonts w:ascii="Arial" w:cs="Arial" w:eastAsia="Arial" w:hAnsi="Arial"/>
                <w:b/>
                <w:bCs/>
                <w:sz w:val="20"/>
                <w:szCs w:val="20"/>
              </w:rPr>
              <w:t xml:space="preserve">Not started</w:t>
            </w:r>
          </w:p>
        </w:tc>
      </w:tr>
    </w:tbl>
    <w:p>
      <w:r>
        <w:br w:type="page"/>
      </w:r>
    </w:p>
    <w:p>
      <w:pPr>
        <w:pStyle w:val="Heading1"/>
        <w:spacing w:after="150" w:before="300"/>
      </w:pPr>
      <w:r>
        <w:rPr>
          <w:rFonts w:ascii="Arial" w:cs="Arial" w:eastAsia="Arial" w:hAnsi="Arial"/>
          <w:b/>
          <w:bCs/>
        </w:rPr>
        <w:t xml:space="preserve">2. AUDIT RECOMMENDATIONS: IMPLEMENTATION STATUS</w:t>
      </w:r>
    </w:p>
    <w:p>
      <w:pPr>
        <w:spacing w:after="120"/>
      </w:pPr>
      <w:r>
        <w:rPr>
          <w:rFonts w:ascii="Arial" w:cs="Arial" w:eastAsia="Arial" w:hAnsi="Arial"/>
          <w:sz w:val="22"/>
          <w:szCs w:val="22"/>
        </w:rPr>
        <w:t xml:space="preserve">The following quick-win recommendations from the March 19 audit have been implemented within 24 hours:</w:t>
      </w:r>
    </w:p>
    <w:p>
      <w:pPr>
        <w:pStyle w:val="Heading2"/>
        <w:spacing w:after="150" w:before="300"/>
      </w:pPr>
      <w:r>
        <w:rPr>
          <w:rFonts w:ascii="Arial" w:cs="Arial" w:eastAsia="Arial" w:hAnsi="Arial"/>
          <w:b/>
          <w:bCs/>
        </w:rPr>
        <w:t xml:space="preserve">2.1 Technical SEO Fixes (All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860"/>
      </w:tblGrid>
      <w:tr>
        <w:tc>
          <w:tcPr>
            <w:tcW w:type="dxa" w:w="3000"/>
            <w:tcBorders>
              <w:top w:val="single" w:color="CCCCCC" w:sz="1"/>
              <w:left w:val="single" w:color="CCCCCC" w:sz="1"/>
              <w:bottom w:val="single" w:color="CCCCCC" w:sz="1"/>
              <w:right w:val="single" w:color="CCCCCC" w:sz="1"/>
            </w:tcBorders>
            <w:shd w:fill="0D9F6E" w:val="clear"/>
            <w:tcMar>
              <w:top w:type="dxa" w:w="60"/>
              <w:left w:type="dxa" w:w="100"/>
              <w:bottom w:type="dxa" w:w="60"/>
              <w:right w:type="dxa" w:w="100"/>
            </w:tcMar>
          </w:tcPr>
          <w:p>
            <w:r>
              <w:rPr>
                <w:rFonts w:ascii="Arial" w:cs="Arial" w:eastAsia="Arial" w:hAnsi="Arial"/>
                <w:b/>
                <w:bCs/>
                <w:color w:val="FFFFFF"/>
                <w:sz w:val="20"/>
                <w:szCs w:val="20"/>
              </w:rPr>
              <w:t xml:space="preserve">Quick Win</w:t>
            </w:r>
          </w:p>
        </w:tc>
        <w:tc>
          <w:tcPr>
            <w:tcW w:type="dxa" w:w="4500"/>
            <w:tcBorders>
              <w:top w:val="single" w:color="CCCCCC" w:sz="1"/>
              <w:left w:val="single" w:color="CCCCCC" w:sz="1"/>
              <w:bottom w:val="single" w:color="CCCCCC" w:sz="1"/>
              <w:right w:val="single" w:color="CCCCCC" w:sz="1"/>
            </w:tcBorders>
            <w:shd w:fill="0D9F6E" w:val="clear"/>
            <w:tcMar>
              <w:top w:type="dxa" w:w="60"/>
              <w:left w:type="dxa" w:w="100"/>
              <w:bottom w:type="dxa" w:w="60"/>
              <w:right w:type="dxa" w:w="100"/>
            </w:tcMar>
          </w:tcPr>
          <w:p>
            <w:r>
              <w:rPr>
                <w:rFonts w:ascii="Arial" w:cs="Arial" w:eastAsia="Arial" w:hAnsi="Arial"/>
                <w:b/>
                <w:bCs/>
                <w:color w:val="FFFFFF"/>
                <w:sz w:val="20"/>
                <w:szCs w:val="20"/>
              </w:rPr>
              <w:t xml:space="preserve">Implementation Detail</w:t>
            </w:r>
          </w:p>
        </w:tc>
        <w:tc>
          <w:tcPr>
            <w:tcW w:type="dxa" w:w="1860"/>
            <w:tcBorders>
              <w:top w:val="single" w:color="CCCCCC" w:sz="1"/>
              <w:left w:val="single" w:color="CCCCCC" w:sz="1"/>
              <w:bottom w:val="single" w:color="CCCCCC" w:sz="1"/>
              <w:right w:val="single" w:color="CCCCCC" w:sz="1"/>
            </w:tcBorders>
            <w:shd w:fill="0D9F6E"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Canonical tags on all pages</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Next.js metadata alternates.canonical set on every page.tsx</w:t>
            </w:r>
          </w:p>
        </w:tc>
        <w:tc>
          <w:tcPr>
            <w:tcW w:type="dxa" w:w="18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sz w:val="20"/>
                <w:szCs w:val="20"/>
              </w:rPr>
              <w:t xml:space="preserve">FIXED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Schema.org URL fix</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Organization schema in layout.tsx references supra-wall.com</w:t>
            </w:r>
          </w:p>
        </w:tc>
        <w:tc>
          <w:tcPr>
            <w:tcW w:type="dxa" w:w="18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sz w:val="20"/>
                <w:szCs w:val="20"/>
              </w:rPr>
              <w:t xml:space="preserve">FIXED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XML sitemap generation</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Dynamic sitemap.ts auto-discovers all routes with priority logic</w:t>
            </w:r>
          </w:p>
        </w:tc>
        <w:tc>
          <w:tcPr>
            <w:tcW w:type="dxa" w:w="18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sz w:val="20"/>
                <w:szCs w:val="20"/>
              </w:rPr>
              <w:t xml:space="preserve">FIXED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Vercel staging noindex</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next.config.ts applies X-Robots-Tag: noindex to all *.vercel.app domains</w:t>
            </w:r>
          </w:p>
        </w:tc>
        <w:tc>
          <w:tcPr>
            <w:tcW w:type="dxa" w:w="18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sz w:val="20"/>
                <w:szCs w:val="20"/>
              </w:rPr>
              <w:t xml:space="preserve">FIXED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Robots.txt creation</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Static robots.txt in public/ with proper allow/disallow rules</w:t>
            </w:r>
          </w:p>
        </w:tc>
        <w:tc>
          <w:tcPr>
            <w:tcW w:type="dxa" w:w="18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sz w:val="20"/>
                <w:szCs w:val="20"/>
              </w:rPr>
              <w:t xml:space="preserve">FIXED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FAQPage schema on homepage</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JSON-LD FAQPage with 2 Q&amp;A pairs embedded</w:t>
            </w:r>
          </w:p>
        </w:tc>
        <w:tc>
          <w:tcPr>
            <w:tcW w:type="dxa" w:w="18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sz w:val="20"/>
                <w:szCs w:val="20"/>
              </w:rPr>
              <w:t xml:space="preserve">FIXED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Google Analytics</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GA ID G-5LXMT6RZQS configured globally</w:t>
            </w:r>
          </w:p>
        </w:tc>
        <w:tc>
          <w:tcPr>
            <w:tcW w:type="dxa" w:w="18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sz w:val="20"/>
                <w:szCs w:val="20"/>
              </w:rPr>
              <w:t xml:space="preserve">FIXED</w:t>
            </w:r>
          </w:p>
        </w:tc>
      </w:tr>
    </w:tbl>
    <w:p>
      <w:pPr>
        <w:pStyle w:val="Heading2"/>
        <w:spacing w:after="150" w:before="300"/>
      </w:pPr>
      <w:r>
        <w:rPr>
          <w:rFonts w:ascii="Arial" w:cs="Arial" w:eastAsia="Arial" w:hAnsi="Arial"/>
          <w:b/>
          <w:bCs/>
        </w:rPr>
        <w:t xml:space="preserve">2.2 Content Engine (Massively Deployed)</w:t>
      </w:r>
    </w:p>
    <w:p>
      <w:pPr>
        <w:spacing w:after="120"/>
      </w:pPr>
      <w:r>
        <w:rPr>
          <w:rFonts w:ascii="Arial" w:cs="Arial" w:eastAsia="Arial" w:hAnsi="Arial"/>
          <w:sz w:val="22"/>
          <w:szCs w:val="22"/>
        </w:rPr>
        <w:t xml:space="preserve">The content deployment has dramatically exceeded the original audit recommendations. Instead of the suggested 3-4 articles per month, the team deployed 22 learn articles, 5 blog posts, 6 comparison pages, 9 integration guides, and multiple feature/use-case pages in a single sprint.</w:t>
      </w:r>
    </w:p>
    <w:p>
      <w:pPr>
        <w:pStyle w:val="Heading2"/>
        <w:spacing w:after="150" w:before="300"/>
      </w:pPr>
      <w:r>
        <w:rPr>
          <w:rFonts w:ascii="Arial" w:cs="Arial" w:eastAsia="Arial" w:hAnsi="Arial"/>
          <w:b/>
          <w:bCs/>
        </w:rPr>
        <w:t xml:space="preserve">2.3 What Remains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560"/>
        <w:gridCol w:w="2800"/>
      </w:tblGrid>
      <w:tr>
        <w:tc>
          <w:tcPr>
            <w:tcW w:type="dxa" w:w="2800"/>
            <w:tcBorders>
              <w:top w:val="single" w:color="CCCCCC" w:sz="1"/>
              <w:left w:val="single" w:color="CCCCCC" w:sz="1"/>
              <w:bottom w:val="single" w:color="CCCCCC" w:sz="1"/>
              <w:right w:val="single" w:color="CCCCCC" w:sz="1"/>
            </w:tcBorders>
            <w:shd w:fill="0D9F6E" w:val="clear"/>
            <w:tcMar>
              <w:top w:type="dxa" w:w="60"/>
              <w:left w:type="dxa" w:w="100"/>
              <w:bottom w:type="dxa" w:w="60"/>
              <w:right w:type="dxa" w:w="100"/>
            </w:tcMar>
          </w:tcPr>
          <w:p>
            <w:r>
              <w:rPr>
                <w:rFonts w:ascii="Arial" w:cs="Arial" w:eastAsia="Arial" w:hAnsi="Arial"/>
                <w:b/>
                <w:bCs/>
                <w:color w:val="FFFFFF"/>
                <w:sz w:val="20"/>
                <w:szCs w:val="20"/>
              </w:rPr>
              <w:t xml:space="preserve">Remaining Gap</w:t>
            </w:r>
          </w:p>
        </w:tc>
        <w:tc>
          <w:tcPr>
            <w:tcW w:type="dxa" w:w="1200"/>
            <w:tcBorders>
              <w:top w:val="single" w:color="CCCCCC" w:sz="1"/>
              <w:left w:val="single" w:color="CCCCCC" w:sz="1"/>
              <w:bottom w:val="single" w:color="CCCCCC" w:sz="1"/>
              <w:right w:val="single" w:color="CCCCCC" w:sz="1"/>
            </w:tcBorders>
            <w:shd w:fill="0D9F6E"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2560"/>
            <w:tcBorders>
              <w:top w:val="single" w:color="CCCCCC" w:sz="1"/>
              <w:left w:val="single" w:color="CCCCCC" w:sz="1"/>
              <w:bottom w:val="single" w:color="CCCCCC" w:sz="1"/>
              <w:right w:val="single" w:color="CCCCCC" w:sz="1"/>
            </w:tcBorders>
            <w:shd w:fill="0D9F6E" w:val="clear"/>
            <w:tcMar>
              <w:top w:type="dxa" w:w="60"/>
              <w:left w:type="dxa" w:w="100"/>
              <w:bottom w:type="dxa" w:w="60"/>
              <w:right w:type="dxa" w:w="100"/>
            </w:tcMar>
          </w:tcPr>
          <w:p>
            <w:r>
              <w:rPr>
                <w:rFonts w:ascii="Arial" w:cs="Arial" w:eastAsia="Arial" w:hAnsi="Arial"/>
                <w:b/>
                <w:bCs/>
                <w:color w:val="FFFFFF"/>
                <w:sz w:val="20"/>
                <w:szCs w:val="20"/>
              </w:rPr>
              <w:t xml:space="preserve">Impact on 1M Goal</w:t>
            </w:r>
          </w:p>
        </w:tc>
        <w:tc>
          <w:tcPr>
            <w:tcW w:type="dxa" w:w="2800"/>
            <w:tcBorders>
              <w:top w:val="single" w:color="CCCCCC" w:sz="1"/>
              <w:left w:val="single" w:color="CCCCCC" w:sz="1"/>
              <w:bottom w:val="single" w:color="CCCCCC" w:sz="1"/>
              <w:right w:val="single" w:color="CCCCCC" w:sz="1"/>
            </w:tcBorders>
            <w:shd w:fill="0D9F6E" w:val="clear"/>
            <w:tcMar>
              <w:top w:type="dxa" w:w="60"/>
              <w:left w:type="dxa" w:w="100"/>
              <w:bottom w:type="dxa" w:w="60"/>
              <w:right w:type="dxa" w:w="100"/>
            </w:tcMar>
          </w:tcPr>
          <w:p>
            <w:r>
              <w:rPr>
                <w:rFonts w:ascii="Arial" w:cs="Arial" w:eastAsia="Arial" w:hAnsi="Arial"/>
                <w:b/>
                <w:bCs/>
                <w:color w:val="FFFFFF"/>
                <w:sz w:val="20"/>
                <w:szCs w:val="20"/>
              </w:rPr>
              <w:t xml:space="preserve">Action Required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Google indexation (4 of 91 pages)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CRITICAL</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91% of content invisible to search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Submit sitemap to GSC, request indexing for priority URLs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Vercel staging still in SERPs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CRITICAL</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Dilutes link equity, confuses Google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Request removal via GSC URL Removal tool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Zero backlinks from authority sites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CRITICAL</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Cannot rank without domain authority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Launch link building campaign immediately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Zero GEO citations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CRITICAL</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Missing from AI-generated answers entirely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Submit to directories, create awesome-list, publish on 3rd-party platforms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centralized internal link component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Each article manually links; inconsistent coverage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Build RelatedArticles component with automated topic clustering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FAQPage schema too thin (2 Q&amp;As)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Missing featured snippet opportunities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Expand to 5-8 Q&amp;As on homepage, ensure all learn pages have 3+ FAQs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H1 still branded, not keyword-rich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Weaker primary keyword signal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SEO-optimized H1 as semantic element, keep creative visual H1</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Google Search Console verified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CRITICAL</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Cannot monitor indexation or submit sitemap</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Verify domain in GSC immediately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Content word count unknown for SEO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Some pages may be too thin for ranking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Audit rendered word count, ensure 1,500+ on pillar pages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i18n/multi-language content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Missing EU market in native languages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Plan DE/FR/ES versions for Q3</w:t>
            </w:r>
          </w:p>
        </w:tc>
      </w:tr>
    </w:tbl>
    <w:p>
      <w:r>
        <w:br w:type="page"/>
      </w:r>
    </w:p>
    <w:p>
      <w:pPr>
        <w:pStyle w:val="Heading1"/>
        <w:spacing w:after="150" w:before="300"/>
      </w:pPr>
      <w:r>
        <w:rPr>
          <w:rFonts w:ascii="Arial" w:cs="Arial" w:eastAsia="Arial" w:hAnsi="Arial"/>
          <w:b/>
          <w:bCs/>
        </w:rPr>
        <w:t xml:space="preserve">3. COMPETITIVE LANDSCAPE UPDATE (March 2026)</w:t>
      </w:r>
    </w:p>
    <w:p>
      <w:pPr>
        <w:spacing w:after="120"/>
      </w:pPr>
      <w:r>
        <w:rPr>
          <w:rFonts w:ascii="Arial" w:cs="Arial" w:eastAsia="Arial" w:hAnsi="Arial"/>
          <w:sz w:val="22"/>
          <w:szCs w:val="22"/>
        </w:rPr>
        <w:t xml:space="preserve">The competitive landscape has intensified since the audit. Key developments observed from search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600"/>
        <w:gridCol w:w="2200"/>
        <w:gridCol w:w="2160"/>
      </w:tblGrid>
      <w:tr>
        <w:tc>
          <w:tcPr>
            <w:tcW w:type="dxa" w:w="1600"/>
            <w:tcBorders>
              <w:top w:val="single" w:color="CCCCCC" w:sz="1"/>
              <w:left w:val="single" w:color="CCCCCC" w:sz="1"/>
              <w:bottom w:val="single" w:color="CCCCCC" w:sz="1"/>
              <w:right w:val="single" w:color="CCCCCC" w:sz="1"/>
            </w:tcBorders>
            <w:shd w:fill="0D9F6E" w:val="clear"/>
            <w:tcMar>
              <w:top w:type="dxa" w:w="60"/>
              <w:left w:type="dxa" w:w="100"/>
              <w:bottom w:type="dxa" w:w="60"/>
              <w:right w:type="dxa" w:w="100"/>
            </w:tcMar>
          </w:tcPr>
          <w:p>
            <w:r>
              <w:rPr>
                <w:rFonts w:ascii="Arial" w:cs="Arial" w:eastAsia="Arial" w:hAnsi="Arial"/>
                <w:b/>
                <w:bCs/>
                <w:color w:val="FFFFFF"/>
                <w:sz w:val="20"/>
                <w:szCs w:val="20"/>
              </w:rPr>
              <w:t xml:space="preserve">Competitor</w:t>
            </w:r>
          </w:p>
        </w:tc>
        <w:tc>
          <w:tcPr>
            <w:tcW w:type="dxa" w:w="1800"/>
            <w:tcBorders>
              <w:top w:val="single" w:color="CCCCCC" w:sz="1"/>
              <w:left w:val="single" w:color="CCCCCC" w:sz="1"/>
              <w:bottom w:val="single" w:color="CCCCCC" w:sz="1"/>
              <w:right w:val="single" w:color="CCCCCC" w:sz="1"/>
            </w:tcBorders>
            <w:shd w:fill="0D9F6E" w:val="clear"/>
            <w:tcMar>
              <w:top w:type="dxa" w:w="60"/>
              <w:left w:type="dxa" w:w="100"/>
              <w:bottom w:type="dxa" w:w="60"/>
              <w:right w:type="dxa" w:w="100"/>
            </w:tcMar>
          </w:tcPr>
          <w:p>
            <w:r>
              <w:rPr>
                <w:rFonts w:ascii="Arial" w:cs="Arial" w:eastAsia="Arial" w:hAnsi="Arial"/>
                <w:b/>
                <w:bCs/>
                <w:color w:val="FFFFFF"/>
                <w:sz w:val="20"/>
                <w:szCs w:val="20"/>
              </w:rPr>
              <w:t xml:space="preserve">Current SEO Strength</w:t>
            </w:r>
          </w:p>
        </w:tc>
        <w:tc>
          <w:tcPr>
            <w:tcW w:type="dxa" w:w="1600"/>
            <w:tcBorders>
              <w:top w:val="single" w:color="CCCCCC" w:sz="1"/>
              <w:left w:val="single" w:color="CCCCCC" w:sz="1"/>
              <w:bottom w:val="single" w:color="CCCCCC" w:sz="1"/>
              <w:right w:val="single" w:color="CCCCCC" w:sz="1"/>
            </w:tcBorders>
            <w:shd w:fill="0D9F6E" w:val="clear"/>
            <w:tcMar>
              <w:top w:type="dxa" w:w="60"/>
              <w:left w:type="dxa" w:w="100"/>
              <w:bottom w:type="dxa" w:w="60"/>
              <w:right w:type="dxa" w:w="100"/>
            </w:tcMar>
          </w:tcPr>
          <w:p>
            <w:r>
              <w:rPr>
                <w:rFonts w:ascii="Arial" w:cs="Arial" w:eastAsia="Arial" w:hAnsi="Arial"/>
                <w:b/>
                <w:bCs/>
                <w:color w:val="FFFFFF"/>
                <w:sz w:val="20"/>
                <w:szCs w:val="20"/>
              </w:rPr>
              <w:t xml:space="preserve">Content Volume</w:t>
            </w:r>
          </w:p>
        </w:tc>
        <w:tc>
          <w:tcPr>
            <w:tcW w:type="dxa" w:w="2200"/>
            <w:tcBorders>
              <w:top w:val="single" w:color="CCCCCC" w:sz="1"/>
              <w:left w:val="single" w:color="CCCCCC" w:sz="1"/>
              <w:bottom w:val="single" w:color="CCCCCC" w:sz="1"/>
              <w:right w:val="single" w:color="CCCCCC" w:sz="1"/>
            </w:tcBorders>
            <w:shd w:fill="0D9F6E" w:val="clear"/>
            <w:tcMar>
              <w:top w:type="dxa" w:w="60"/>
              <w:left w:type="dxa" w:w="100"/>
              <w:bottom w:type="dxa" w:w="60"/>
              <w:right w:type="dxa" w:w="100"/>
            </w:tcMar>
          </w:tcPr>
          <w:p>
            <w:r>
              <w:rPr>
                <w:rFonts w:ascii="Arial" w:cs="Arial" w:eastAsia="Arial" w:hAnsi="Arial"/>
                <w:b/>
                <w:bCs/>
                <w:color w:val="FFFFFF"/>
                <w:sz w:val="20"/>
                <w:szCs w:val="20"/>
              </w:rPr>
              <w:t xml:space="preserve">Key Threat</w:t>
            </w:r>
          </w:p>
        </w:tc>
        <w:tc>
          <w:tcPr>
            <w:tcW w:type="dxa" w:w="2160"/>
            <w:tcBorders>
              <w:top w:val="single" w:color="CCCCCC" w:sz="1"/>
              <w:left w:val="single" w:color="CCCCCC" w:sz="1"/>
              <w:bottom w:val="single" w:color="CCCCCC" w:sz="1"/>
              <w:right w:val="single" w:color="CCCCCC" w:sz="1"/>
            </w:tcBorders>
            <w:shd w:fill="0D9F6E" w:val="clear"/>
            <w:tcMar>
              <w:top w:type="dxa" w:w="60"/>
              <w:left w:type="dxa" w:w="100"/>
              <w:bottom w:type="dxa" w:w="60"/>
              <w:right w:type="dxa" w:w="100"/>
            </w:tcMar>
          </w:tcPr>
          <w:p>
            <w:r>
              <w:rPr>
                <w:rFonts w:ascii="Arial" w:cs="Arial" w:eastAsia="Arial" w:hAnsi="Arial"/>
                <w:b/>
                <w:bCs/>
                <w:color w:val="FFFFFF"/>
                <w:sz w:val="20"/>
                <w:szCs w:val="20"/>
              </w:rPr>
              <w:t xml:space="preserve">SupraWall Advantage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Galileo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Strong - publishes listicles that rank for comparison terms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 indexed pages, active blog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Owns 'best AI agent guardrails' SERP with their own listicle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EU AI Act compliance (unique)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NVIDIA NeMo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Very strong - brand authority + developer docs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 pages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Dominates 'AI guardrails' generically</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Agent-specific vs chatbot-focused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Guardrails AI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Strong - open source community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 pages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Community-driven content engine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Action guardrails vs output guardrails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Jozu Agent Guard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Emerging rapidly (launched Mar 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Growing fast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Nearly identical positioning to SupraWall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First-mover on EU AI Act content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Straiker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Moderate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 pages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Enterprise focus overlaps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Developer-friendly one-line integration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Authority Partners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Content-strong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Active blog ranking for 2026 terms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Ranking for 'AI agent guardrails 2026'</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 backing vs consulting content</w:t>
            </w:r>
          </w:p>
        </w:tc>
      </w:tr>
    </w:tbl>
    <w:p>
      <w:pPr>
        <w:spacing w:after="120"/>
      </w:pPr>
      <w:r>
        <w:rPr>
          <w:rFonts w:ascii="Arial" w:cs="Arial" w:eastAsia="Arial" w:hAnsi="Arial"/>
          <w:b/>
          <w:bCs/>
          <w:sz w:val="22"/>
          <w:szCs w:val="22"/>
        </w:rPr>
        <w:t xml:space="preserve">Critical observation: SupraWall does NOT appear in ANY of the top search results for 'AI agent guardrails 2026' or 'EU AI Act compliance AI agents'. Galileo, Authority Partners, and generic compliance sites dominate. This is the gap we must close.</w:t>
      </w:r>
    </w:p>
    <w:p>
      <w:r>
        <w:br w:type="page"/>
      </w:r>
    </w:p>
    <w:p>
      <w:pPr>
        <w:pStyle w:val="Heading1"/>
        <w:spacing w:after="150" w:before="300"/>
      </w:pPr>
      <w:r>
        <w:rPr>
          <w:rFonts w:ascii="Arial" w:cs="Arial" w:eastAsia="Arial" w:hAnsi="Arial"/>
          <w:b/>
          <w:bCs/>
        </w:rPr>
        <w:t xml:space="preserve">4. SIX-MONTH ROADMAP: 0 TO 1M MONTHLY VISITS</w:t>
      </w:r>
    </w:p>
    <w:p>
      <w:pPr>
        <w:spacing w:after="120"/>
      </w:pPr>
      <w:r>
        <w:rPr>
          <w:rFonts w:ascii="Arial" w:cs="Arial" w:eastAsia="Arial" w:hAnsi="Arial"/>
          <w:sz w:val="22"/>
          <w:szCs w:val="22"/>
        </w:rPr>
        <w:t xml:space="preserve">The following roadmap targets aggressive but achievable milestones, assuming the off-site team handles link building and PR in parallel with our on-site execution.</w:t>
      </w:r>
    </w:p>
    <w:p>
      <w:pPr>
        <w:pStyle w:val="Heading2"/>
        <w:spacing w:after="150" w:before="300"/>
      </w:pPr>
      <w:r>
        <w:rPr>
          <w:rFonts w:ascii="Arial" w:cs="Arial" w:eastAsia="Arial" w:hAnsi="Arial"/>
          <w:b/>
          <w:bCs/>
        </w:rPr>
        <w:t xml:space="preserve">4.1 Monthly Traffic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300"/>
        <w:gridCol w:w="2960"/>
        <w:gridCol w:w="2300"/>
      </w:tblGrid>
      <w:tr>
        <w:tc>
          <w:tcPr>
            <w:tcW w:type="dxa" w:w="1500"/>
            <w:tcBorders>
              <w:top w:val="single" w:color="CCCCCC" w:sz="1"/>
              <w:left w:val="single" w:color="CCCCCC" w:sz="1"/>
              <w:bottom w:val="single" w:color="CCCCCC" w:sz="1"/>
              <w:right w:val="single" w:color="CCCCCC" w:sz="1"/>
            </w:tcBorders>
            <w:shd w:fill="0D9F6E" w:val="clear"/>
            <w:tcMar>
              <w:top w:type="dxa" w:w="60"/>
              <w:left w:type="dxa" w:w="100"/>
              <w:bottom w:type="dxa" w:w="60"/>
              <w:right w:type="dxa" w:w="100"/>
            </w:tcMar>
          </w:tcPr>
          <w:p>
            <w:r>
              <w:rPr>
                <w:rFonts w:ascii="Arial" w:cs="Arial" w:eastAsia="Arial" w:hAnsi="Arial"/>
                <w:b/>
                <w:bCs/>
                <w:color w:val="FFFFFF"/>
                <w:sz w:val="20"/>
                <w:szCs w:val="20"/>
              </w:rPr>
              <w:t xml:space="preserve">Month</w:t>
            </w:r>
          </w:p>
        </w:tc>
        <w:tc>
          <w:tcPr>
            <w:tcW w:type="dxa" w:w="1300"/>
            <w:tcBorders>
              <w:top w:val="single" w:color="CCCCCC" w:sz="1"/>
              <w:left w:val="single" w:color="CCCCCC" w:sz="1"/>
              <w:bottom w:val="single" w:color="CCCCCC" w:sz="1"/>
              <w:right w:val="single" w:color="CCCCCC" w:sz="1"/>
            </w:tcBorders>
            <w:shd w:fill="0D9F6E" w:val="clear"/>
            <w:tcMar>
              <w:top w:type="dxa" w:w="60"/>
              <w:left w:type="dxa" w:w="100"/>
              <w:bottom w:type="dxa" w:w="60"/>
              <w:right w:type="dxa" w:w="100"/>
            </w:tcMar>
          </w:tcPr>
          <w:p>
            <w:r>
              <w:rPr>
                <w:rFonts w:ascii="Arial" w:cs="Arial" w:eastAsia="Arial" w:hAnsi="Arial"/>
                <w:b/>
                <w:bCs/>
                <w:color w:val="FFFFFF"/>
                <w:sz w:val="20"/>
                <w:szCs w:val="20"/>
              </w:rPr>
              <w:t xml:space="preserve">Target Traffic</w:t>
            </w:r>
          </w:p>
        </w:tc>
        <w:tc>
          <w:tcPr>
            <w:tcW w:type="dxa" w:w="1300"/>
            <w:tcBorders>
              <w:top w:val="single" w:color="CCCCCC" w:sz="1"/>
              <w:left w:val="single" w:color="CCCCCC" w:sz="1"/>
              <w:bottom w:val="single" w:color="CCCCCC" w:sz="1"/>
              <w:right w:val="single" w:color="CCCCCC" w:sz="1"/>
            </w:tcBorders>
            <w:shd w:fill="0D9F6E" w:val="clear"/>
            <w:tcMar>
              <w:top w:type="dxa" w:w="60"/>
              <w:left w:type="dxa" w:w="100"/>
              <w:bottom w:type="dxa" w:w="60"/>
              <w:right w:type="dxa" w:w="100"/>
            </w:tcMar>
          </w:tcPr>
          <w:p>
            <w:r>
              <w:rPr>
                <w:rFonts w:ascii="Arial" w:cs="Arial" w:eastAsia="Arial" w:hAnsi="Arial"/>
                <w:b/>
                <w:bCs/>
                <w:color w:val="FFFFFF"/>
                <w:sz w:val="20"/>
                <w:szCs w:val="20"/>
              </w:rPr>
              <w:t xml:space="preserve">Indexed Pages Target</w:t>
            </w:r>
          </w:p>
        </w:tc>
        <w:tc>
          <w:tcPr>
            <w:tcW w:type="dxa" w:w="2960"/>
            <w:tcBorders>
              <w:top w:val="single" w:color="CCCCCC" w:sz="1"/>
              <w:left w:val="single" w:color="CCCCCC" w:sz="1"/>
              <w:bottom w:val="single" w:color="CCCCCC" w:sz="1"/>
              <w:right w:val="single" w:color="CCCCCC" w:sz="1"/>
            </w:tcBorders>
            <w:shd w:fill="0D9F6E" w:val="clear"/>
            <w:tcMar>
              <w:top w:type="dxa" w:w="60"/>
              <w:left w:type="dxa" w:w="100"/>
              <w:bottom w:type="dxa" w:w="60"/>
              <w:right w:type="dxa" w:w="100"/>
            </w:tcMar>
          </w:tcPr>
          <w:p>
            <w:r>
              <w:rPr>
                <w:rFonts w:ascii="Arial" w:cs="Arial" w:eastAsia="Arial" w:hAnsi="Arial"/>
                <w:b/>
                <w:bCs/>
                <w:color w:val="FFFFFF"/>
                <w:sz w:val="20"/>
                <w:szCs w:val="20"/>
              </w:rPr>
              <w:t xml:space="preserve">Content Focus</w:t>
            </w:r>
          </w:p>
        </w:tc>
        <w:tc>
          <w:tcPr>
            <w:tcW w:type="dxa" w:w="2300"/>
            <w:tcBorders>
              <w:top w:val="single" w:color="CCCCCC" w:sz="1"/>
              <w:left w:val="single" w:color="CCCCCC" w:sz="1"/>
              <w:bottom w:val="single" w:color="CCCCCC" w:sz="1"/>
              <w:right w:val="single" w:color="CCCCCC" w:sz="1"/>
            </w:tcBorders>
            <w:shd w:fill="0D9F6E" w:val="clear"/>
            <w:tcMar>
              <w:top w:type="dxa" w:w="60"/>
              <w:left w:type="dxa" w:w="100"/>
              <w:bottom w:type="dxa" w:w="60"/>
              <w:right w:type="dxa" w:w="100"/>
            </w:tcMar>
          </w:tcPr>
          <w:p>
            <w:r>
              <w:rPr>
                <w:rFonts w:ascii="Arial" w:cs="Arial" w:eastAsia="Arial" w:hAnsi="Arial"/>
                <w:b/>
                <w:bCs/>
                <w:color w:val="FFFFFF"/>
                <w:sz w:val="20"/>
                <w:szCs w:val="20"/>
              </w:rPr>
              <w:t xml:space="preserve">Key Milestone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April 2026 (M1)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1,000 - 5,000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40+ indexed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Index all existing pages, expand thin content, launch glossary programmatic pages</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indexation + GSC verified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May 2026 (M2)</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10,000 - 25,000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 indexed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Programmatic SEO pages (glossary, comparisons), EU AI Act content hub</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First page-1 rankings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June 2026 (M3)</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50,000 - 100,000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150+ indexed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Interactive tools (compliance checker), original research report</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Featured snippets + AI citations begin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July 2026 (M4)</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150,000 - 300,000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250+ indexed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Programmatic pages at scale, i18n (DE/FR/ES), community content</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EU AI Act deadline content peaks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August 2026 (M5)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400,000 - 600,000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400+ indexed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EU AI Act enforcement deadline content explosion, tool launches</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Peak EU AI Act traffic capture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September 2026 (M6)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750,000 - 1,000,000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500+ indexed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Sustain + compound: update all content, launch new verticals</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1M/month target achieved</w:t>
            </w:r>
          </w:p>
        </w:tc>
      </w:tr>
    </w:tbl>
    <w:p>
      <w:pPr>
        <w:pStyle w:val="Heading2"/>
        <w:spacing w:after="150" w:before="300"/>
      </w:pPr>
      <w:r>
        <w:rPr>
          <w:rFonts w:ascii="Arial" w:cs="Arial" w:eastAsia="Arial" w:hAnsi="Arial"/>
          <w:b/>
          <w:bCs/>
        </w:rPr>
        <w:t xml:space="preserve">4.2 On-Site Strategy Pillars</w:t>
      </w:r>
    </w:p>
    <w:p>
      <w:pPr>
        <w:pStyle w:val="Heading3"/>
        <w:spacing w:after="150" w:before="300"/>
      </w:pPr>
      <w:r>
        <w:rPr>
          <w:rFonts w:ascii="Arial" w:cs="Arial" w:eastAsia="Arial" w:hAnsi="Arial"/>
          <w:b/>
          <w:bCs/>
        </w:rPr>
        <w:t xml:space="preserve">Pillar 1: Programmatic SEO at Scale</w:t>
      </w:r>
    </w:p>
    <w:p>
      <w:pPr>
        <w:spacing w:after="120"/>
      </w:pPr>
      <w:r>
        <w:rPr>
          <w:rFonts w:ascii="Arial" w:cs="Arial" w:eastAsia="Arial" w:hAnsi="Arial"/>
          <w:sz w:val="22"/>
          <w:szCs w:val="22"/>
        </w:rPr>
        <w:t xml:space="preserve">The fastest path to 1M/month is programmatic page generation. The codebase already supports dynamic routes. We will build template-driven pages for: AI agent security glossary terms (target: 100+ pages), framework-specific security guides for every major AI framework (target: 20+ pages), EU AI Act article-by-article compliance guides (target: 50+ pages), use-case pages for every industry vertical (target: 30+ pages), and tool-specific security checklists (target: 40+ pages).</w:t>
      </w:r>
    </w:p>
    <w:p>
      <w:pPr>
        <w:pStyle w:val="Heading3"/>
        <w:spacing w:after="150" w:before="300"/>
      </w:pPr>
      <w:r>
        <w:rPr>
          <w:rFonts w:ascii="Arial" w:cs="Arial" w:eastAsia="Arial" w:hAnsi="Arial"/>
          <w:b/>
          <w:bCs/>
        </w:rPr>
        <w:t xml:space="preserve">Pillar 2: Content Depth &amp; Authority</w:t>
      </w:r>
    </w:p>
    <w:p>
      <w:pPr>
        <w:spacing w:after="120"/>
      </w:pPr>
      <w:r>
        <w:rPr>
          <w:rFonts w:ascii="Arial" w:cs="Arial" w:eastAsia="Arial" w:hAnsi="Arial"/>
          <w:sz w:val="22"/>
          <w:szCs w:val="22"/>
        </w:rPr>
        <w:t xml:space="preserve">Every existing learn article must be expanded to 2,500+ rendered words with code examples, diagrams, comparison tables, and FAQ sections. New pillar pages must target 3,000-5,000 words. The blog should publish 2-3 data-driven research pieces per month that attract backlinks naturally.</w:t>
      </w:r>
    </w:p>
    <w:p>
      <w:pPr>
        <w:pStyle w:val="Heading3"/>
        <w:spacing w:after="150" w:before="300"/>
      </w:pPr>
      <w:r>
        <w:rPr>
          <w:rFonts w:ascii="Arial" w:cs="Arial" w:eastAsia="Arial" w:hAnsi="Arial"/>
          <w:b/>
          <w:bCs/>
        </w:rPr>
        <w:t xml:space="preserve">Pillar 3: Technical SEO Excellence</w:t>
      </w:r>
    </w:p>
    <w:p>
      <w:pPr>
        <w:spacing w:after="120"/>
      </w:pPr>
      <w:r>
        <w:rPr>
          <w:rFonts w:ascii="Arial" w:cs="Arial" w:eastAsia="Arial" w:hAnsi="Arial"/>
          <w:sz w:val="22"/>
          <w:szCs w:val="22"/>
        </w:rPr>
        <w:t xml:space="preserve">Continuous optimization of Core Web Vitals, structured data expansion (HowTo, VideoObject, SoftwareSourceCode schemas), internal link graph automation, and dynamic breadcrumbs. Every new page must pass a pre-deployment SEO checklist.</w:t>
      </w:r>
    </w:p>
    <w:p>
      <w:pPr>
        <w:pStyle w:val="Heading3"/>
        <w:spacing w:after="150" w:before="300"/>
      </w:pPr>
      <w:r>
        <w:rPr>
          <w:rFonts w:ascii="Arial" w:cs="Arial" w:eastAsia="Arial" w:hAnsi="Arial"/>
          <w:b/>
          <w:bCs/>
        </w:rPr>
        <w:t xml:space="preserve">Pillar 4: GEO Domination</w:t>
      </w:r>
    </w:p>
    <w:p>
      <w:pPr>
        <w:spacing w:after="120"/>
      </w:pPr>
      <w:r>
        <w:rPr>
          <w:rFonts w:ascii="Arial" w:cs="Arial" w:eastAsia="Arial" w:hAnsi="Arial"/>
          <w:sz w:val="22"/>
          <w:szCs w:val="22"/>
        </w:rPr>
        <w:t xml:space="preserve">Every content piece must be optimized for AI-generated answers: clear question-answer format in headings, concise factual definitions in the first paragraph, FAQ schema on every page with 5+ Q&amp;As, llms.txt continuously updated with new content, and structured data that LLMs can parse directly.</w:t>
      </w:r>
    </w:p>
    <w:p>
      <w:pPr>
        <w:pStyle w:val="Heading3"/>
        <w:spacing w:after="150" w:before="300"/>
      </w:pPr>
      <w:r>
        <w:rPr>
          <w:rFonts w:ascii="Arial" w:cs="Arial" w:eastAsia="Arial" w:hAnsi="Arial"/>
          <w:b/>
          <w:bCs/>
        </w:rPr>
        <w:t xml:space="preserve">Pillar 5: EU AI Act Content Moat</w:t>
      </w:r>
    </w:p>
    <w:p>
      <w:pPr>
        <w:spacing w:after="120"/>
      </w:pPr>
      <w:r>
        <w:rPr>
          <w:rFonts w:ascii="Arial" w:cs="Arial" w:eastAsia="Arial" w:hAnsi="Arial"/>
          <w:sz w:val="22"/>
          <w:szCs w:val="22"/>
        </w:rPr>
        <w:t xml:space="preserve">This is SupraWall's unfair advantage. No competitor is building deep EU AI Act compliance content for AI agents. With the August 2026 enforcement deadline, search demand will explode. We will build 50+ pages of EU AI Act content covering every relevant article, creating the definitive resource that both Google and AI models cite.</w:t>
      </w:r>
    </w:p>
    <w:p>
      <w:r>
        <w:br w:type="page"/>
      </w:r>
    </w:p>
    <w:p>
      <w:pPr>
        <w:pStyle w:val="Heading1"/>
        <w:spacing w:after="150" w:before="300"/>
      </w:pPr>
      <w:r>
        <w:rPr>
          <w:rFonts w:ascii="Arial" w:cs="Arial" w:eastAsia="Arial" w:hAnsi="Arial"/>
          <w:b/>
          <w:bCs/>
        </w:rPr>
        <w:t xml:space="preserve">5. IMMEDIATE ACTIONS (This Week: March 20-27)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1560"/>
        <w:gridCol w:w="2800"/>
      </w:tblGrid>
      <w:tr>
        <w:tc>
          <w:tcPr>
            <w:tcW w:type="dxa" w:w="800"/>
            <w:tcBorders>
              <w:top w:val="single" w:color="CCCCCC" w:sz="1"/>
              <w:left w:val="single" w:color="CCCCCC" w:sz="1"/>
              <w:bottom w:val="single" w:color="CCCCCC" w:sz="1"/>
              <w:right w:val="single" w:color="CCCCCC" w:sz="1"/>
            </w:tcBorders>
            <w:shd w:fill="0D9F6E"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4200"/>
            <w:tcBorders>
              <w:top w:val="single" w:color="CCCCCC" w:sz="1"/>
              <w:left w:val="single" w:color="CCCCCC" w:sz="1"/>
              <w:bottom w:val="single" w:color="CCCCCC" w:sz="1"/>
              <w:right w:val="single" w:color="CCCCCC" w:sz="1"/>
            </w:tcBorders>
            <w:shd w:fill="0D9F6E"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1560"/>
            <w:tcBorders>
              <w:top w:val="single" w:color="CCCCCC" w:sz="1"/>
              <w:left w:val="single" w:color="CCCCCC" w:sz="1"/>
              <w:bottom w:val="single" w:color="CCCCCC" w:sz="1"/>
              <w:right w:val="single" w:color="CCCCCC" w:sz="1"/>
            </w:tcBorders>
            <w:shd w:fill="0D9F6E" w:val="clear"/>
            <w:tcMar>
              <w:top w:type="dxa" w:w="60"/>
              <w:left w:type="dxa" w:w="100"/>
              <w:bottom w:type="dxa" w:w="60"/>
              <w:right w:type="dxa" w:w="100"/>
            </w:tcMar>
          </w:tcPr>
          <w:p>
            <w:r>
              <w:rPr>
                <w:rFonts w:ascii="Arial" w:cs="Arial" w:eastAsia="Arial" w:hAnsi="Arial"/>
                <w:b/>
                <w:bCs/>
                <w:color w:val="FFFFFF"/>
                <w:sz w:val="20"/>
                <w:szCs w:val="20"/>
              </w:rPr>
              <w:t xml:space="preserve">Owner</w:t>
            </w:r>
          </w:p>
        </w:tc>
        <w:tc>
          <w:tcPr>
            <w:tcW w:type="dxa" w:w="2800"/>
            <w:tcBorders>
              <w:top w:val="single" w:color="CCCCCC" w:sz="1"/>
              <w:left w:val="single" w:color="CCCCCC" w:sz="1"/>
              <w:bottom w:val="single" w:color="CCCCCC" w:sz="1"/>
              <w:right w:val="single" w:color="CCCCCC" w:sz="1"/>
            </w:tcBorders>
            <w:shd w:fill="0D9F6E" w:val="clear"/>
            <w:tcMar>
              <w:top w:type="dxa" w:w="60"/>
              <w:left w:type="dxa" w:w="100"/>
              <w:bottom w:type="dxa" w:w="60"/>
              <w:right w:type="dxa" w:w="100"/>
            </w:tcMar>
          </w:tcPr>
          <w:p>
            <w:r>
              <w:rPr>
                <w:rFonts w:ascii="Arial" w:cs="Arial" w:eastAsia="Arial" w:hAnsi="Arial"/>
                <w:b/>
                <w:bCs/>
                <w:color w:val="FFFFFF"/>
                <w:sz w:val="20"/>
                <w:szCs w:val="20"/>
              </w:rPr>
              <w:t xml:space="preserve">Expected Impact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P0</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Verify domain in Google Search Console and submit sitemap.xml</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Engineering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Enables indexation monitoring and sitemap submission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P0</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Request URL removal for agent-gate-rho.vercel.app pages in GSC</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Engineering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Eliminates duplicate content dilution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P0</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Request indexing for all 40+ public-facing pages via GSC</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Engineering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Accelerates indexation from 4 to 40+ pages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P1</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Expand homepage FAQPage schema from 2 to 8 Q&amp;As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Engineering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Featured snippet eligibility for core queries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P1</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Build centralized RelatedArticles component</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Engineering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Automates internal linking across 22 learn articles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P1</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HowTo schema to integration guide pages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Engineering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Rich results in search for tutorial queries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P1</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Verify all learn pages render 1,500+ words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Content/Eng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Ensures content depth meets ranking threshold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P2</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 awesome-ai-agent-security GitHub repository</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Marketing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GEO citation source + backlink magnet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P2</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Submit to Product Hunt, G2, AlternativeTo, StackShare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Marketing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Directory citations for GEO + referral traffic</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P2</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Publish first external article on Dev.to or HackerNoon</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Third-party citation for GEO + backlink</w:t>
            </w:r>
          </w:p>
        </w:tc>
      </w:tr>
    </w:tbl>
    <w:p>
      <w:r>
        <w:br w:type="page"/>
      </w:r>
    </w:p>
    <w:p>
      <w:pPr>
        <w:pStyle w:val="Heading1"/>
        <w:spacing w:after="150" w:before="300"/>
      </w:pPr>
      <w:r>
        <w:rPr>
          <w:rFonts w:ascii="Arial" w:cs="Arial" w:eastAsia="Arial" w:hAnsi="Arial"/>
          <w:b/>
          <w:bCs/>
        </w:rPr>
        <w:t xml:space="preserve">6. SCHEDULED TASK AUTOMATION</w:t>
      </w:r>
    </w:p>
    <w:p>
      <w:pPr>
        <w:spacing w:after="120"/>
      </w:pPr>
      <w:r>
        <w:rPr>
          <w:rFonts w:ascii="Arial" w:cs="Arial" w:eastAsia="Arial" w:hAnsi="Arial"/>
          <w:sz w:val="22"/>
          <w:szCs w:val="22"/>
        </w:rPr>
        <w:t xml:space="preserve">The following automated tasks are being configured to ensure consistent execution of the SEO/GEO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3960"/>
      </w:tblGrid>
      <w:tr>
        <w:tc>
          <w:tcPr>
            <w:tcW w:type="dxa" w:w="2200"/>
            <w:tcBorders>
              <w:top w:val="single" w:color="CCCCCC" w:sz="1"/>
              <w:left w:val="single" w:color="CCCCCC" w:sz="1"/>
              <w:bottom w:val="single" w:color="CCCCCC" w:sz="1"/>
              <w:right w:val="single" w:color="CCCCCC" w:sz="1"/>
            </w:tcBorders>
            <w:shd w:fill="0D9F6E" w:val="clear"/>
            <w:tcMar>
              <w:top w:type="dxa" w:w="60"/>
              <w:left w:type="dxa" w:w="100"/>
              <w:bottom w:type="dxa" w:w="60"/>
              <w:right w:type="dxa" w:w="100"/>
            </w:tcMar>
          </w:tcPr>
          <w:p>
            <w:r>
              <w:rPr>
                <w:rFonts w:ascii="Arial" w:cs="Arial" w:eastAsia="Arial" w:hAnsi="Arial"/>
                <w:b/>
                <w:bCs/>
                <w:color w:val="FFFFFF"/>
                <w:sz w:val="20"/>
                <w:szCs w:val="20"/>
              </w:rPr>
              <w:t xml:space="preserve">Task</w:t>
            </w:r>
          </w:p>
        </w:tc>
        <w:tc>
          <w:tcPr>
            <w:tcW w:type="dxa" w:w="1200"/>
            <w:tcBorders>
              <w:top w:val="single" w:color="CCCCCC" w:sz="1"/>
              <w:left w:val="single" w:color="CCCCCC" w:sz="1"/>
              <w:bottom w:val="single" w:color="CCCCCC" w:sz="1"/>
              <w:right w:val="single" w:color="CCCCCC" w:sz="1"/>
            </w:tcBorders>
            <w:shd w:fill="0D9F6E" w:val="clear"/>
            <w:tcMar>
              <w:top w:type="dxa" w:w="60"/>
              <w:left w:type="dxa" w:w="100"/>
              <w:bottom w:type="dxa" w:w="60"/>
              <w:right w:type="dxa" w:w="100"/>
            </w:tcMar>
          </w:tcPr>
          <w:p>
            <w:r>
              <w:rPr>
                <w:rFonts w:ascii="Arial" w:cs="Arial" w:eastAsia="Arial" w:hAnsi="Arial"/>
                <w:b/>
                <w:bCs/>
                <w:color w:val="FFFFFF"/>
                <w:sz w:val="20"/>
                <w:szCs w:val="20"/>
              </w:rPr>
              <w:t xml:space="preserve">Frequency</w:t>
            </w:r>
          </w:p>
        </w:tc>
        <w:tc>
          <w:tcPr>
            <w:tcW w:type="dxa" w:w="2000"/>
            <w:tcBorders>
              <w:top w:val="single" w:color="CCCCCC" w:sz="1"/>
              <w:left w:val="single" w:color="CCCCCC" w:sz="1"/>
              <w:bottom w:val="single" w:color="CCCCCC" w:sz="1"/>
              <w:right w:val="single" w:color="CCCCCC" w:sz="1"/>
            </w:tcBorders>
            <w:shd w:fill="0D9F6E" w:val="clear"/>
            <w:tcMar>
              <w:top w:type="dxa" w:w="60"/>
              <w:left w:type="dxa" w:w="100"/>
              <w:bottom w:type="dxa" w:w="60"/>
              <w:right w:type="dxa" w:w="100"/>
            </w:tcMar>
          </w:tcPr>
          <w:p>
            <w:r>
              <w:rPr>
                <w:rFonts w:ascii="Arial" w:cs="Arial" w:eastAsia="Arial" w:hAnsi="Arial"/>
                <w:b/>
                <w:bCs/>
                <w:color w:val="FFFFFF"/>
                <w:sz w:val="20"/>
                <w:szCs w:val="20"/>
              </w:rPr>
              <w:t xml:space="preserve">Day/Time</w:t>
            </w:r>
          </w:p>
        </w:tc>
        <w:tc>
          <w:tcPr>
            <w:tcW w:type="dxa" w:w="3960"/>
            <w:tcBorders>
              <w:top w:val="single" w:color="CCCCCC" w:sz="1"/>
              <w:left w:val="single" w:color="CCCCCC" w:sz="1"/>
              <w:bottom w:val="single" w:color="CCCCCC" w:sz="1"/>
              <w:right w:val="single" w:color="CCCCCC" w:sz="1"/>
            </w:tcBorders>
            <w:shd w:fill="0D9F6E" w:val="clear"/>
            <w:tcMar>
              <w:top w:type="dxa" w:w="60"/>
              <w:left w:type="dxa" w:w="100"/>
              <w:bottom w:type="dxa" w:w="60"/>
              <w:right w:type="dxa" w:w="100"/>
            </w:tcMar>
          </w:tcPr>
          <w:p>
            <w:r>
              <w:rPr>
                <w:rFonts w:ascii="Arial" w:cs="Arial" w:eastAsia="Arial" w:hAnsi="Arial"/>
                <w:b/>
                <w:bCs/>
                <w:color w:val="FFFFFF"/>
                <w:sz w:val="20"/>
                <w:szCs w:val="20"/>
              </w:rPr>
              <w:t xml:space="preserve">Scope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Monthly SEO/GEO Review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Monthly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1st Monday, 9:00 AM</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audit: traffic analysis, competitor intelligence, content gap refresh, GEO citation check, set monthly objectives, generate report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Weekly SEO Planning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Weekly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Every Monday, 9:00 AM</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Review weekly metrics, research hot topics, plan content for the week, set weekly objectives aligned with monthly goals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Execution Session 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Weekly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Every Wednesday, 9:00 AM</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Execute weekly plan: create/optimize content pages, implement technical SEO improvements, expand structured data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Execution Session 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Weekly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Every Friday, 9:00 AM</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Continue execution: publish new pages, optimize existing content, internal linking improvements, pre-weekend content push</w:t>
            </w:r>
          </w:p>
        </w:tc>
      </w:tr>
    </w:tbl>
    <w:p>
      <w:r>
        <w:br w:type="page"/>
      </w:r>
    </w:p>
    <w:p>
      <w:pPr>
        <w:pStyle w:val="Heading1"/>
        <w:spacing w:after="150" w:before="300"/>
      </w:pPr>
      <w:r>
        <w:rPr>
          <w:rFonts w:ascii="Arial" w:cs="Arial" w:eastAsia="Arial" w:hAnsi="Arial"/>
          <w:b/>
          <w:bCs/>
        </w:rPr>
        <w:t xml:space="preserve">7. 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280"/>
        <w:gridCol w:w="2280"/>
      </w:tblGrid>
      <w:tr>
        <w:tc>
          <w:tcPr>
            <w:tcW w:type="dxa" w:w="2800"/>
            <w:tcBorders>
              <w:top w:val="single" w:color="CCCCCC" w:sz="1"/>
              <w:left w:val="single" w:color="CCCCCC" w:sz="1"/>
              <w:bottom w:val="single" w:color="CCCCCC" w:sz="1"/>
              <w:right w:val="single" w:color="CCCCCC" w:sz="1"/>
            </w:tcBorders>
            <w:shd w:fill="0D9F6E" w:val="clear"/>
            <w:tcMar>
              <w:top w:type="dxa" w:w="60"/>
              <w:left w:type="dxa" w:w="100"/>
              <w:bottom w:type="dxa" w:w="60"/>
              <w:right w:type="dxa" w:w="100"/>
            </w:tcMar>
          </w:tcPr>
          <w:p>
            <w:r>
              <w:rPr>
                <w:rFonts w:ascii="Arial" w:cs="Arial" w:eastAsia="Arial" w:hAnsi="Arial"/>
                <w:b/>
                <w:bCs/>
                <w:color w:val="FFFFFF"/>
                <w:sz w:val="20"/>
                <w:szCs w:val="20"/>
              </w:rPr>
              <w:t xml:space="preserve">KPI</w:t>
            </w:r>
          </w:p>
        </w:tc>
        <w:tc>
          <w:tcPr>
            <w:tcW w:type="dxa" w:w="2000"/>
            <w:tcBorders>
              <w:top w:val="single" w:color="CCCCCC" w:sz="1"/>
              <w:left w:val="single" w:color="CCCCCC" w:sz="1"/>
              <w:bottom w:val="single" w:color="CCCCCC" w:sz="1"/>
              <w:right w:val="single" w:color="CCCCCC" w:sz="1"/>
            </w:tcBorders>
            <w:shd w:fill="0D9F6E" w:val="clear"/>
            <w:tcMar>
              <w:top w:type="dxa" w:w="60"/>
              <w:left w:type="dxa" w:w="100"/>
              <w:bottom w:type="dxa" w:w="60"/>
              <w:right w:type="dxa" w:w="100"/>
            </w:tcMar>
          </w:tcPr>
          <w:p>
            <w:r>
              <w:rPr>
                <w:rFonts w:ascii="Arial" w:cs="Arial" w:eastAsia="Arial" w:hAnsi="Arial"/>
                <w:b/>
                <w:bCs/>
                <w:color w:val="FFFFFF"/>
                <w:sz w:val="20"/>
                <w:szCs w:val="20"/>
              </w:rPr>
              <w:t xml:space="preserve">Current Baseline</w:t>
            </w:r>
          </w:p>
        </w:tc>
        <w:tc>
          <w:tcPr>
            <w:tcW w:type="dxa" w:w="2280"/>
            <w:tcBorders>
              <w:top w:val="single" w:color="CCCCCC" w:sz="1"/>
              <w:left w:val="single" w:color="CCCCCC" w:sz="1"/>
              <w:bottom w:val="single" w:color="CCCCCC" w:sz="1"/>
              <w:right w:val="single" w:color="CCCCCC" w:sz="1"/>
            </w:tcBorders>
            <w:shd w:fill="0D9F6E" w:val="clear"/>
            <w:tcMar>
              <w:top w:type="dxa" w:w="60"/>
              <w:left w:type="dxa" w:w="100"/>
              <w:bottom w:type="dxa" w:w="60"/>
              <w:right w:type="dxa" w:w="100"/>
            </w:tcMar>
          </w:tcPr>
          <w:p>
            <w:r>
              <w:rPr>
                <w:rFonts w:ascii="Arial" w:cs="Arial" w:eastAsia="Arial" w:hAnsi="Arial"/>
                <w:b/>
                <w:bCs/>
                <w:color w:val="FFFFFF"/>
                <w:sz w:val="20"/>
                <w:szCs w:val="20"/>
              </w:rPr>
              <w:t xml:space="preserve">Month 3 Target</w:t>
            </w:r>
          </w:p>
        </w:tc>
        <w:tc>
          <w:tcPr>
            <w:tcW w:type="dxa" w:w="2280"/>
            <w:tcBorders>
              <w:top w:val="single" w:color="CCCCCC" w:sz="1"/>
              <w:left w:val="single" w:color="CCCCCC" w:sz="1"/>
              <w:bottom w:val="single" w:color="CCCCCC" w:sz="1"/>
              <w:right w:val="single" w:color="CCCCCC" w:sz="1"/>
            </w:tcBorders>
            <w:shd w:fill="0D9F6E" w:val="clear"/>
            <w:tcMar>
              <w:top w:type="dxa" w:w="60"/>
              <w:left w:type="dxa" w:w="100"/>
              <w:bottom w:type="dxa" w:w="60"/>
              <w:right w:type="dxa" w:w="100"/>
            </w:tcMar>
          </w:tcPr>
          <w:p>
            <w:r>
              <w:rPr>
                <w:rFonts w:ascii="Arial" w:cs="Arial" w:eastAsia="Arial" w:hAnsi="Arial"/>
                <w:b/>
                <w:bCs/>
                <w:color w:val="FFFFFF"/>
                <w:sz w:val="20"/>
                <w:szCs w:val="20"/>
              </w:rPr>
              <w:t xml:space="preserve">Month 6 Target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Monthly Organic Traffic</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50,000 - 100,000</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750,000 - 1,000,000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Google Indexed Pages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150+</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Page 1 Rankings (target KWs)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5-10 keywords</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 keywords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Featured Snippets Owned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AI Model Citations (GEO)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 / 5 tested queries</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 / 5 tested queries</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 / 5 tested queries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Referring Domains (off-site team)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Content Pages Published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44 public pages</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150+</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Average Content Depth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~600 lines/article</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800+ lines/article</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1000+ lines/article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Internal Links per Page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8-10</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12-15</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FAQPage Schema Coverage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~60% of pages</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 of pages</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 with 5+ Q&amp;As</w:t>
            </w:r>
          </w:p>
        </w:tc>
      </w:tr>
    </w:tbl>
    <w:p>
      <w:pPr>
        <w:spacing w:before="400"/>
      </w:pPr>
    </w:p>
    <w:p>
      <w:pPr>
        <w:pStyle w:val="Heading1"/>
        <w:spacing w:after="150" w:before="300"/>
      </w:pPr>
      <w:r>
        <w:rPr>
          <w:rFonts w:ascii="Arial" w:cs="Arial" w:eastAsia="Arial" w:hAnsi="Arial"/>
          <w:b/>
          <w:bCs/>
        </w:rPr>
        <w:t xml:space="preserve">8. CONCLUSION</w:t>
      </w:r>
    </w:p>
    <w:p>
      <w:pPr>
        <w:spacing w:after="120"/>
      </w:pPr>
      <w:r>
        <w:rPr>
          <w:rFonts w:ascii="Arial" w:cs="Arial" w:eastAsia="Arial" w:hAnsi="Arial"/>
          <w:sz w:val="22"/>
          <w:szCs w:val="22"/>
        </w:rPr>
        <w:t xml:space="preserve">SupraWall has executed a remarkable technical SEO transformation in 24 hours, moving from a single indexed page with broken schema to 91 deployed page components with comprehensive structured data, canonical tags, sitemap generation, and GEO-optimized llms.txt. The foundation is now solid.</w:t>
      </w:r>
    </w:p>
    <w:p>
      <w:pPr>
        <w:spacing w:after="120"/>
      </w:pPr>
      <w:r>
        <w:rPr>
          <w:rFonts w:ascii="Arial" w:cs="Arial" w:eastAsia="Arial" w:hAnsi="Arial"/>
          <w:sz w:val="22"/>
          <w:szCs w:val="22"/>
        </w:rPr>
        <w:t xml:space="preserve">The critical bottleneck is now indexation velocity and content authority. Only 4 of 91 pages are indexed by Google. The immediate priority is Google Search Console verification, sitemap submission, and manual indexing requests. In parallel, the programmatic SEO engine must scale content from 91 to 500+ pages within 6 months.</w:t>
      </w:r>
    </w:p>
    <w:p>
      <w:pPr>
        <w:spacing w:after="120"/>
      </w:pPr>
      <w:r>
        <w:rPr>
          <w:rFonts w:ascii="Arial" w:cs="Arial" w:eastAsia="Arial" w:hAnsi="Arial"/>
          <w:sz w:val="22"/>
          <w:szCs w:val="22"/>
        </w:rPr>
        <w:t xml:space="preserve">The EU AI Act content moat is the single biggest competitive advantage. With the August 2026 enforcement deadline creating a massive spike in search demand, SupraWall must own this conversation in both traditional search and AI-generated answers before competitors recognize the opportunity.</w:t>
      </w:r>
    </w:p>
    <w:p>
      <w:pPr>
        <w:spacing w:after="120"/>
      </w:pPr>
      <w:r>
        <w:rPr>
          <w:rFonts w:ascii="Arial" w:cs="Arial" w:eastAsia="Arial" w:hAnsi="Arial"/>
          <w:b/>
          <w:bCs/>
          <w:sz w:val="22"/>
          <w:szCs w:val="22"/>
        </w:rPr>
        <w:t xml:space="preserve">Next review: Monday, March 23, 2026 (Weekly SEO Planning - automated task).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SupraWall SEO/GEO Baseline Evaluation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D9F6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2026-03-20T10:02:25.971Z</dcterms:created>
  <dcterms:modified xsi:type="dcterms:W3CDTF">2026-03-20T10:02:25.972Z</dcterms:modified>
</cp:coreProperties>
</file>

<file path=docProps/custom.xml><?xml version="1.0" encoding="utf-8"?>
<Properties xmlns="http://schemas.openxmlformats.org/officeDocument/2006/custom-properties" xmlns:vt="http://schemas.openxmlformats.org/officeDocument/2006/docPropsVTypes"/>
</file>