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jpeg" ContentType="image/jpeg"/>
  <Override PartName="/word/media/image2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Style23"/>
        <w:jc w:val="center"/>
        <w:rPr/>
      </w:pPr>
      <w:r>
        <w:rPr>
          <w:rFonts w:ascii="Times New Roman" w:hAnsi="Times New Roman" w:cs="Times New Roman" w:eastAsia="黑体"/>
          <w:sz w:val="32"/>
        </w:rPr>
        <w:t>区块链课程实训项目</w:t>
      </w:r>
    </w:p>
    <w:p>
      <w:pPr>
        <w:pStyle w:val="Style22"/>
        <w:spacing w:before="280" w:after="280"/>
        <w:jc w:val="center"/>
        <w:rPr/>
      </w:pPr>
      <w:r>
        <w:rPr>
          <w:rFonts w:ascii="Times New Roman" w:hAnsi="Times New Roman" w:cs="Times New Roman" w:eastAsia="黑体"/>
          <w:b/>
          <w:sz w:val="60"/>
        </w:rPr>
        <w:t>汽车资产钱包平台</w:t>
      </w:r>
    </w:p>
    <w:p>
      <w:pPr>
        <w:pStyle w:val="Style22"/>
        <w:spacing w:before="280" w:after="280"/>
        <w:jc w:val="center"/>
        <w:rPr/>
      </w:pPr>
      <w:r>
        <w:rPr>
          <w:rFonts w:ascii="Times New Roman" w:hAnsi="Times New Roman" w:cs="Times New Roman" w:eastAsia="黑体"/>
          <w:b/>
          <w:sz w:val="52"/>
        </w:rPr>
        <w:t>需求规格说明书</w:t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jc w:val="center"/>
        <w:rPr/>
      </w:pPr>
      <w:r>
        <w:rPr>
          <w:rFonts w:ascii="Times New Roman" w:hAnsi="Times New Roman" w:cs="Times New Roman" w:eastAsia="宋体"/>
          <w:sz w:val="28"/>
        </w:rPr>
        <w:t>（</w:t>
      </w:r>
      <w:r>
        <w:rPr>
          <w:rFonts w:eastAsia="宋体" w:cs="Times New Roman"/>
          <w:sz w:val="28"/>
        </w:rPr>
        <w:t>Version 1.0</w:t>
      </w:r>
      <w:r>
        <w:rPr>
          <w:rFonts w:ascii="Times New Roman" w:hAnsi="Times New Roman" w:cs="Times New Roman" w:eastAsia="宋体"/>
          <w:sz w:val="28"/>
        </w:rPr>
        <w:t>）</w:t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rPr/>
      </w:pPr>
      <w:r>
        <w:rPr/>
      </w:r>
    </w:p>
    <w:p>
      <w:pPr>
        <w:pStyle w:val="Normal"/>
        <w:spacing w:before="280" w:after="200"/>
        <w:jc w:val="center"/>
        <w:rPr/>
      </w:pPr>
      <w:r>
        <w:rPr>
          <w:rFonts w:ascii="Times New Roman" w:hAnsi="Times New Roman" w:cs="Times New Roman"/>
          <w:sz w:val="28"/>
        </w:rPr>
        <w:t>编制人：</w:t>
      </w:r>
      <w:r>
        <w:rPr>
          <w:rFonts w:ascii="Times New Roman" w:hAnsi="Times New Roman" w:cs="Times New Roman"/>
          <w:sz w:val="28"/>
        </w:rPr>
        <w:t>苏渝婷、粟燕妮、</w:t>
      </w:r>
      <w:r>
        <w:rPr>
          <w:rFonts w:ascii="Times New Roman" w:hAnsi="Times New Roman" w:cs="Times New Roman"/>
          <w:sz w:val="28"/>
        </w:rPr>
        <w:t>王钐骅</w:t>
      </w:r>
      <w:r>
        <w:rPr>
          <w:rFonts w:ascii="Times New Roman" w:hAnsi="Times New Roman" w:cs="Times New Roman"/>
          <w:sz w:val="28"/>
        </w:rPr>
        <w:t>、吴利红</w:t>
      </w:r>
    </w:p>
    <w:p>
      <w:pPr>
        <w:pStyle w:val="Normal"/>
        <w:spacing w:before="280" w:after="200"/>
        <w:jc w:val="center"/>
        <w:rPr/>
      </w:pPr>
      <w:r>
        <w:rPr>
          <w:rFonts w:ascii="Times New Roman" w:hAnsi="Times New Roman" w:cs="Times New Roman"/>
          <w:sz w:val="28"/>
        </w:rPr>
        <w:t>编制日期：</w:t>
      </w:r>
      <w:r>
        <w:rPr>
          <w:rFonts w:eastAsia="仿宋" w:cs="Times New Roman"/>
          <w:sz w:val="28"/>
        </w:rPr>
        <w:t>2026</w:t>
      </w:r>
      <w:r>
        <w:rPr>
          <w:rFonts w:ascii="Times New Roman" w:hAnsi="Times New Roman" w:cs="Times New Roman"/>
          <w:sz w:val="28"/>
        </w:rPr>
        <w:t>年</w:t>
      </w:r>
      <w:r>
        <w:rPr>
          <w:rFonts w:eastAsia="仿宋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月</w:t>
      </w:r>
      <w:r>
        <w:rPr>
          <w:rFonts w:eastAsia="仿宋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t>日</w:t>
      </w:r>
    </w:p>
    <w:p>
      <w:pPr>
        <w:pStyle w:val="Normal"/>
        <w:spacing w:before="280" w:after="200"/>
        <w:rPr/>
      </w:pPr>
      <w:r>
        <w:rPr/>
      </w:r>
      <w:r>
        <w:br w:type="page"/>
      </w:r>
    </w:p>
    <w:p>
      <w:pPr>
        <w:pStyle w:val="Style22"/>
        <w:spacing w:before="0" w:after="200"/>
        <w:jc w:val="center"/>
        <w:rPr/>
      </w:pPr>
      <w:r>
        <w:rPr>
          <w:rFonts w:ascii="Times New Roman" w:hAnsi="Times New Roman" w:cs="Times New Roman" w:eastAsia="黑体"/>
          <w:b/>
          <w:sz w:val="36"/>
        </w:rPr>
        <w:t>文档修订记录</w:t>
      </w:r>
    </w:p>
    <w:tbl>
      <w:tblPr>
        <w:tblW w:w="83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18"/>
        <w:gridCol w:w="1474"/>
        <w:gridCol w:w="1134"/>
        <w:gridCol w:w="4195"/>
        <w:gridCol w:w="485"/>
      </w:tblGrid>
      <w:tr>
        <w:trPr/>
        <w:tc>
          <w:tcPr>
            <w:tcW w:w="101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版本号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修订日期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修订人</w:t>
            </w:r>
          </w:p>
        </w:tc>
        <w:tc>
          <w:tcPr>
            <w:tcW w:w="4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修订说明</w:t>
            </w:r>
          </w:p>
        </w:tc>
        <w:tc>
          <w:tcPr>
            <w:tcW w:w="4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审核人</w:t>
            </w:r>
          </w:p>
        </w:tc>
      </w:tr>
      <w:tr>
        <w:trPr/>
        <w:tc>
          <w:tcPr>
            <w:tcW w:w="101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V0.1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2026-09-25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全组成员</w:t>
            </w:r>
          </w:p>
        </w:tc>
        <w:tc>
          <w:tcPr>
            <w:tcW w:w="4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初稿：梳理需求与角色清单，形成需求框架</w:t>
            </w:r>
          </w:p>
        </w:tc>
        <w:tc>
          <w:tcPr>
            <w:tcW w:w="4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——</w:t>
            </w:r>
          </w:p>
        </w:tc>
      </w:tr>
      <w:tr>
        <w:trPr/>
        <w:tc>
          <w:tcPr>
            <w:tcW w:w="101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V0.9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2026-10-7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全组成员</w:t>
            </w:r>
          </w:p>
        </w:tc>
        <w:tc>
          <w:tcPr>
            <w:tcW w:w="4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补充功能需求、上链数据决策与非功能需求</w:t>
            </w:r>
          </w:p>
        </w:tc>
        <w:tc>
          <w:tcPr>
            <w:tcW w:w="4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——</w:t>
            </w:r>
          </w:p>
        </w:tc>
      </w:tr>
      <w:tr>
        <w:trPr/>
        <w:tc>
          <w:tcPr>
            <w:tcW w:w="101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V1.0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2026-10-20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全组成员</w:t>
            </w:r>
          </w:p>
        </w:tc>
        <w:tc>
          <w:tcPr>
            <w:tcW w:w="4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修正矛盾点；新增验收用例与碳排放附录后定稿</w:t>
            </w:r>
          </w:p>
        </w:tc>
        <w:tc>
          <w:tcPr>
            <w:tcW w:w="4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——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8"/>
        <w:ind w:firstLine="480"/>
        <w:rPr/>
      </w:pPr>
      <w:r>
        <w:rPr>
          <w:rFonts w:ascii="Times New Roman" w:hAnsi="Times New Roman" w:cs="Times New Roman" w:eastAsia="楷体"/>
          <w:sz w:val="21"/>
        </w:rPr>
        <w:t xml:space="preserve">说明：本说明书用于课程实训与后续智能合约开发，所有链上操作仅面向测试网 </w:t>
      </w:r>
      <w:r>
        <w:rPr>
          <w:rFonts w:eastAsia="楷体" w:cs="Times New Roman" w:ascii="Times New Roman" w:hAnsi="Times New Roman"/>
          <w:sz w:val="21"/>
        </w:rPr>
        <w:t xml:space="preserve">/ </w:t>
      </w:r>
      <w:r>
        <w:rPr>
          <w:rFonts w:ascii="Times New Roman" w:hAnsi="Times New Roman" w:cs="Times New Roman" w:eastAsia="楷体"/>
          <w:sz w:val="21"/>
        </w:rPr>
        <w:t>教学环境，不涉及真实资产处置与虚拟货币发行。</w:t>
      </w:r>
    </w:p>
    <w:p>
      <w:pPr>
        <w:pStyle w:val="Normal"/>
        <w:spacing w:before="280" w:after="200"/>
        <w:rPr/>
      </w:pPr>
      <w:r>
        <w:rPr/>
      </w:r>
      <w:r>
        <w:br w:type="page"/>
      </w:r>
    </w:p>
    <w:p>
      <w:pPr>
        <w:pStyle w:val="Style22"/>
        <w:spacing w:before="0" w:after="200"/>
        <w:jc w:val="center"/>
        <w:rPr/>
      </w:pPr>
      <w:r>
        <w:rPr>
          <w:rFonts w:ascii="Times New Roman" w:hAnsi="Times New Roman" w:cs="Times New Roman" w:eastAsia="黑体"/>
          <w:b/>
          <w:sz w:val="36"/>
        </w:rPr>
        <w:t>目  录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1  </w:t>
      </w:r>
      <w:r>
        <w:rPr>
          <w:rFonts w:ascii="Times New Roman" w:hAnsi="Times New Roman" w:cs="Times New Roman" w:eastAsia="黑体"/>
          <w:b/>
          <w:sz w:val="24"/>
        </w:rPr>
        <w:t>引言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1.1  </w:t>
      </w:r>
      <w:r>
        <w:rPr>
          <w:rFonts w:ascii="Times New Roman" w:hAnsi="Times New Roman" w:cs="Times New Roman" w:eastAsia="宋体"/>
          <w:sz w:val="22"/>
        </w:rPr>
        <w:t>编写目的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1.2  </w:t>
      </w:r>
      <w:r>
        <w:rPr>
          <w:rFonts w:ascii="Times New Roman" w:hAnsi="Times New Roman" w:cs="Times New Roman" w:eastAsia="宋体"/>
          <w:sz w:val="22"/>
        </w:rPr>
        <w:t>项目背景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1.3  </w:t>
      </w:r>
      <w:r>
        <w:rPr>
          <w:rFonts w:ascii="Times New Roman" w:hAnsi="Times New Roman" w:cs="Times New Roman" w:eastAsia="宋体"/>
          <w:sz w:val="22"/>
        </w:rPr>
        <w:t>术语与缩略语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1.4  </w:t>
      </w:r>
      <w:r>
        <w:rPr>
          <w:rFonts w:ascii="Times New Roman" w:hAnsi="Times New Roman" w:cs="Times New Roman" w:eastAsia="宋体"/>
          <w:sz w:val="22"/>
        </w:rPr>
        <w:t>参考资料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2  </w:t>
      </w:r>
      <w:r>
        <w:rPr>
          <w:rFonts w:ascii="Times New Roman" w:hAnsi="Times New Roman" w:cs="Times New Roman" w:eastAsia="黑体"/>
          <w:b/>
          <w:sz w:val="24"/>
        </w:rPr>
        <w:t>项目概述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2.1  </w:t>
      </w:r>
      <w:r>
        <w:rPr>
          <w:rFonts w:ascii="Times New Roman" w:hAnsi="Times New Roman" w:cs="Times New Roman" w:eastAsia="宋体"/>
          <w:sz w:val="22"/>
        </w:rPr>
        <w:t>一句话定位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2.2  </w:t>
      </w:r>
      <w:r>
        <w:rPr>
          <w:rFonts w:ascii="Times New Roman" w:hAnsi="Times New Roman" w:cs="Times New Roman" w:eastAsia="宋体"/>
          <w:sz w:val="22"/>
        </w:rPr>
        <w:t>为谁做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2.3  </w:t>
      </w:r>
      <w:r>
        <w:rPr>
          <w:rFonts w:ascii="Times New Roman" w:hAnsi="Times New Roman" w:cs="Times New Roman" w:eastAsia="宋体"/>
          <w:sz w:val="22"/>
        </w:rPr>
        <w:t>解决什么痛点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3  </w:t>
      </w:r>
      <w:r>
        <w:rPr>
          <w:rFonts w:ascii="Times New Roman" w:hAnsi="Times New Roman" w:cs="Times New Roman" w:eastAsia="黑体"/>
          <w:b/>
          <w:sz w:val="24"/>
        </w:rPr>
        <w:t>角色与利益相关方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3.1  </w:t>
      </w:r>
      <w:r>
        <w:rPr>
          <w:rFonts w:ascii="Times New Roman" w:hAnsi="Times New Roman" w:cs="Times New Roman" w:eastAsia="宋体"/>
          <w:sz w:val="22"/>
        </w:rPr>
        <w:t>角色总览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3.2  </w:t>
      </w:r>
      <w:r>
        <w:rPr>
          <w:rFonts w:ascii="Times New Roman" w:hAnsi="Times New Roman" w:cs="Times New Roman" w:eastAsia="宋体"/>
          <w:sz w:val="22"/>
        </w:rPr>
        <w:t>权限关系矩阵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4  </w:t>
      </w:r>
      <w:r>
        <w:rPr>
          <w:rFonts w:ascii="Times New Roman" w:hAnsi="Times New Roman" w:cs="Times New Roman" w:eastAsia="黑体"/>
          <w:b/>
          <w:sz w:val="24"/>
        </w:rPr>
        <w:t>功能需求列表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4.1  FR1 </w:t>
      </w:r>
      <w:r>
        <w:rPr>
          <w:rFonts w:ascii="Times New Roman" w:hAnsi="Times New Roman" w:cs="Times New Roman" w:eastAsia="宋体"/>
          <w:sz w:val="22"/>
        </w:rPr>
        <w:t>车辆上链登记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4.2  FR2 </w:t>
      </w:r>
      <w:r>
        <w:rPr>
          <w:rFonts w:ascii="Times New Roman" w:hAnsi="Times New Roman" w:cs="Times New Roman" w:eastAsia="宋体"/>
          <w:sz w:val="22"/>
        </w:rPr>
        <w:t>钱包与资产归属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4.3  FR3 </w:t>
      </w:r>
      <w:r>
        <w:rPr>
          <w:rFonts w:ascii="Times New Roman" w:hAnsi="Times New Roman" w:cs="Times New Roman" w:eastAsia="宋体"/>
          <w:sz w:val="22"/>
        </w:rPr>
        <w:t xml:space="preserve">资产流转（过户 </w:t>
      </w:r>
      <w:r>
        <w:rPr>
          <w:rFonts w:eastAsia="宋体" w:cs="Times New Roman"/>
          <w:sz w:val="22"/>
        </w:rPr>
        <w:t xml:space="preserve">/ </w:t>
      </w:r>
      <w:r>
        <w:rPr>
          <w:rFonts w:ascii="Times New Roman" w:hAnsi="Times New Roman" w:cs="Times New Roman" w:eastAsia="宋体"/>
          <w:sz w:val="22"/>
        </w:rPr>
        <w:t xml:space="preserve">抵押 </w:t>
      </w:r>
      <w:r>
        <w:rPr>
          <w:rFonts w:eastAsia="宋体" w:cs="Times New Roman"/>
          <w:sz w:val="22"/>
        </w:rPr>
        <w:t xml:space="preserve">/ </w:t>
      </w:r>
      <w:r>
        <w:rPr>
          <w:rFonts w:ascii="Times New Roman" w:hAnsi="Times New Roman" w:cs="Times New Roman" w:eastAsia="宋体"/>
          <w:sz w:val="22"/>
        </w:rPr>
        <w:t>解押）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4.4  FR4 </w:t>
      </w:r>
      <w:r>
        <w:rPr>
          <w:rFonts w:ascii="Times New Roman" w:hAnsi="Times New Roman" w:cs="Times New Roman" w:eastAsia="宋体"/>
          <w:sz w:val="22"/>
        </w:rPr>
        <w:t>维保与车况存证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4.5  FR5 </w:t>
      </w:r>
      <w:r>
        <w:rPr>
          <w:rFonts w:ascii="Times New Roman" w:hAnsi="Times New Roman" w:cs="Times New Roman" w:eastAsia="宋体"/>
          <w:sz w:val="22"/>
        </w:rPr>
        <w:t>收益分配（运营车辆）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4.6  FR6 </w:t>
      </w:r>
      <w:r>
        <w:rPr>
          <w:rFonts w:ascii="Times New Roman" w:hAnsi="Times New Roman" w:cs="Times New Roman" w:eastAsia="宋体"/>
          <w:sz w:val="22"/>
        </w:rPr>
        <w:t>查询与审计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5  </w:t>
      </w:r>
      <w:r>
        <w:rPr>
          <w:rFonts w:ascii="Times New Roman" w:hAnsi="Times New Roman" w:cs="Times New Roman" w:eastAsia="黑体"/>
          <w:b/>
          <w:sz w:val="24"/>
        </w:rPr>
        <w:t>上链数据决策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5.1  </w:t>
      </w:r>
      <w:r>
        <w:rPr>
          <w:rFonts w:ascii="Times New Roman" w:hAnsi="Times New Roman" w:cs="Times New Roman" w:eastAsia="宋体"/>
          <w:sz w:val="22"/>
        </w:rPr>
        <w:t xml:space="preserve">上链 </w:t>
      </w:r>
      <w:r>
        <w:rPr>
          <w:rFonts w:eastAsia="宋体" w:cs="Times New Roman"/>
          <w:sz w:val="22"/>
        </w:rPr>
        <w:t xml:space="preserve">/ </w:t>
      </w:r>
      <w:r>
        <w:rPr>
          <w:rFonts w:ascii="Times New Roman" w:hAnsi="Times New Roman" w:cs="Times New Roman" w:eastAsia="宋体"/>
          <w:sz w:val="22"/>
        </w:rPr>
        <w:t>不上链策略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5.2  </w:t>
      </w:r>
      <w:r>
        <w:rPr>
          <w:rFonts w:ascii="Times New Roman" w:hAnsi="Times New Roman" w:cs="Times New Roman" w:eastAsia="宋体"/>
          <w:sz w:val="22"/>
        </w:rPr>
        <w:t>三条决策原则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6  </w:t>
      </w:r>
      <w:r>
        <w:rPr>
          <w:rFonts w:ascii="Times New Roman" w:hAnsi="Times New Roman" w:cs="Times New Roman" w:eastAsia="黑体"/>
          <w:b/>
          <w:sz w:val="24"/>
        </w:rPr>
        <w:t>非功能需求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6.1  </w:t>
      </w:r>
      <w:r>
        <w:rPr>
          <w:rFonts w:ascii="Times New Roman" w:hAnsi="Times New Roman" w:cs="Times New Roman" w:eastAsia="宋体"/>
          <w:sz w:val="22"/>
        </w:rPr>
        <w:t>安全性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6.2  </w:t>
      </w:r>
      <w:r>
        <w:rPr>
          <w:rFonts w:ascii="Times New Roman" w:hAnsi="Times New Roman" w:cs="Times New Roman" w:eastAsia="宋体"/>
          <w:sz w:val="22"/>
        </w:rPr>
        <w:t>性能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6.3  </w:t>
      </w:r>
      <w:r>
        <w:rPr>
          <w:rFonts w:ascii="Times New Roman" w:hAnsi="Times New Roman" w:cs="Times New Roman" w:eastAsia="宋体"/>
          <w:sz w:val="22"/>
        </w:rPr>
        <w:t>合规性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7  </w:t>
      </w:r>
      <w:r>
        <w:rPr>
          <w:rFonts w:ascii="Times New Roman" w:hAnsi="Times New Roman" w:cs="Times New Roman" w:eastAsia="黑体"/>
          <w:b/>
          <w:sz w:val="24"/>
        </w:rPr>
        <w:t>已修正的需求矛盾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8  </w:t>
      </w:r>
      <w:r>
        <w:rPr>
          <w:rFonts w:ascii="Times New Roman" w:hAnsi="Times New Roman" w:cs="Times New Roman" w:eastAsia="黑体"/>
          <w:b/>
          <w:sz w:val="24"/>
        </w:rPr>
        <w:t>业务流程与合约架构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8.1  </w:t>
      </w:r>
      <w:r>
        <w:rPr>
          <w:rFonts w:ascii="Times New Roman" w:hAnsi="Times New Roman" w:cs="Times New Roman" w:eastAsia="宋体"/>
          <w:sz w:val="22"/>
        </w:rPr>
        <w:t>用四问法定义主业务流程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8.2  </w:t>
      </w:r>
      <w:r>
        <w:rPr>
          <w:rFonts w:ascii="Times New Roman" w:hAnsi="Times New Roman" w:cs="Times New Roman" w:eastAsia="宋体"/>
          <w:sz w:val="22"/>
        </w:rPr>
        <w:t>合约架构（职责与调用关系）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9  </w:t>
      </w:r>
      <w:r>
        <w:rPr>
          <w:rFonts w:ascii="Times New Roman" w:hAnsi="Times New Roman" w:cs="Times New Roman" w:eastAsia="黑体"/>
          <w:b/>
          <w:sz w:val="24"/>
        </w:rPr>
        <w:t>开发计划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9.1  </w:t>
      </w:r>
      <w:r>
        <w:rPr>
          <w:rFonts w:ascii="Times New Roman" w:hAnsi="Times New Roman" w:cs="Times New Roman" w:eastAsia="宋体"/>
          <w:sz w:val="22"/>
        </w:rPr>
        <w:t>下一步要写的合约清单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9.2  </w:t>
      </w:r>
      <w:r>
        <w:rPr>
          <w:rFonts w:ascii="Times New Roman" w:hAnsi="Times New Roman" w:cs="Times New Roman" w:eastAsia="宋体"/>
          <w:sz w:val="22"/>
        </w:rPr>
        <w:t>排期与验收标准</w:t>
      </w:r>
    </w:p>
    <w:p>
      <w:pPr>
        <w:pStyle w:val="Normal"/>
        <w:spacing w:before="40" w:after="40"/>
        <w:ind w:left="120"/>
        <w:rPr/>
      </w:pPr>
      <w:r>
        <w:rPr>
          <w:rFonts w:eastAsia="黑体" w:cs="Times New Roman"/>
          <w:b/>
          <w:sz w:val="24"/>
        </w:rPr>
        <w:t xml:space="preserve">10  </w:t>
      </w:r>
      <w:r>
        <w:rPr>
          <w:rFonts w:ascii="Times New Roman" w:hAnsi="Times New Roman" w:cs="Times New Roman" w:eastAsia="黑体"/>
          <w:b/>
          <w:sz w:val="24"/>
        </w:rPr>
        <w:t>验收用例</w:t>
      </w:r>
    </w:p>
    <w:p>
      <w:pPr>
        <w:pStyle w:val="Normal"/>
        <w:spacing w:before="40" w:after="40"/>
        <w:ind w:left="120"/>
        <w:rPr/>
      </w:pPr>
      <w:r>
        <w:rPr>
          <w:rFonts w:ascii="Times New Roman" w:hAnsi="Times New Roman" w:cs="Times New Roman" w:eastAsia="黑体"/>
          <w:b/>
          <w:sz w:val="24"/>
        </w:rPr>
        <w:t xml:space="preserve">附录 </w:t>
      </w:r>
      <w:r>
        <w:rPr>
          <w:rFonts w:eastAsia="黑体" w:cs="Times New Roman"/>
          <w:b/>
          <w:sz w:val="24"/>
        </w:rPr>
        <w:t xml:space="preserve">A  </w:t>
      </w:r>
      <w:r>
        <w:rPr>
          <w:rFonts w:ascii="Times New Roman" w:hAnsi="Times New Roman" w:cs="Times New Roman" w:eastAsia="黑体"/>
          <w:b/>
          <w:sz w:val="24"/>
        </w:rPr>
        <w:t>碳排放的定义与量化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A.1  </w:t>
      </w:r>
      <w:r>
        <w:rPr>
          <w:rFonts w:ascii="Times New Roman" w:hAnsi="Times New Roman" w:cs="Times New Roman" w:eastAsia="宋体"/>
          <w:sz w:val="22"/>
        </w:rPr>
        <w:t>核心概念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A.2  </w:t>
      </w:r>
      <w:r>
        <w:rPr>
          <w:rFonts w:ascii="Times New Roman" w:hAnsi="Times New Roman" w:cs="Times New Roman" w:eastAsia="宋体"/>
          <w:sz w:val="22"/>
        </w:rPr>
        <w:t>常见温室气体全球增温潜势</w:t>
      </w:r>
      <w:r>
        <w:rPr>
          <w:rFonts w:eastAsia="宋体" w:cs="Times New Roman"/>
          <w:sz w:val="22"/>
        </w:rPr>
        <w:t>(GWP,100</w:t>
      </w:r>
      <w:r>
        <w:rPr>
          <w:rFonts w:ascii="Times New Roman" w:hAnsi="Times New Roman" w:cs="Times New Roman" w:eastAsia="宋体"/>
          <w:sz w:val="22"/>
        </w:rPr>
        <w:t>年</w:t>
      </w:r>
      <w:r>
        <w:rPr>
          <w:rFonts w:eastAsia="宋体" w:cs="Times New Roman"/>
          <w:sz w:val="22"/>
        </w:rPr>
        <w:t>)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A.3  </w:t>
      </w:r>
      <w:r>
        <w:rPr>
          <w:rFonts w:ascii="Times New Roman" w:hAnsi="Times New Roman" w:cs="Times New Roman" w:eastAsia="宋体"/>
          <w:sz w:val="22"/>
        </w:rPr>
        <w:t>碳排放量的计算方法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A.4  </w:t>
      </w:r>
      <w:r>
        <w:rPr>
          <w:rFonts w:ascii="Times New Roman" w:hAnsi="Times New Roman" w:cs="Times New Roman" w:eastAsia="宋体"/>
          <w:sz w:val="22"/>
        </w:rPr>
        <w:t>不同车型单位里程碳排放参考值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A.5  </w:t>
      </w:r>
      <w:r>
        <w:rPr>
          <w:rFonts w:ascii="Times New Roman" w:hAnsi="Times New Roman" w:cs="Times New Roman" w:eastAsia="宋体"/>
          <w:sz w:val="22"/>
        </w:rPr>
        <w:t>减排效果与碳减排量计算</w:t>
      </w:r>
    </w:p>
    <w:p>
      <w:pPr>
        <w:pStyle w:val="Normal"/>
        <w:spacing w:before="40" w:after="40"/>
        <w:ind w:left="480"/>
        <w:rPr/>
      </w:pPr>
      <w:r>
        <w:rPr>
          <w:rFonts w:eastAsia="宋体" w:cs="Times New Roman"/>
          <w:sz w:val="22"/>
        </w:rPr>
        <w:t xml:space="preserve">A.6  </w:t>
      </w:r>
      <w:r>
        <w:rPr>
          <w:rFonts w:ascii="Times New Roman" w:hAnsi="Times New Roman" w:cs="Times New Roman" w:eastAsia="宋体"/>
          <w:sz w:val="22"/>
        </w:rPr>
        <w:t>碳积分换算</w:t>
      </w:r>
    </w:p>
    <w:p>
      <w:pPr>
        <w:pStyle w:val="Normal"/>
        <w:spacing w:before="280" w:after="200"/>
        <w:rPr/>
      </w:pPr>
      <w:r>
        <w:rPr/>
      </w:r>
      <w:r>
        <w:br w:type="page"/>
      </w:r>
    </w:p>
    <w:p>
      <w:pPr>
        <w:pStyle w:val="Style24"/>
        <w:spacing w:before="0" w:after="120"/>
        <w:rPr/>
      </w:pPr>
      <w:r>
        <w:rPr>
          <w:rFonts w:eastAsia="黑体" w:cs="Times New Roman" w:ascii="Times New Roman" w:hAnsi="Times New Roman"/>
          <w:b/>
          <w:sz w:val="30"/>
        </w:rPr>
        <w:t xml:space="preserve">1  </w:t>
      </w:r>
      <w:r>
        <w:rPr>
          <w:rFonts w:ascii="Times New Roman" w:hAnsi="Times New Roman" w:cs="Times New Roman" w:eastAsia="黑体"/>
          <w:b/>
          <w:sz w:val="30"/>
        </w:rPr>
        <w:t>引言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1.1  </w:t>
      </w:r>
      <w:r>
        <w:rPr>
          <w:rFonts w:ascii="Times New Roman" w:hAnsi="Times New Roman" w:cs="Times New Roman" w:eastAsia="黑体"/>
          <w:b/>
          <w:sz w:val="26"/>
        </w:rPr>
        <w:t>编写目的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本文档面向课程开发团队、评审教师与后续智能合约实现人员，明确“汽车资产钱包平台”的功能边界、角色权限、上链数据策略、非功能约束与验收标准，作为需求基线与开发、测试、验收的统一依据，避免开发过程中出现理解偏差与功能矛盾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1.2  </w:t>
      </w:r>
      <w:r>
        <w:rPr>
          <w:rFonts w:ascii="Times New Roman" w:hAnsi="Times New Roman" w:cs="Times New Roman" w:eastAsia="黑体"/>
          <w:b/>
          <w:sz w:val="26"/>
        </w:rPr>
        <w:t>项目背景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传统汽车资产（车辆权证、行驶里程、维保记录、保险理赔、运营收益等）信息分散在 </w:t>
      </w:r>
      <w:r>
        <w:rPr>
          <w:rFonts w:eastAsia="宋体" w:cs="Times New Roman" w:ascii="Times New Roman" w:hAnsi="Times New Roman"/>
          <w:sz w:val="24"/>
        </w:rPr>
        <w:t xml:space="preserve">4S </w:t>
      </w:r>
      <w:r>
        <w:rPr>
          <w:rFonts w:ascii="Times New Roman" w:hAnsi="Times New Roman" w:cs="Times New Roman"/>
          <w:sz w:val="24"/>
        </w:rPr>
        <w:t>店、维保厂、保险公司、平台运营方等多个主体，存在信息不透明、记录易篡改、多方对账困难、资产流转缺乏可信凭证等问题。区块链的不可篡改、可追溯与多方共识特性，恰好契合汽车资产全生命周期存证与可信流转的需求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1.3  </w:t>
      </w:r>
      <w:r>
        <w:rPr>
          <w:rFonts w:ascii="Times New Roman" w:hAnsi="Times New Roman" w:cs="Times New Roman" w:eastAsia="黑体"/>
          <w:b/>
          <w:sz w:val="26"/>
        </w:rPr>
        <w:t>术语与缩略语</w:t>
      </w:r>
    </w:p>
    <w:tbl>
      <w:tblPr>
        <w:tblW w:w="83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982"/>
        <w:gridCol w:w="6323"/>
      </w:tblGrid>
      <w:tr>
        <w:trPr/>
        <w:tc>
          <w:tcPr>
            <w:tcW w:w="1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w="63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含义</w:t>
            </w:r>
          </w:p>
        </w:tc>
      </w:tr>
      <w:tr>
        <w:trPr/>
        <w:tc>
          <w:tcPr>
            <w:tcW w:w="1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VIN</w:t>
            </w:r>
          </w:p>
        </w:tc>
        <w:tc>
          <w:tcPr>
            <w:tcW w:w="63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车辆识别代号（车架号），全球唯一，作为链上资产的关联主键</w:t>
            </w:r>
          </w:p>
        </w:tc>
      </w:tr>
      <w:tr>
        <w:trPr/>
        <w:tc>
          <w:tcPr>
            <w:tcW w:w="1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链上存证</w:t>
            </w:r>
          </w:p>
        </w:tc>
        <w:tc>
          <w:tcPr>
            <w:tcW w:w="63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将业务数据的哈希值（摘要）写入区块链，用于证明“数据在某时刻存在且未被篡改”</w:t>
            </w:r>
          </w:p>
        </w:tc>
      </w:tr>
      <w:tr>
        <w:trPr/>
        <w:tc>
          <w:tcPr>
            <w:tcW w:w="1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哈希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摘要</w:t>
            </w:r>
          </w:p>
        </w:tc>
        <w:tc>
          <w:tcPr>
            <w:tcW w:w="63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对原始数据做单向散列得到的固定长度指纹，原文改变则指纹必然改变</w:t>
            </w:r>
          </w:p>
        </w:tc>
      </w:tr>
      <w:tr>
        <w:trPr/>
        <w:tc>
          <w:tcPr>
            <w:tcW w:w="1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数字资产</w:t>
            </w:r>
          </w:p>
        </w:tc>
        <w:tc>
          <w:tcPr>
            <w:tcW w:w="63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车辆在链上对应的权证、记录与权益的数字化表达</w:t>
            </w:r>
          </w:p>
        </w:tc>
      </w:tr>
      <w:tr>
        <w:trPr/>
        <w:tc>
          <w:tcPr>
            <w:tcW w:w="1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智能合约</w:t>
            </w:r>
          </w:p>
        </w:tc>
        <w:tc>
          <w:tcPr>
            <w:tcW w:w="63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部署在链上、按预定规则自动执行的程序</w:t>
            </w:r>
          </w:p>
        </w:tc>
      </w:tr>
      <w:tr>
        <w:trPr/>
        <w:tc>
          <w:tcPr>
            <w:tcW w:w="1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测试网</w:t>
            </w:r>
          </w:p>
        </w:tc>
        <w:tc>
          <w:tcPr>
            <w:tcW w:w="63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仅用于教学与开发验证的隔离区块链网络，不发行、不交易真实代币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1.4  </w:t>
      </w:r>
      <w:r>
        <w:rPr>
          <w:rFonts w:ascii="Times New Roman" w:hAnsi="Times New Roman" w:cs="Times New Roman" w:eastAsia="黑体"/>
          <w:b/>
          <w:sz w:val="26"/>
        </w:rPr>
        <w:t>参考资料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《汽车碳足迹管理与碳资产交易平台需求规格说明书》、《项目设计文档 </w:t>
      </w:r>
      <w:r>
        <w:rPr>
          <w:rFonts w:eastAsia="宋体" w:cs="Times New Roman" w:ascii="Times New Roman" w:hAnsi="Times New Roman"/>
          <w:sz w:val="24"/>
        </w:rPr>
        <w:t>V1.3</w:t>
      </w:r>
      <w:r>
        <w:rPr>
          <w:rFonts w:ascii="Times New Roman" w:hAnsi="Times New Roman" w:cs="Times New Roman"/>
          <w:sz w:val="24"/>
        </w:rPr>
        <w:t>》、</w:t>
      </w:r>
      <w:r>
        <w:rPr>
          <w:rFonts w:eastAsia="宋体" w:cs="Times New Roman" w:ascii="Times New Roman" w:hAnsi="Times New Roman"/>
          <w:sz w:val="24"/>
        </w:rPr>
        <w:t xml:space="preserve">Hyperledger Fabric / </w:t>
      </w:r>
      <w:r>
        <w:rPr>
          <w:rFonts w:ascii="Times New Roman" w:hAnsi="Times New Roman" w:cs="Times New Roman"/>
          <w:sz w:val="24"/>
        </w:rPr>
        <w:t>以太坊智能合约官方文档、本课程实训任务书。</w:t>
      </w:r>
    </w:p>
    <w:p>
      <w:pPr>
        <w:pStyle w:val="Style24"/>
        <w:spacing w:before="200" w:after="120"/>
        <w:rPr/>
      </w:pPr>
      <w:r>
        <w:rPr>
          <w:rFonts w:eastAsia="黑体" w:cs="Times New Roman" w:ascii="Times New Roman" w:hAnsi="Times New Roman"/>
          <w:b/>
          <w:sz w:val="30"/>
        </w:rPr>
        <w:t xml:space="preserve">2  </w:t>
      </w:r>
      <w:r>
        <w:rPr>
          <w:rFonts w:ascii="Times New Roman" w:hAnsi="Times New Roman" w:cs="Times New Roman" w:eastAsia="黑体"/>
          <w:b/>
          <w:sz w:val="30"/>
        </w:rPr>
        <w:t>项目概述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2.1  </w:t>
      </w:r>
      <w:r>
        <w:rPr>
          <w:rFonts w:ascii="Times New Roman" w:hAnsi="Times New Roman" w:cs="Times New Roman" w:eastAsia="黑体"/>
          <w:b/>
          <w:sz w:val="26"/>
        </w:rPr>
        <w:t>一句话定位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为车主、车商、金融机构与维保服务商提供一套基于区块链的汽车资产“上链存证 </w:t>
      </w:r>
      <w:r>
        <w:rPr>
          <w:rFonts w:eastAsia="宋体" w:cs="Times New Roman" w:ascii="Times New Roman" w:hAnsi="Times New Roman"/>
          <w:sz w:val="24"/>
        </w:rPr>
        <w:t xml:space="preserve">+ </w:t>
      </w:r>
      <w:r>
        <w:rPr>
          <w:rFonts w:ascii="Times New Roman" w:hAnsi="Times New Roman" w:cs="Times New Roman"/>
          <w:sz w:val="24"/>
        </w:rPr>
        <w:t xml:space="preserve">钱包归属 </w:t>
      </w:r>
      <w:r>
        <w:rPr>
          <w:rFonts w:eastAsia="宋体" w:cs="Times New Roman" w:ascii="Times New Roman" w:hAnsi="Times New Roman"/>
          <w:sz w:val="24"/>
        </w:rPr>
        <w:t xml:space="preserve">+ </w:t>
      </w:r>
      <w:r>
        <w:rPr>
          <w:rFonts w:ascii="Times New Roman" w:hAnsi="Times New Roman" w:cs="Times New Roman"/>
          <w:sz w:val="24"/>
        </w:rPr>
        <w:t>可信流转”平台，解决汽车资产信息不透明、易篡改、多方对账难的痛点。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2.2  </w:t>
      </w:r>
      <w:r>
        <w:rPr>
          <w:rFonts w:ascii="Times New Roman" w:hAnsi="Times New Roman" w:cs="Times New Roman" w:eastAsia="黑体"/>
          <w:b/>
          <w:sz w:val="26"/>
        </w:rPr>
        <w:t>为谁做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核心用户是车主（资产所有者）；协同方包括车商 </w:t>
      </w:r>
      <w:r>
        <w:rPr>
          <w:rFonts w:eastAsia="宋体" w:cs="Times New Roman" w:ascii="Times New Roman" w:hAnsi="Times New Roman"/>
          <w:sz w:val="24"/>
        </w:rPr>
        <w:t xml:space="preserve">/ </w:t>
      </w:r>
      <w:r>
        <w:rPr>
          <w:rFonts w:ascii="Times New Roman" w:hAnsi="Times New Roman" w:cs="Times New Roman"/>
          <w:sz w:val="24"/>
        </w:rPr>
        <w:t xml:space="preserve">平台运营方、金融机构（抵押 </w:t>
      </w:r>
      <w:r>
        <w:rPr>
          <w:rFonts w:eastAsia="宋体" w:cs="Times New Roman" w:ascii="Times New Roman" w:hAnsi="Times New Roman"/>
          <w:sz w:val="24"/>
        </w:rPr>
        <w:t xml:space="preserve">/ </w:t>
      </w:r>
      <w:r>
        <w:rPr>
          <w:rFonts w:ascii="Times New Roman" w:hAnsi="Times New Roman" w:cs="Times New Roman"/>
          <w:sz w:val="24"/>
        </w:rPr>
        <w:t xml:space="preserve">融资租赁）、维保服务商、监管 </w:t>
      </w:r>
      <w:r>
        <w:rPr>
          <w:rFonts w:eastAsia="宋体" w:cs="Times New Roman" w:ascii="Times New Roman" w:hAnsi="Times New Roman"/>
          <w:sz w:val="24"/>
        </w:rPr>
        <w:t xml:space="preserve">/ </w:t>
      </w:r>
      <w:r>
        <w:rPr>
          <w:rFonts w:ascii="Times New Roman" w:hAnsi="Times New Roman" w:cs="Times New Roman"/>
          <w:sz w:val="24"/>
        </w:rPr>
        <w:t>审计方。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2.3  </w:t>
      </w:r>
      <w:r>
        <w:rPr>
          <w:rFonts w:ascii="Times New Roman" w:hAnsi="Times New Roman" w:cs="Times New Roman" w:eastAsia="黑体"/>
          <w:b/>
          <w:sz w:val="26"/>
        </w:rPr>
        <w:t>解决什么痛点</w:t>
      </w:r>
    </w:p>
    <w:tbl>
      <w:tblPr>
        <w:tblW w:w="83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699"/>
        <w:gridCol w:w="3402"/>
        <w:gridCol w:w="3206"/>
      </w:tblGrid>
      <w:tr>
        <w:trPr/>
        <w:tc>
          <w:tcPr>
            <w:tcW w:w="169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痛点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传统现状</w:t>
            </w:r>
          </w:p>
        </w:tc>
        <w:tc>
          <w:tcPr>
            <w:tcW w:w="32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本平台解决方式</w:t>
            </w:r>
          </w:p>
        </w:tc>
      </w:tr>
      <w:tr>
        <w:trPr/>
        <w:tc>
          <w:tcPr>
            <w:tcW w:w="169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信息孤岛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数据分散在多方系统，互不打通</w:t>
            </w:r>
          </w:p>
        </w:tc>
        <w:tc>
          <w:tcPr>
            <w:tcW w:w="32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以 </w:t>
            </w:r>
            <w:r>
              <w:rPr>
                <w:rFonts w:eastAsia="宋体" w:cs="Times New Roman"/>
                <w:b w:val="false"/>
                <w:sz w:val="21"/>
              </w:rPr>
              <w:t xml:space="preserve">VIN 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为主线将各方记录关联到同一条链上资产</w:t>
            </w:r>
          </w:p>
        </w:tc>
      </w:tr>
      <w:tr>
        <w:trPr/>
        <w:tc>
          <w:tcPr>
            <w:tcW w:w="169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易篡改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维保里程、车况可被事后修改</w:t>
            </w:r>
          </w:p>
        </w:tc>
        <w:tc>
          <w:tcPr>
            <w:tcW w:w="32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原始数据哈希上链，任何改动都会导致校验失败</w:t>
            </w:r>
          </w:p>
        </w:tc>
      </w:tr>
      <w:tr>
        <w:trPr/>
        <w:tc>
          <w:tcPr>
            <w:tcW w:w="169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对账难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抵押、过户需多方纸质核对</w:t>
            </w:r>
          </w:p>
        </w:tc>
        <w:tc>
          <w:tcPr>
            <w:tcW w:w="32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链上状态机统一记录权属与抵押状态，可实时核验</w:t>
            </w:r>
          </w:p>
        </w:tc>
      </w:tr>
      <w:tr>
        <w:trPr/>
        <w:tc>
          <w:tcPr>
            <w:tcW w:w="169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可信凭证缺失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流转缺乏不可抵赖凭证</w:t>
            </w:r>
          </w:p>
        </w:tc>
        <w:tc>
          <w:tcPr>
            <w:tcW w:w="32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链上事件与交易哈希作为可信凭证，支持审计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4"/>
        <w:spacing w:before="200" w:after="120"/>
        <w:rPr/>
      </w:pPr>
      <w:r>
        <w:rPr>
          <w:rFonts w:eastAsia="黑体" w:cs="Times New Roman" w:ascii="Times New Roman" w:hAnsi="Times New Roman"/>
          <w:b/>
          <w:sz w:val="30"/>
        </w:rPr>
        <w:t xml:space="preserve">3  </w:t>
      </w:r>
      <w:r>
        <w:rPr>
          <w:rFonts w:ascii="Times New Roman" w:hAnsi="Times New Roman" w:cs="Times New Roman" w:eastAsia="黑体"/>
          <w:b/>
          <w:sz w:val="30"/>
        </w:rPr>
        <w:t>角色与利益相关方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3.1  </w:t>
      </w:r>
      <w:r>
        <w:rPr>
          <w:rFonts w:ascii="Times New Roman" w:hAnsi="Times New Roman" w:cs="Times New Roman" w:eastAsia="黑体"/>
          <w:b/>
          <w:sz w:val="26"/>
        </w:rPr>
        <w:t>角色总览</w:t>
      </w:r>
    </w:p>
    <w:tbl>
      <w:tblPr>
        <w:tblW w:w="83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585"/>
        <w:gridCol w:w="3175"/>
        <w:gridCol w:w="3547"/>
      </w:tblGrid>
      <w:tr>
        <w:trPr/>
        <w:tc>
          <w:tcPr>
            <w:tcW w:w="1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职责</w:t>
            </w:r>
          </w:p>
        </w:tc>
        <w:tc>
          <w:tcPr>
            <w:tcW w:w="35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在链上的权限</w:t>
            </w:r>
          </w:p>
        </w:tc>
      </w:tr>
      <w:tr>
        <w:trPr/>
        <w:tc>
          <w:tcPr>
            <w:tcW w:w="1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车主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登记车辆、发起流转、授权读取</w:t>
            </w:r>
          </w:p>
        </w:tc>
        <w:tc>
          <w:tcPr>
            <w:tcW w:w="35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创建自有资产、发起过户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抵押申请、查看授权数据</w:t>
            </w:r>
          </w:p>
        </w:tc>
      </w:tr>
      <w:tr>
        <w:trPr/>
        <w:tc>
          <w:tcPr>
            <w:tcW w:w="1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车商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平台运营方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核验证件与车况、执行车辆上链、维护平台</w:t>
            </w:r>
          </w:p>
        </w:tc>
        <w:tc>
          <w:tcPr>
            <w:tcW w:w="35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写入登记与核验结果、追加更正记录（原记录保留）</w:t>
            </w:r>
          </w:p>
        </w:tc>
      </w:tr>
      <w:tr>
        <w:trPr/>
        <w:tc>
          <w:tcPr>
            <w:tcW w:w="1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金融机构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办理抵押登记与解押</w:t>
            </w:r>
          </w:p>
        </w:tc>
        <w:tc>
          <w:tcPr>
            <w:tcW w:w="35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在授权范围内变更抵押状态、读取车况</w:t>
            </w:r>
          </w:p>
        </w:tc>
      </w:tr>
      <w:tr>
        <w:trPr/>
        <w:tc>
          <w:tcPr>
            <w:tcW w:w="1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维保服务商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上传维保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事故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里程记录</w:t>
            </w:r>
          </w:p>
        </w:tc>
        <w:tc>
          <w:tcPr>
            <w:tcW w:w="35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写入存证数据哈希，不可改他人记录</w:t>
            </w:r>
          </w:p>
        </w:tc>
      </w:tr>
      <w:tr>
        <w:trPr/>
        <w:tc>
          <w:tcPr>
            <w:tcW w:w="1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监管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审计方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合规审查、全链路追溯</w:t>
            </w:r>
          </w:p>
        </w:tc>
        <w:tc>
          <w:tcPr>
            <w:tcW w:w="35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只读，可按权限查询资产全生命周期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3.2  </w:t>
      </w:r>
      <w:r>
        <w:rPr>
          <w:rFonts w:ascii="Times New Roman" w:hAnsi="Times New Roman" w:cs="Times New Roman" w:eastAsia="黑体"/>
          <w:b/>
          <w:sz w:val="26"/>
        </w:rPr>
        <w:t>权限关系矩阵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“√”</w:t>
      </w:r>
      <w:r>
        <w:rPr>
          <w:rFonts w:ascii="Times New Roman" w:hAnsi="Times New Roman" w:cs="Times New Roman"/>
          <w:sz w:val="24"/>
        </w:rPr>
        <w:t>表示该角色可执行该操作，“—”表示无权限；越权调用将被智能合约权限修饰器拒绝并记录。</w:t>
      </w:r>
    </w:p>
    <w:tbl>
      <w:tblPr>
        <w:tblW w:w="83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92"/>
        <w:gridCol w:w="1134"/>
        <w:gridCol w:w="1134"/>
        <w:gridCol w:w="1474"/>
        <w:gridCol w:w="1134"/>
        <w:gridCol w:w="935"/>
      </w:tblGrid>
      <w:tr>
        <w:trPr/>
        <w:tc>
          <w:tcPr>
            <w:tcW w:w="24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操作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车主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平台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金融机构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维保</w:t>
            </w:r>
          </w:p>
        </w:tc>
        <w:tc>
          <w:tcPr>
            <w:tcW w:w="9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监管</w:t>
            </w:r>
          </w:p>
        </w:tc>
      </w:tr>
      <w:tr>
        <w:trPr/>
        <w:tc>
          <w:tcPr>
            <w:tcW w:w="24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车辆上链登记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申请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执行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  <w:tc>
          <w:tcPr>
            <w:tcW w:w="9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</w:tr>
      <w:tr>
        <w:trPr/>
        <w:tc>
          <w:tcPr>
            <w:tcW w:w="24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维保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事故存证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代传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写入</w:t>
            </w:r>
          </w:p>
        </w:tc>
        <w:tc>
          <w:tcPr>
            <w:tcW w:w="9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</w:tr>
      <w:tr>
        <w:trPr/>
        <w:tc>
          <w:tcPr>
            <w:tcW w:w="24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抵押登记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解押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申请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核验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执行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  <w:tc>
          <w:tcPr>
            <w:tcW w:w="9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</w:tr>
      <w:tr>
        <w:trPr/>
        <w:tc>
          <w:tcPr>
            <w:tcW w:w="24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权属过户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发起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核验过户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  <w:tc>
          <w:tcPr>
            <w:tcW w:w="9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—</w:t>
            </w:r>
          </w:p>
        </w:tc>
      </w:tr>
      <w:tr>
        <w:trPr/>
        <w:tc>
          <w:tcPr>
            <w:tcW w:w="24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全链路查询审计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自有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全部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授权范围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自有</w:t>
            </w:r>
          </w:p>
        </w:tc>
        <w:tc>
          <w:tcPr>
            <w:tcW w:w="9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全部</w:t>
            </w:r>
            <w:r>
              <w:rPr>
                <w:rFonts w:eastAsia="宋体" w:cs="Times New Roman"/>
                <w:b w:val="false"/>
                <w:sz w:val="21"/>
              </w:rPr>
              <w:t>(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只读</w:t>
            </w:r>
            <w:r>
              <w:rPr>
                <w:rFonts w:eastAsia="宋体" w:cs="Times New Roman"/>
                <w:b w:val="false"/>
                <w:sz w:val="21"/>
              </w:rPr>
              <w:t>)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4"/>
        <w:spacing w:before="200" w:after="120"/>
        <w:rPr/>
      </w:pPr>
      <w:r>
        <w:rPr>
          <w:rFonts w:eastAsia="黑体" w:cs="Times New Roman" w:ascii="Times New Roman" w:hAnsi="Times New Roman"/>
          <w:b/>
          <w:sz w:val="30"/>
        </w:rPr>
        <w:t xml:space="preserve">4  </w:t>
      </w:r>
      <w:r>
        <w:rPr>
          <w:rFonts w:ascii="Times New Roman" w:hAnsi="Times New Roman" w:cs="Times New Roman" w:eastAsia="黑体"/>
          <w:b/>
          <w:sz w:val="30"/>
        </w:rPr>
        <w:t>功能需求列表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以下功能采用“作为【角色】，我要【功能】，以便【价值】”的用户故事格式，并逐条补充“怎么做（实现步骤）”与“为什么（设计理由）”。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4.1  FR1 </w:t>
      </w:r>
      <w:r>
        <w:rPr>
          <w:rFonts w:ascii="Times New Roman" w:hAnsi="Times New Roman" w:cs="Times New Roman" w:eastAsia="黑体"/>
          <w:b/>
          <w:sz w:val="26"/>
        </w:rPr>
        <w:t>车辆上链登记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作为平台运营方，我要核验车主证件与 </w:t>
      </w:r>
      <w:r>
        <w:rPr>
          <w:rFonts w:eastAsia="宋体" w:cs="Times New Roman" w:ascii="Times New Roman" w:hAnsi="Times New Roman"/>
          <w:sz w:val="24"/>
        </w:rPr>
        <w:t xml:space="preserve">VIN </w:t>
      </w:r>
      <w:r>
        <w:rPr>
          <w:rFonts w:ascii="Times New Roman" w:hAnsi="Times New Roman" w:cs="Times New Roman"/>
          <w:sz w:val="24"/>
        </w:rPr>
        <w:t>后将车辆登记上链，以便为每辆车生成唯一的链上资产标识。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怎么做：车主提交 </w:t>
      </w:r>
      <w:r>
        <w:rPr>
          <w:rFonts w:eastAsia="宋体" w:cs="Times New Roman" w:ascii="Times New Roman" w:hAnsi="Times New Roman"/>
          <w:sz w:val="24"/>
        </w:rPr>
        <w:t>VIN</w:t>
      </w:r>
      <w:r>
        <w:rPr>
          <w:rFonts w:ascii="Times New Roman" w:hAnsi="Times New Roman" w:cs="Times New Roman"/>
          <w:sz w:val="24"/>
        </w:rPr>
        <w:t xml:space="preserve">、品牌型号、登记信息 → 平台核验证件真伪与 </w:t>
      </w:r>
      <w:r>
        <w:rPr>
          <w:rFonts w:eastAsia="宋体" w:cs="Times New Roman" w:ascii="Times New Roman" w:hAnsi="Times New Roman"/>
          <w:sz w:val="24"/>
        </w:rPr>
        <w:t xml:space="preserve">VIN </w:t>
      </w:r>
      <w:r>
        <w:rPr>
          <w:rFonts w:ascii="Times New Roman" w:hAnsi="Times New Roman" w:cs="Times New Roman"/>
          <w:sz w:val="24"/>
        </w:rPr>
        <w:t xml:space="preserve">唯一性 → 调用 </w:t>
      </w:r>
      <w:r>
        <w:rPr>
          <w:rFonts w:eastAsia="宋体" w:cs="Times New Roman" w:ascii="Times New Roman" w:hAnsi="Times New Roman"/>
          <w:sz w:val="24"/>
        </w:rPr>
        <w:t xml:space="preserve">VehicleRegistry </w:t>
      </w:r>
      <w:r>
        <w:rPr>
          <w:rFonts w:ascii="Times New Roman" w:hAnsi="Times New Roman" w:cs="Times New Roman"/>
          <w:sz w:val="24"/>
        </w:rPr>
        <w:t xml:space="preserve">合约的 </w:t>
      </w:r>
      <w:r>
        <w:rPr>
          <w:rFonts w:eastAsia="宋体" w:cs="Times New Roman" w:ascii="Times New Roman" w:hAnsi="Times New Roman"/>
          <w:sz w:val="24"/>
        </w:rPr>
        <w:t xml:space="preserve">register </w:t>
      </w:r>
      <w:r>
        <w:rPr>
          <w:rFonts w:ascii="Times New Roman" w:hAnsi="Times New Roman" w:cs="Times New Roman"/>
          <w:sz w:val="24"/>
        </w:rPr>
        <w:t xml:space="preserve">写入资产、生成 </w:t>
      </w:r>
      <w:r>
        <w:rPr>
          <w:rFonts w:eastAsia="宋体" w:cs="Times New Roman" w:ascii="Times New Roman" w:hAnsi="Times New Roman"/>
          <w:sz w:val="24"/>
        </w:rPr>
        <w:t xml:space="preserve">vinHash → </w:t>
      </w:r>
      <w:r>
        <w:rPr>
          <w:rFonts w:ascii="Times New Roman" w:hAnsi="Times New Roman" w:cs="Times New Roman"/>
          <w:sz w:val="24"/>
        </w:rPr>
        <w:t xml:space="preserve">触发 </w:t>
      </w:r>
      <w:r>
        <w:rPr>
          <w:rFonts w:eastAsia="宋体" w:cs="Times New Roman" w:ascii="Times New Roman" w:hAnsi="Times New Roman"/>
          <w:sz w:val="24"/>
        </w:rPr>
        <w:t xml:space="preserve">VehicleRegistered </w:t>
      </w:r>
      <w:r>
        <w:rPr>
          <w:rFonts w:ascii="Times New Roman" w:hAnsi="Times New Roman" w:cs="Times New Roman"/>
          <w:sz w:val="24"/>
        </w:rPr>
        <w:t>事件 → 原始证件文件存对象存储，仅哈希上链。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为什么：</w:t>
      </w:r>
      <w:r>
        <w:rPr>
          <w:rFonts w:eastAsia="宋体" w:cs="Times New Roman" w:ascii="Times New Roman" w:hAnsi="Times New Roman"/>
          <w:sz w:val="24"/>
        </w:rPr>
        <w:t xml:space="preserve">VIN </w:t>
      </w:r>
      <w:r>
        <w:rPr>
          <w:rFonts w:ascii="Times New Roman" w:hAnsi="Times New Roman" w:cs="Times New Roman"/>
          <w:sz w:val="24"/>
        </w:rPr>
        <w:t>全球唯一，天然适合作链上主键；证件原文含隐私且体积大，只上链哈希既保护隐私又锁定“存在性”。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4.2  FR2 </w:t>
      </w:r>
      <w:r>
        <w:rPr>
          <w:rFonts w:ascii="Times New Roman" w:hAnsi="Times New Roman" w:cs="Times New Roman" w:eastAsia="黑体"/>
          <w:b/>
          <w:sz w:val="26"/>
        </w:rPr>
        <w:t>钱包与资产归属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作为车主，我要创建数字钱包并绑定名下车辆、按需授权第三方读取，以便自主掌控资产访问权。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怎么做：本地生成密钥对（私钥仅车主自持）→ 钱包地址与 </w:t>
      </w:r>
      <w:r>
        <w:rPr>
          <w:rFonts w:eastAsia="宋体" w:cs="Times New Roman" w:ascii="Times New Roman" w:hAnsi="Times New Roman"/>
          <w:sz w:val="24"/>
        </w:rPr>
        <w:t xml:space="preserve">VIN </w:t>
      </w:r>
      <w:r>
        <w:rPr>
          <w:rFonts w:ascii="Times New Roman" w:hAnsi="Times New Roman" w:cs="Times New Roman"/>
          <w:sz w:val="24"/>
        </w:rPr>
        <w:t>绑定写入合约 → 车主通过授权方法对指定地址、指定数据域授予只读权限 → 授权变更上链留痕。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为什么：私钥自持把资产控制权交给用户，符合“去中介”理念；细粒度授权兼顾隐私与共享需求。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4.3  FR3 </w:t>
      </w:r>
      <w:r>
        <w:rPr>
          <w:rFonts w:ascii="Times New Roman" w:hAnsi="Times New Roman" w:cs="Times New Roman" w:eastAsia="黑体"/>
          <w:b/>
          <w:sz w:val="26"/>
        </w:rPr>
        <w:t xml:space="preserve">资产流转（过户 </w:t>
      </w:r>
      <w:r>
        <w:rPr>
          <w:rFonts w:eastAsia="黑体" w:cs="Times New Roman" w:ascii="Times New Roman" w:hAnsi="Times New Roman"/>
          <w:b/>
          <w:sz w:val="26"/>
        </w:rPr>
        <w:t xml:space="preserve">/ </w:t>
      </w:r>
      <w:r>
        <w:rPr>
          <w:rFonts w:ascii="Times New Roman" w:hAnsi="Times New Roman" w:cs="Times New Roman" w:eastAsia="黑体"/>
          <w:b/>
          <w:sz w:val="26"/>
        </w:rPr>
        <w:t xml:space="preserve">抵押 </w:t>
      </w:r>
      <w:r>
        <w:rPr>
          <w:rFonts w:eastAsia="黑体" w:cs="Times New Roman" w:ascii="Times New Roman" w:hAnsi="Times New Roman"/>
          <w:b/>
          <w:sz w:val="26"/>
        </w:rPr>
        <w:t xml:space="preserve">/ </w:t>
      </w:r>
      <w:r>
        <w:rPr>
          <w:rFonts w:ascii="Times New Roman" w:hAnsi="Times New Roman" w:cs="Times New Roman" w:eastAsia="黑体"/>
          <w:b/>
          <w:sz w:val="26"/>
        </w:rPr>
        <w:t>解押）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作为车主或金融机构，我要发起并执行过户、抵押登记与解押，以便在链上完成可信的权属与权益变更。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怎么做：发起申请 → 平台</w:t>
      </w:r>
      <w:r>
        <w:rPr>
          <w:rFonts w:eastAsia="宋体" w:cs="Times New Roman" w:ascii="Times New Roman" w:hAnsi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 xml:space="preserve">金融机构按角色校验 → 合约状态机在 </w:t>
      </w:r>
      <w:r>
        <w:rPr>
          <w:rFonts w:eastAsia="宋体" w:cs="Times New Roman" w:ascii="Times New Roman" w:hAnsi="Times New Roman"/>
          <w:sz w:val="24"/>
        </w:rPr>
        <w:t xml:space="preserve">Verified / Mortgaged / Transferred / Cancelled </w:t>
      </w:r>
      <w:r>
        <w:rPr>
          <w:rFonts w:ascii="Times New Roman" w:hAnsi="Times New Roman" w:cs="Times New Roman"/>
          <w:sz w:val="24"/>
        </w:rPr>
        <w:t>间流转并写入变更事件 → 全程留痕、不可删除。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为什么：用状态机统一权属与抵押状态，避免多方纸质台账不一致；只追加不删除保证可追溯与不可抵赖。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4.4  FR4 </w:t>
      </w:r>
      <w:r>
        <w:rPr>
          <w:rFonts w:ascii="Times New Roman" w:hAnsi="Times New Roman" w:cs="Times New Roman" w:eastAsia="黑体"/>
          <w:b/>
          <w:sz w:val="26"/>
        </w:rPr>
        <w:t>维保与车况存证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作为维保服务商，我要上传维保、事故、里程记录的哈希存证，以便为车况提供不可篡改的可信凭证。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怎么做：维保方对原始报告计算哈希 → 调用 </w:t>
      </w:r>
      <w:r>
        <w:rPr>
          <w:rFonts w:eastAsia="宋体" w:cs="Times New Roman" w:ascii="Times New Roman" w:hAnsi="Times New Roman"/>
          <w:sz w:val="24"/>
        </w:rPr>
        <w:t xml:space="preserve">EvidenceStore </w:t>
      </w:r>
      <w:r>
        <w:rPr>
          <w:rFonts w:ascii="Times New Roman" w:hAnsi="Times New Roman" w:cs="Times New Roman"/>
          <w:sz w:val="24"/>
        </w:rPr>
        <w:t xml:space="preserve">写入（哈希 </w:t>
      </w:r>
      <w:r>
        <w:rPr>
          <w:rFonts w:eastAsia="宋体" w:cs="Times New Roman" w:ascii="Times New Roman" w:hAnsi="Times New Roman"/>
          <w:sz w:val="24"/>
        </w:rPr>
        <w:t xml:space="preserve">+ </w:t>
      </w:r>
      <w:r>
        <w:rPr>
          <w:rFonts w:ascii="Times New Roman" w:hAnsi="Times New Roman" w:cs="Times New Roman"/>
          <w:sz w:val="24"/>
        </w:rPr>
        <w:t xml:space="preserve">来源 </w:t>
      </w:r>
      <w:r>
        <w:rPr>
          <w:rFonts w:eastAsia="宋体" w:cs="Times New Roman" w:ascii="Times New Roman" w:hAnsi="Times New Roman"/>
          <w:sz w:val="24"/>
        </w:rPr>
        <w:t xml:space="preserve">+ </w:t>
      </w:r>
      <w:r>
        <w:rPr>
          <w:rFonts w:ascii="Times New Roman" w:hAnsi="Times New Roman" w:cs="Times New Roman"/>
          <w:sz w:val="24"/>
        </w:rPr>
        <w:t>时间戳）→ 数据若有勘误，通过“追加更正记录”方式处理并保留原记录、标记失效。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为什么：里程与车况是估值、理赔关键，哈希存证可杜绝“调表”等造假；更正追加既纠错又不破坏历史。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4.5  FR5 </w:t>
      </w:r>
      <w:r>
        <w:rPr>
          <w:rFonts w:ascii="Times New Roman" w:hAnsi="Times New Roman" w:cs="Times New Roman" w:eastAsia="黑体"/>
          <w:b/>
          <w:sz w:val="26"/>
        </w:rPr>
        <w:t>收益分配（运营车辆）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作为平台，我要对用于运营的车辆按预设规则自动分账，以便各方收益结算透明可查。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怎么做：</w:t>
      </w:r>
      <w:r>
        <w:rPr>
          <w:rFonts w:eastAsia="宋体" w:cs="Times New Roman" w:ascii="Times New Roman" w:hAnsi="Times New Roman"/>
          <w:sz w:val="24"/>
        </w:rPr>
        <w:t xml:space="preserve">ProfitSplit </w:t>
      </w:r>
      <w:r>
        <w:rPr>
          <w:rFonts w:ascii="Times New Roman" w:hAnsi="Times New Roman" w:cs="Times New Roman"/>
          <w:sz w:val="24"/>
        </w:rPr>
        <w:t>合约读取车辆归属与分账规则 → 结算时按规则拆分并记录分账明细 → 提现采用“先更新账本再转账”的防重入模式。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为什么：自动分账减少人工对账与扯皮；防重入是资金类合约的基本安全要求。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4.6  FR6 </w:t>
      </w:r>
      <w:r>
        <w:rPr>
          <w:rFonts w:ascii="Times New Roman" w:hAnsi="Times New Roman" w:cs="Times New Roman" w:eastAsia="黑体"/>
          <w:b/>
          <w:sz w:val="26"/>
        </w:rPr>
        <w:t>查询与审计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作为监管 </w:t>
      </w:r>
      <w:r>
        <w:rPr>
          <w:rFonts w:eastAsia="宋体" w:cs="Times New Roman" w:ascii="Times New Roman" w:hAnsi="Times New Roman"/>
          <w:sz w:val="24"/>
        </w:rPr>
        <w:t xml:space="preserve">/ </w:t>
      </w:r>
      <w:r>
        <w:rPr>
          <w:rFonts w:ascii="Times New Roman" w:hAnsi="Times New Roman" w:cs="Times New Roman"/>
          <w:sz w:val="24"/>
        </w:rPr>
        <w:t>审计方，我要按权限查询车辆全生命周期链路，以便进行合规审查与争议溯源。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怎么做：链上事件与账本数据经事件监听服务落库建索引 → 按调用方角色与授权范围过滤可见数据 → 输出可验证的链上证据（交易哈希）。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为什么：链上数据不适合直接复杂查询，落库建索引兼顾查询性能；按权限过滤满足隐私与合规。</w:t>
      </w:r>
    </w:p>
    <w:p>
      <w:pPr>
        <w:pStyle w:val="Style24"/>
        <w:spacing w:before="200" w:after="120"/>
        <w:rPr/>
      </w:pPr>
      <w:r>
        <w:rPr>
          <w:rFonts w:eastAsia="黑体" w:cs="Times New Roman" w:ascii="Times New Roman" w:hAnsi="Times New Roman"/>
          <w:b/>
          <w:sz w:val="30"/>
        </w:rPr>
        <w:t xml:space="preserve">5  </w:t>
      </w:r>
      <w:r>
        <w:rPr>
          <w:rFonts w:ascii="Times New Roman" w:hAnsi="Times New Roman" w:cs="Times New Roman" w:eastAsia="黑体"/>
          <w:b/>
          <w:sz w:val="30"/>
        </w:rPr>
        <w:t>上链数据决策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并非所有数据都适合上链。上链原则为：需要长期存证、多方共识、防篡改的“指纹与状态”上链，体积大或含敏感隐私的“原文”链下存储，仅哈希上链。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5.1  </w:t>
      </w:r>
      <w:r>
        <w:rPr>
          <w:rFonts w:ascii="Times New Roman" w:hAnsi="Times New Roman" w:cs="Times New Roman" w:eastAsia="黑体"/>
          <w:b/>
          <w:sz w:val="26"/>
        </w:rPr>
        <w:t xml:space="preserve">上链 </w:t>
      </w:r>
      <w:r>
        <w:rPr>
          <w:rFonts w:eastAsia="黑体" w:cs="Times New Roman" w:ascii="Times New Roman" w:hAnsi="Times New Roman"/>
          <w:b/>
          <w:sz w:val="26"/>
        </w:rPr>
        <w:t xml:space="preserve">/ </w:t>
      </w:r>
      <w:r>
        <w:rPr>
          <w:rFonts w:ascii="Times New Roman" w:hAnsi="Times New Roman" w:cs="Times New Roman" w:eastAsia="黑体"/>
          <w:b/>
          <w:sz w:val="26"/>
        </w:rPr>
        <w:t>不上链策略</w:t>
      </w:r>
    </w:p>
    <w:tbl>
      <w:tblPr>
        <w:tblW w:w="83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33"/>
        <w:gridCol w:w="1701"/>
        <w:gridCol w:w="3773"/>
      </w:tblGrid>
      <w:tr>
        <w:trPr/>
        <w:tc>
          <w:tcPr>
            <w:tcW w:w="28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数据项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是否上链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原因</w:t>
            </w:r>
          </w:p>
        </w:tc>
      </w:tr>
      <w:tr>
        <w:trPr/>
        <w:tc>
          <w:tcPr>
            <w:tcW w:w="28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宋体" w:cs="Times New Roman"/>
                <w:b w:val="false"/>
                <w:sz w:val="21"/>
              </w:rPr>
              <w:t xml:space="preserve">VIN 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哈希、资产状态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上链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唯一标识与权属，需多方共识且不可篡改</w:t>
            </w:r>
          </w:p>
        </w:tc>
      </w:tr>
      <w:tr>
        <w:trPr/>
        <w:tc>
          <w:tcPr>
            <w:tcW w:w="28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维保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事故记录哈希、时间戳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上链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锁定车况证据，防调表与篡改</w:t>
            </w:r>
          </w:p>
        </w:tc>
      </w:tr>
      <w:tr>
        <w:trPr/>
        <w:tc>
          <w:tcPr>
            <w:tcW w:w="28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抵押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过户状态变更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上链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权益流转需可信、可追溯</w:t>
            </w:r>
          </w:p>
        </w:tc>
      </w:tr>
      <w:tr>
        <w:trPr/>
        <w:tc>
          <w:tcPr>
            <w:tcW w:w="28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分账规则与分账明细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上链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资金类记录需透明可审计</w:t>
            </w:r>
          </w:p>
        </w:tc>
      </w:tr>
      <w:tr>
        <w:trPr/>
        <w:tc>
          <w:tcPr>
            <w:tcW w:w="28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证件、合同原件（图片</w:t>
            </w:r>
            <w:r>
              <w:rPr>
                <w:rFonts w:eastAsia="宋体" w:cs="Times New Roman"/>
                <w:b w:val="false"/>
                <w:sz w:val="21"/>
              </w:rPr>
              <w:t>/PDF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）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不上链，仅上哈希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体积大、含隐私，链上存原文成本高且泄露风险大</w:t>
            </w:r>
          </w:p>
        </w:tc>
      </w:tr>
      <w:tr>
        <w:trPr/>
        <w:tc>
          <w:tcPr>
            <w:tcW w:w="28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车主私钥、明文联系方式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不上链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属机密信息，上链等于公开，严重违规</w:t>
            </w:r>
          </w:p>
        </w:tc>
      </w:tr>
      <w:tr>
        <w:trPr/>
        <w:tc>
          <w:tcPr>
            <w:tcW w:w="28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实时车况原始遥测流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不上链，仅周期摘要哈希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高频数据量大，仅对关键节点做摘要存证即可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5.2  </w:t>
      </w:r>
      <w:r>
        <w:rPr>
          <w:rFonts w:ascii="Times New Roman" w:hAnsi="Times New Roman" w:cs="Times New Roman" w:eastAsia="黑体"/>
          <w:b/>
          <w:sz w:val="26"/>
        </w:rPr>
        <w:t>三条决策原则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（</w:t>
      </w:r>
      <w:r>
        <w:rPr>
          <w:rFonts w:eastAsia="宋体" w:cs="Times New Roman" w:ascii="Times New Roman" w:hAnsi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）不可篡改原则：一旦上链不可删除，只可追加更正；故含敏感明文的信息绝不上链。（</w:t>
      </w:r>
      <w:r>
        <w:rPr>
          <w:rFonts w:eastAsia="宋体" w:cs="Times New Roman" w:ascii="Times New Roman" w:hAnsi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）成本原则：链上存储昂贵，原文链下存、哈希上链。（</w:t>
      </w:r>
      <w:r>
        <w:rPr>
          <w:rFonts w:eastAsia="宋体" w:cs="Times New Roman" w:ascii="Times New Roman" w:hAnsi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）隐私原则：个人机密信息以哈希或授权方式表达，遵循最小必要上链。</w:t>
      </w:r>
    </w:p>
    <w:p>
      <w:pPr>
        <w:pStyle w:val="Style24"/>
        <w:spacing w:before="200" w:after="120"/>
        <w:rPr/>
      </w:pPr>
      <w:r>
        <w:rPr>
          <w:rFonts w:eastAsia="黑体" w:cs="Times New Roman" w:ascii="Times New Roman" w:hAnsi="Times New Roman"/>
          <w:b/>
          <w:sz w:val="30"/>
        </w:rPr>
        <w:t xml:space="preserve">6  </w:t>
      </w:r>
      <w:r>
        <w:rPr>
          <w:rFonts w:ascii="Times New Roman" w:hAnsi="Times New Roman" w:cs="Times New Roman" w:eastAsia="黑体"/>
          <w:b/>
          <w:sz w:val="30"/>
        </w:rPr>
        <w:t>非功能需求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6.1  </w:t>
      </w:r>
      <w:r>
        <w:rPr>
          <w:rFonts w:ascii="Times New Roman" w:hAnsi="Times New Roman" w:cs="Times New Roman" w:eastAsia="黑体"/>
          <w:b/>
          <w:sz w:val="26"/>
        </w:rPr>
        <w:t>安全性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怎么做：所有写操作经角色权限修饰器（</w:t>
      </w:r>
      <w:r>
        <w:rPr>
          <w:rFonts w:eastAsia="宋体" w:cs="Times New Roman" w:ascii="Times New Roman" w:hAnsi="Times New Roman"/>
          <w:sz w:val="24"/>
        </w:rPr>
        <w:t>AccessControl</w:t>
      </w:r>
      <w:r>
        <w:rPr>
          <w:rFonts w:ascii="Times New Roman" w:hAnsi="Times New Roman" w:cs="Times New Roman"/>
          <w:sz w:val="24"/>
        </w:rPr>
        <w:t>）校验；私钥本地保管，平台仅托管加密备份且需多方授权；资金类操作加防重入；关键操作均触发事件供审计。为什么：防止越权写入、私钥泄露与重入攻击，是链上资产平台的安全底线。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6.2  </w:t>
      </w:r>
      <w:r>
        <w:rPr>
          <w:rFonts w:ascii="Times New Roman" w:hAnsi="Times New Roman" w:cs="Times New Roman" w:eastAsia="黑体"/>
          <w:b/>
          <w:sz w:val="26"/>
        </w:rPr>
        <w:t>性能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目标：测试环境下关键写交易确认延迟 ≤ </w:t>
      </w:r>
      <w:r>
        <w:rPr>
          <w:rFonts w:eastAsia="宋体" w:cs="Times New Roman" w:ascii="Times New Roman" w:hAnsi="Times New Roman"/>
          <w:sz w:val="24"/>
        </w:rPr>
        <w:t xml:space="preserve">5 </w:t>
      </w:r>
      <w:r>
        <w:rPr>
          <w:rFonts w:ascii="Times New Roman" w:hAnsi="Times New Roman" w:cs="Times New Roman"/>
          <w:sz w:val="24"/>
        </w:rPr>
        <w:t xml:space="preserve">秒，稳定吞吐 </w:t>
      </w:r>
      <w:r>
        <w:rPr>
          <w:rFonts w:eastAsia="宋体" w:cs="Times New Roman" w:ascii="Times New Roman" w:hAnsi="Times New Roman"/>
          <w:sz w:val="24"/>
        </w:rPr>
        <w:t>TPS ≥ 500</w:t>
      </w:r>
      <w:r>
        <w:rPr>
          <w:rFonts w:ascii="Times New Roman" w:hAnsi="Times New Roman" w:cs="Times New Roman"/>
          <w:sz w:val="24"/>
        </w:rPr>
        <w:t>（按测试网配置评估）；链上仅存摘要以降低存储与计算开销。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6.3  </w:t>
      </w:r>
      <w:r>
        <w:rPr>
          <w:rFonts w:ascii="Times New Roman" w:hAnsi="Times New Roman" w:cs="Times New Roman" w:eastAsia="黑体"/>
          <w:b/>
          <w:sz w:val="26"/>
        </w:rPr>
        <w:t>合规性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怎么做：平台不发行、不承兑、不提供任何虚拟货币</w:t>
      </w:r>
      <w:r>
        <w:rPr>
          <w:rFonts w:eastAsia="宋体" w:cs="Times New Roman" w:ascii="Times New Roman" w:hAnsi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 xml:space="preserve">代币充值提现功能；法币结算在链下完成，链上仅记录结算凭证哈希；所有链上操作仅面向测试网 </w:t>
      </w:r>
      <w:r>
        <w:rPr>
          <w:rFonts w:eastAsia="宋体" w:cs="Times New Roman" w:ascii="Times New Roman" w:hAnsi="Times New Roman"/>
          <w:sz w:val="24"/>
        </w:rPr>
        <w:t xml:space="preserve">/ </w:t>
      </w:r>
      <w:r>
        <w:rPr>
          <w:rFonts w:ascii="Times New Roman" w:hAnsi="Times New Roman" w:cs="Times New Roman"/>
          <w:sz w:val="24"/>
        </w:rPr>
        <w:t>教学环境。为什么：规避非法代币发行风险，确保课程实训合规。</w:t>
      </w:r>
    </w:p>
    <w:p>
      <w:pPr>
        <w:pStyle w:val="Style24"/>
        <w:spacing w:before="200" w:after="120"/>
        <w:rPr/>
      </w:pPr>
      <w:r>
        <w:rPr>
          <w:rFonts w:eastAsia="黑体" w:cs="Times New Roman" w:ascii="Times New Roman" w:hAnsi="Times New Roman"/>
          <w:b/>
          <w:sz w:val="30"/>
        </w:rPr>
        <w:t xml:space="preserve">7  </w:t>
      </w:r>
      <w:r>
        <w:rPr>
          <w:rFonts w:ascii="Times New Roman" w:hAnsi="Times New Roman" w:cs="Times New Roman" w:eastAsia="黑体"/>
          <w:b/>
          <w:sz w:val="30"/>
        </w:rPr>
        <w:t>已修正的需求矛盾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在评审中发现并修正以下相互矛盾或违规的早期需求，作为定稿依据：</w:t>
      </w:r>
    </w:p>
    <w:tbl>
      <w:tblPr>
        <w:tblW w:w="83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719"/>
        <w:gridCol w:w="2608"/>
        <w:gridCol w:w="2980"/>
      </w:tblGrid>
      <w:tr>
        <w:trPr/>
        <w:tc>
          <w:tcPr>
            <w:tcW w:w="27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原需求（存在问题）</w:t>
            </w:r>
          </w:p>
        </w:tc>
        <w:tc>
          <w:tcPr>
            <w:tcW w:w="2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矛盾</w:t>
            </w:r>
            <w:r>
              <w:rPr>
                <w:rFonts w:eastAsia="宋体" w:cs="Times New Roman"/>
                <w:b/>
                <w:color w:val="FFFFFF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违规点</w:t>
            </w:r>
          </w:p>
        </w:tc>
        <w:tc>
          <w:tcPr>
            <w:tcW w:w="2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修正后</w:t>
            </w:r>
          </w:p>
        </w:tc>
      </w:tr>
      <w:tr>
        <w:trPr/>
        <w:tc>
          <w:tcPr>
            <w:tcW w:w="27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车主可随时撤回已上链数据</w:t>
            </w:r>
          </w:p>
        </w:tc>
        <w:tc>
          <w:tcPr>
            <w:tcW w:w="2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与区块链“不可篡改”根本冲突</w:t>
            </w:r>
          </w:p>
        </w:tc>
        <w:tc>
          <w:tcPr>
            <w:tcW w:w="2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改为“追加更正记录，原记录保留并标记失效”</w:t>
            </w:r>
          </w:p>
        </w:tc>
      </w:tr>
      <w:tr>
        <w:trPr/>
        <w:tc>
          <w:tcPr>
            <w:tcW w:w="27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平台可代管所有用户私钥</w:t>
            </w:r>
          </w:p>
        </w:tc>
        <w:tc>
          <w:tcPr>
            <w:tcW w:w="2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与“私钥自持、安全可控”目标冲突</w:t>
            </w:r>
          </w:p>
        </w:tc>
        <w:tc>
          <w:tcPr>
            <w:tcW w:w="2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车主自持私钥，平台仅托管加密备份且需多方授权</w:t>
            </w:r>
          </w:p>
        </w:tc>
      </w:tr>
      <w:tr>
        <w:trPr/>
        <w:tc>
          <w:tcPr>
            <w:tcW w:w="27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支持代币充值 </w:t>
            </w:r>
            <w:r>
              <w:rPr>
                <w:rFonts w:eastAsia="宋体" w:cs="Times New Roman"/>
                <w:b w:val="false"/>
                <w:sz w:val="21"/>
              </w:rPr>
              <w:t xml:space="preserve">/ 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提现</w:t>
            </w:r>
          </w:p>
        </w:tc>
        <w:tc>
          <w:tcPr>
            <w:tcW w:w="2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涉嫌变相发行虚拟货币，违规</w:t>
            </w:r>
          </w:p>
        </w:tc>
        <w:tc>
          <w:tcPr>
            <w:tcW w:w="2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删除该功能；法币结算链下完成，链上仅记结算凭证哈希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4"/>
        <w:rPr/>
      </w:pPr>
      <w:r>
        <w:rPr/>
        <w:t xml:space="preserve">8  </w:t>
      </w:r>
      <w:r>
        <w:rPr/>
        <w:t>业务流程与合约架构</w:t>
      </w:r>
    </w:p>
    <w:p>
      <w:pPr>
        <w:pStyle w:val="Style25"/>
        <w:rPr/>
      </w:pPr>
      <w:r>
        <w:rPr/>
        <w:t xml:space="preserve">8.1  </w:t>
      </w:r>
      <w:r>
        <w:rPr/>
        <w:t>用四问法定义主业务流程</w:t>
      </w:r>
    </w:p>
    <w:p>
      <w:pPr>
        <w:pStyle w:val="Normal"/>
        <w:spacing w:before="280" w:after="200"/>
        <w:rPr/>
      </w:pPr>
      <w:r>
        <w:rPr>
          <w:b/>
        </w:rPr>
        <w:t>四问法业务分析：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谁发起？ 车主提交车辆上链申请。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谁确认？ 平台运营方核验证件与</w:t>
      </w:r>
      <w:r>
        <w:rPr/>
        <w:t>VIN</w:t>
      </w:r>
      <w:r>
        <w:rPr/>
        <w:t>，维保方确认车况数据。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数据落到哪？ 原始文件存对象存储（链下），哈希与关键字段写入智能合约（链上），索引存数据库。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异常怎么回退？ 核验不通过则申请标记驳回、链上不写入；已写入的错误信息通过追加更正记录处理，不删除。</w:t>
      </w:r>
    </w:p>
    <w:p>
      <w:pPr>
        <w:pStyle w:val="Normal"/>
        <w:spacing w:before="280" w:after="200"/>
        <w:rPr/>
      </w:pPr>
      <w:r>
        <w:rPr>
          <w:b/>
        </w:rPr>
        <w:t>主业务流程步骤：</w:t>
      </w:r>
    </w:p>
    <w:p>
      <w:pPr>
        <w:pStyle w:val="Normal"/>
        <w:spacing w:before="280" w:after="200"/>
        <w:rPr/>
      </w:pPr>
      <w:r>
        <w:rPr/>
        <w:t xml:space="preserve">1. </w:t>
      </w:r>
      <w:r>
        <w:rPr/>
        <w:t>车主 → 提交车辆上链申请（</w:t>
      </w:r>
      <w:r>
        <w:rPr/>
        <w:t>VIN</w:t>
      </w:r>
      <w:r>
        <w:rPr/>
        <w:t>、证件等）</w:t>
      </w:r>
    </w:p>
    <w:p>
      <w:pPr>
        <w:pStyle w:val="Normal"/>
        <w:spacing w:before="280" w:after="200"/>
        <w:rPr/>
      </w:pPr>
      <w:r>
        <w:rPr/>
        <w:t xml:space="preserve">2. </w:t>
      </w:r>
      <w:r>
        <w:rPr/>
        <w:t>平台运营方 → 核验（若失败，驳回申请）</w:t>
      </w:r>
    </w:p>
    <w:p>
      <w:pPr>
        <w:pStyle w:val="Normal"/>
        <w:spacing w:before="280" w:after="200"/>
        <w:rPr/>
      </w:pPr>
      <w:r>
        <w:rPr/>
        <w:t xml:space="preserve">3. </w:t>
      </w:r>
      <w:r>
        <w:rPr/>
        <w:t>智能合约（</w:t>
      </w:r>
      <w:r>
        <w:rPr/>
        <w:t>VehicleRegistry</w:t>
      </w:r>
      <w:r>
        <w:rPr/>
        <w:t xml:space="preserve">）→ 核验通过后写入资产，生成 </w:t>
      </w:r>
      <w:r>
        <w:rPr/>
        <w:t>vinHash</w:t>
      </w:r>
    </w:p>
    <w:p>
      <w:pPr>
        <w:pStyle w:val="Normal"/>
        <w:spacing w:before="280" w:after="200"/>
        <w:rPr/>
      </w:pPr>
      <w:r>
        <w:rPr/>
        <w:t xml:space="preserve">4. </w:t>
      </w:r>
      <w:r>
        <w:rPr/>
        <w:t>车主 → 绑定钱包与资产</w:t>
      </w:r>
    </w:p>
    <w:p>
      <w:pPr>
        <w:pStyle w:val="Normal"/>
        <w:spacing w:before="280" w:after="200"/>
        <w:rPr/>
      </w:pPr>
      <w:r>
        <w:rPr/>
        <w:t xml:space="preserve">5. </w:t>
      </w:r>
      <w:r>
        <w:rPr/>
        <w:t>维保</w:t>
      </w:r>
      <w:r>
        <w:rPr/>
        <w:t>/</w:t>
      </w:r>
      <w:r>
        <w:rPr/>
        <w:t>保险方 → 数据哈希存证（</w:t>
      </w:r>
      <w:r>
        <w:rPr/>
        <w:t>EvidenceStore</w:t>
      </w:r>
      <w:r>
        <w:rPr/>
        <w:t>）</w:t>
      </w:r>
    </w:p>
    <w:p>
      <w:pPr>
        <w:pStyle w:val="Normal"/>
        <w:spacing w:before="280" w:after="200"/>
        <w:rPr/>
      </w:pPr>
      <w:r>
        <w:rPr/>
        <w:t xml:space="preserve">6. </w:t>
      </w:r>
      <w:r>
        <w:rPr/>
        <w:t>金融机构</w:t>
      </w:r>
      <w:r>
        <w:rPr/>
        <w:t>/</w:t>
      </w:r>
      <w:r>
        <w:rPr/>
        <w:t>车主 → 抵押登记申请（</w:t>
      </w:r>
      <w:r>
        <w:rPr/>
        <w:t>MortgageContract</w:t>
      </w:r>
      <w:r>
        <w:rPr/>
        <w:t>）</w:t>
      </w:r>
    </w:p>
    <w:p>
      <w:pPr>
        <w:pStyle w:val="Normal"/>
        <w:spacing w:before="280" w:after="200"/>
        <w:rPr/>
      </w:pPr>
      <w:r>
        <w:rPr/>
        <w:t xml:space="preserve">7. </w:t>
      </w:r>
      <w:r>
        <w:rPr/>
        <w:t>金融机构</w:t>
      </w:r>
      <w:r>
        <w:rPr/>
        <w:t>/</w:t>
      </w:r>
      <w:r>
        <w:rPr/>
        <w:t>车主 → 解押或权属过户（更新状态机）</w:t>
      </w:r>
    </w:p>
    <w:p>
      <w:pPr>
        <w:pStyle w:val="Normal"/>
        <w:spacing w:before="280" w:after="200"/>
        <w:rPr/>
      </w:pPr>
      <w:r>
        <w:rPr/>
        <w:t xml:space="preserve">8. </w:t>
      </w:r>
      <w:r>
        <w:rPr/>
        <w:t>监管</w:t>
      </w:r>
      <w:r>
        <w:rPr/>
        <w:t>/</w:t>
      </w:r>
      <w:r>
        <w:rPr/>
        <w:t>审计方 → 全链路查询审计（权限控制）</w:t>
      </w:r>
    </w:p>
    <w:p>
      <w:pPr>
        <w:pStyle w:val="Normal"/>
        <w:spacing w:before="280" w:after="200"/>
        <w:rPr/>
      </w:pPr>
      <w:r>
        <w:rPr>
          <w:b/>
        </w:rPr>
        <w:t>【业务流程图</w:t>
      </w:r>
      <w:r>
        <w:rPr>
          <w:b/>
        </w:rPr>
        <w:t>.png</w:t>
      </w:r>
      <w:r>
        <w:rPr>
          <w:b/>
        </w:rPr>
        <w:t>】</w:t>
      </w:r>
    </w:p>
    <w:p>
      <w:pPr>
        <w:pStyle w:val="Normal"/>
        <w:spacing w:before="280" w:after="200"/>
        <w:rPr/>
      </w:pPr>
      <w:r>
        <w:rPr/>
        <mc:AlternateContent>
          <mc:Choice Requires="wps">
            <w:drawing>
              <wp:inline distT="0" distB="0" distL="0" distR="0">
                <wp:extent cx="5273675" cy="3180715"/>
                <wp:effectExtent l="0" t="0" r="0" b="0"/>
                <wp:docPr id="1" name="形状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形状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273640" cy="318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Style25"/>
        <w:rPr/>
      </w:pPr>
      <w:r>
        <w:rPr/>
        <w:t xml:space="preserve">8.2  </w:t>
      </w:r>
      <w:r>
        <w:rPr/>
        <w:t>合约架构（职责与调用关系）</w:t>
      </w:r>
    </w:p>
    <w:p>
      <w:pPr>
        <w:pStyle w:val="Normal"/>
        <w:spacing w:before="280" w:after="200"/>
        <w:rPr/>
      </w:pPr>
      <w:r>
        <w:rPr>
          <w:b/>
        </w:rPr>
        <w:t>四问法如何映射到合约架构：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 xml:space="preserve">谁？（车主、平台、维保、金融）→ 决定 </w:t>
      </w:r>
      <w:r>
        <w:rPr/>
        <w:t xml:space="preserve">AccessControl </w:t>
      </w:r>
      <w:r>
        <w:rPr/>
        <w:t>中的角色权限设计。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 xml:space="preserve">对谁做什么？（申请上链、抵押、存证）→ 决定各合约中的函数设计（如 </w:t>
      </w:r>
      <w:r>
        <w:rPr/>
        <w:t>register</w:t>
      </w:r>
      <w:r>
        <w:rPr/>
        <w:t>、</w:t>
      </w:r>
      <w:r>
        <w:rPr/>
        <w:t>mortgage</w:t>
      </w:r>
      <w:r>
        <w:rPr/>
        <w:t>、</w:t>
      </w:r>
      <w:r>
        <w:rPr/>
        <w:t>addEvidence</w:t>
      </w:r>
      <w:r>
        <w:rPr/>
        <w:t>）。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凭什么？（凭什么只能平台登记？凭什么只能金融改抵押状态？）→ 决定权限修饰器（</w:t>
      </w:r>
      <w:r>
        <w:rPr/>
        <w:t>modifier</w:t>
      </w:r>
      <w:r>
        <w:rPr/>
        <w:t xml:space="preserve">）的设计（如 </w:t>
      </w:r>
      <w:r>
        <w:rPr/>
        <w:t>onlyPlatform</w:t>
      </w:r>
      <w:r>
        <w:rPr/>
        <w:t>）。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留下什么？（</w:t>
      </w:r>
      <w:r>
        <w:rPr/>
        <w:t>VIN</w:t>
      </w:r>
      <w:r>
        <w:rPr/>
        <w:t>的哈希、抵押状态、存证哈希）→ 决定链上的数据结构（</w:t>
      </w:r>
      <w:r>
        <w:rPr/>
        <w:t>struct + mapping</w:t>
      </w:r>
      <w:r>
        <w:rPr/>
        <w:t>）。</w:t>
      </w:r>
    </w:p>
    <w:p>
      <w:pPr>
        <w:pStyle w:val="Normal"/>
        <w:spacing w:before="280" w:after="200"/>
        <w:rPr/>
      </w:pPr>
      <w:r>
        <w:rPr>
          <w:b/>
        </w:rPr>
        <w:t>合约职责与调用关系表：</w:t>
      </w:r>
    </w:p>
    <w:tbl>
      <w:tblPr>
        <w:tblW w:w="83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769"/>
        <w:gridCol w:w="2769"/>
        <w:gridCol w:w="2769"/>
      </w:tblGrid>
      <w:tr>
        <w:trPr/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合约名称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职责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调用关系</w:t>
            </w:r>
          </w:p>
        </w:tc>
      </w:tr>
      <w:tr>
        <w:trPr/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AccessControl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角色定义、授权</w:t>
            </w:r>
            <w:r>
              <w:rPr/>
              <w:t>/</w:t>
            </w:r>
            <w:r>
              <w:rPr/>
              <w:t>撤销、权限修饰器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被所有业务合约调用做权限校验</w:t>
            </w:r>
          </w:p>
        </w:tc>
      </w:tr>
      <w:tr>
        <w:trPr/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VehicleRegistry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车辆创建、</w:t>
            </w:r>
            <w:r>
              <w:rPr/>
              <w:t>VIN</w:t>
            </w:r>
            <w:r>
              <w:rPr/>
              <w:t>唯一校验、权属</w:t>
            </w:r>
            <w:r>
              <w:rPr/>
              <w:t>/</w:t>
            </w:r>
            <w:r>
              <w:rPr/>
              <w:t>抵押状态机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 xml:space="preserve">调用 </w:t>
            </w:r>
            <w:r>
              <w:rPr/>
              <w:t>AccessControl</w:t>
            </w:r>
            <w:r>
              <w:rPr/>
              <w:t xml:space="preserve">；被 </w:t>
            </w:r>
            <w:r>
              <w:rPr/>
              <w:t xml:space="preserve">MortgageContract </w:t>
            </w:r>
            <w:r>
              <w:rPr/>
              <w:t>调用状态</w:t>
            </w:r>
          </w:p>
        </w:tc>
      </w:tr>
      <w:tr>
        <w:trPr/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EvidenceStore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存证哈希、来源、时间戳、更正追加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被维保</w:t>
            </w:r>
            <w:r>
              <w:rPr/>
              <w:t>/</w:t>
            </w:r>
            <w:r>
              <w:rPr/>
              <w:t>车辆服务调用</w:t>
            </w:r>
          </w:p>
        </w:tc>
      </w:tr>
      <w:tr>
        <w:trPr/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MortgageContract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抵押登记、解押、逾期标记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 xml:space="preserve">调用 </w:t>
            </w:r>
            <w:r>
              <w:rPr/>
              <w:t xml:space="preserve">VehicleRegistry </w:t>
            </w:r>
            <w:r>
              <w:rPr/>
              <w:t>改状态、</w:t>
            </w:r>
            <w:r>
              <w:rPr/>
              <w:t xml:space="preserve">AccessControl </w:t>
            </w:r>
            <w:r>
              <w:rPr/>
              <w:t>校验</w:t>
            </w:r>
          </w:p>
        </w:tc>
      </w:tr>
      <w:tr>
        <w:trPr/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ProfitSplit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分账规则、分账记录、防重入提现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 xml:space="preserve">调用 </w:t>
            </w:r>
            <w:r>
              <w:rPr/>
              <w:t xml:space="preserve">VehicleRegistry </w:t>
            </w:r>
            <w:r>
              <w:rPr/>
              <w:t>读归属</w:t>
            </w:r>
          </w:p>
        </w:tc>
      </w:tr>
      <w:tr>
        <w:trPr/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MockOracle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模拟外部车况数据（仅测试用）</w:t>
            </w:r>
          </w:p>
        </w:tc>
        <w:tc>
          <w:tcPr>
            <w:tcW w:w="27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供测试环境调用</w:t>
            </w:r>
          </w:p>
        </w:tc>
      </w:tr>
    </w:tbl>
    <w:p>
      <w:pPr>
        <w:pStyle w:val="Normal"/>
        <w:spacing w:before="280" w:after="200"/>
        <w:rPr/>
      </w:pPr>
      <w:r>
        <w:rPr>
          <w:b/>
        </w:rPr>
        <w:t>【合约架构图</w:t>
      </w:r>
      <w:r>
        <w:rPr>
          <w:b/>
        </w:rPr>
        <w:t>.png</w:t>
      </w:r>
      <w:r>
        <w:rPr>
          <w:b/>
        </w:rPr>
        <w:t>】</w:t>
      </w:r>
    </w:p>
    <w:p>
      <w:pPr>
        <w:pStyle w:val="Normal"/>
        <w:spacing w:before="280" w:after="200"/>
        <w:rPr/>
      </w:pPr>
      <w:r>
        <w:rPr/>
        <mc:AlternateContent>
          <mc:Choice Requires="wps">
            <w:drawing>
              <wp:inline distT="0" distB="0" distL="0" distR="0">
                <wp:extent cx="5273675" cy="2732405"/>
                <wp:effectExtent l="0" t="0" r="0" b="0"/>
                <wp:docPr id="3" name="形状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形状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273640" cy="27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Style24"/>
        <w:rPr/>
      </w:pPr>
      <w:r>
        <w:rPr/>
        <w:t xml:space="preserve">9  </w:t>
      </w:r>
      <w:r>
        <w:rPr/>
        <w:t>开发计划</w:t>
      </w:r>
    </w:p>
    <w:p>
      <w:pPr>
        <w:pStyle w:val="Style25"/>
        <w:rPr/>
      </w:pPr>
      <w:r>
        <w:rPr/>
        <w:t xml:space="preserve">9.1  </w:t>
      </w:r>
      <w:r>
        <w:rPr/>
        <w:t>下一步要写的合约清单</w:t>
      </w:r>
    </w:p>
    <w:tbl>
      <w:tblPr>
        <w:tblW w:w="83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076"/>
        <w:gridCol w:w="2076"/>
        <w:gridCol w:w="2076"/>
        <w:gridCol w:w="2075"/>
      </w:tblGrid>
      <w:tr>
        <w:trPr/>
        <w:tc>
          <w:tcPr>
            <w:tcW w:w="2076" w:type="dxa"/>
            <w:tcBorders/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顺序</w:t>
            </w:r>
          </w:p>
        </w:tc>
        <w:tc>
          <w:tcPr>
            <w:tcW w:w="2076" w:type="dxa"/>
            <w:tcBorders/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合约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模块</w:t>
            </w:r>
          </w:p>
        </w:tc>
        <w:tc>
          <w:tcPr>
            <w:tcW w:w="2076" w:type="dxa"/>
            <w:tcBorders/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目标产出</w:t>
            </w:r>
          </w:p>
        </w:tc>
        <w:tc>
          <w:tcPr>
            <w:tcW w:w="2075" w:type="dxa"/>
            <w:tcBorders/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排期</w:t>
            </w:r>
          </w:p>
        </w:tc>
      </w:tr>
      <w:tr>
        <w:trPr/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AccessControl.sol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 xml:space="preserve">角色、授权、撤销、权限修饰器 </w:t>
            </w:r>
            <w:r>
              <w:rPr/>
              <w:t xml:space="preserve">+ </w:t>
            </w:r>
            <w:r>
              <w:rPr/>
              <w:t>单测</w:t>
            </w:r>
          </w:p>
        </w:tc>
        <w:tc>
          <w:tcPr>
            <w:tcW w:w="2075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第</w:t>
            </w:r>
            <w:r>
              <w:rPr/>
              <w:t>2</w:t>
            </w:r>
            <w:r>
              <w:rPr/>
              <w:t>周</w:t>
            </w:r>
          </w:p>
        </w:tc>
      </w:tr>
      <w:tr>
        <w:trPr/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2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VehicleRegistry.sol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车辆创建、</w:t>
            </w:r>
            <w:r>
              <w:rPr/>
              <w:t>VIN</w:t>
            </w:r>
            <w:r>
              <w:rPr/>
              <w:t xml:space="preserve">唯一、状态机 </w:t>
            </w:r>
            <w:r>
              <w:rPr/>
              <w:t xml:space="preserve">+ </w:t>
            </w:r>
            <w:r>
              <w:rPr/>
              <w:t>单测</w:t>
            </w:r>
          </w:p>
        </w:tc>
        <w:tc>
          <w:tcPr>
            <w:tcW w:w="2075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第</w:t>
            </w:r>
            <w:r>
              <w:rPr/>
              <w:t>2</w:t>
            </w:r>
            <w:r>
              <w:rPr/>
              <w:t>周</w:t>
            </w:r>
          </w:p>
        </w:tc>
      </w:tr>
      <w:tr>
        <w:trPr/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EvidenceStore.sol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哈希存证、来源、更正追加</w:t>
            </w:r>
          </w:p>
        </w:tc>
        <w:tc>
          <w:tcPr>
            <w:tcW w:w="2075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第</w:t>
            </w:r>
            <w:r>
              <w:rPr/>
              <w:t>3</w:t>
            </w:r>
            <w:r>
              <w:rPr/>
              <w:t>周</w:t>
            </w:r>
          </w:p>
        </w:tc>
      </w:tr>
      <w:tr>
        <w:trPr/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4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MortgageContract.sol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抵押登记、解押、逾期标记</w:t>
            </w:r>
          </w:p>
        </w:tc>
        <w:tc>
          <w:tcPr>
            <w:tcW w:w="2075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第</w:t>
            </w:r>
            <w:r>
              <w:rPr/>
              <w:t>3</w:t>
            </w:r>
            <w:r>
              <w:rPr/>
              <w:t>周</w:t>
            </w:r>
          </w:p>
        </w:tc>
      </w:tr>
      <w:tr>
        <w:trPr/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5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ProfitSplit.sol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分账规则、分账记录、防重入提现</w:t>
            </w:r>
          </w:p>
        </w:tc>
        <w:tc>
          <w:tcPr>
            <w:tcW w:w="2075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第</w:t>
            </w:r>
            <w:r>
              <w:rPr/>
              <w:t>4</w:t>
            </w:r>
            <w:r>
              <w:rPr/>
              <w:t>周</w:t>
            </w:r>
          </w:p>
        </w:tc>
      </w:tr>
      <w:tr>
        <w:trPr/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6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MockOracle.sol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模拟外部车况数据（仅测试用）</w:t>
            </w:r>
          </w:p>
        </w:tc>
        <w:tc>
          <w:tcPr>
            <w:tcW w:w="2075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第</w:t>
            </w:r>
            <w:r>
              <w:rPr/>
              <w:t>4</w:t>
            </w:r>
            <w:r>
              <w:rPr/>
              <w:t>周</w:t>
            </w:r>
          </w:p>
        </w:tc>
      </w:tr>
    </w:tbl>
    <w:p>
      <w:pPr>
        <w:pStyle w:val="Style25"/>
        <w:rPr/>
      </w:pPr>
      <w:r>
        <w:rPr/>
        <w:t xml:space="preserve">9.2  </w:t>
      </w:r>
      <w:r>
        <w:rPr/>
        <w:t>排期与验收标准</w:t>
      </w:r>
    </w:p>
    <w:p>
      <w:pPr>
        <w:pStyle w:val="Normal"/>
        <w:spacing w:before="280" w:after="200"/>
        <w:rPr/>
      </w:pPr>
      <w:r>
        <w:rPr>
          <w:b/>
        </w:rPr>
        <w:t>排期：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第</w:t>
      </w:r>
      <w:r>
        <w:rPr/>
        <w:t>1</w:t>
      </w:r>
      <w:r>
        <w:rPr/>
        <w:t>周：需求与架构定稿（流程图、架构图）。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第</w:t>
      </w:r>
      <w:r>
        <w:rPr/>
        <w:t>2</w:t>
      </w:r>
      <w:r>
        <w:rPr/>
        <w:t>周：</w:t>
      </w:r>
      <w:r>
        <w:rPr/>
        <w:t xml:space="preserve">AccessControl + VehicleRegistry </w:t>
      </w:r>
      <w:r>
        <w:rPr/>
        <w:t>开发与单测。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第</w:t>
      </w:r>
      <w:r>
        <w:rPr/>
        <w:t>3</w:t>
      </w:r>
      <w:r>
        <w:rPr/>
        <w:t>周：</w:t>
      </w:r>
      <w:r>
        <w:rPr/>
        <w:t xml:space="preserve">EvidenceStore + MortgageContract </w:t>
      </w:r>
      <w:r>
        <w:rPr/>
        <w:t>与服务层联调。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第</w:t>
      </w:r>
      <w:r>
        <w:rPr/>
        <w:t>4</w:t>
      </w:r>
      <w:r>
        <w:rPr/>
        <w:t>周：</w:t>
      </w:r>
      <w:r>
        <w:rPr/>
        <w:t>ProfitSplit</w:t>
      </w:r>
      <w:r>
        <w:rPr/>
        <w:t>、压力测试与合约审计修复。</w:t>
      </w:r>
    </w:p>
    <w:p>
      <w:pPr>
        <w:pStyle w:val="Normal"/>
        <w:spacing w:before="280" w:after="200"/>
        <w:rPr/>
      </w:pPr>
      <w:r>
        <w:rPr/>
        <w:t xml:space="preserve">· </w:t>
      </w:r>
      <w:r>
        <w:rPr/>
        <w:t>第</w:t>
      </w:r>
      <w:r>
        <w:rPr/>
        <w:t>5</w:t>
      </w:r>
      <w:r>
        <w:rPr/>
        <w:t>周：前端接入、演示与文档归档。</w:t>
      </w:r>
    </w:p>
    <w:p>
      <w:pPr>
        <w:pStyle w:val="Normal"/>
        <w:spacing w:before="280" w:after="200"/>
        <w:rPr/>
      </w:pPr>
      <w:r>
        <w:rPr/>
        <w:t>验收标准：所有合约具备覆盖正常与越权路径的单元测试；无重入、无未校验权限写入、无整数溢出；关键操作均有事件可被监听服务消费。</w:t>
      </w:r>
    </w:p>
    <w:p>
      <w:pPr>
        <w:pStyle w:val="Style24"/>
        <w:rPr/>
      </w:pPr>
      <w:r>
        <w:rPr/>
        <w:t xml:space="preserve">10  </w:t>
      </w:r>
      <w:r>
        <w:rPr/>
        <w:t>验收用例</w:t>
      </w:r>
    </w:p>
    <w:tbl>
      <w:tblPr>
        <w:tblW w:w="83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661"/>
        <w:gridCol w:w="1661"/>
        <w:gridCol w:w="1661"/>
        <w:gridCol w:w="1661"/>
        <w:gridCol w:w="1662"/>
      </w:tblGrid>
      <w:tr>
        <w:trPr/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场景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前置条件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操作步骤</w:t>
            </w:r>
          </w:p>
        </w:tc>
        <w:tc>
          <w:tcPr>
            <w:tcW w:w="16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</w:rPr>
              <w:t>预期结果</w:t>
            </w:r>
          </w:p>
        </w:tc>
      </w:tr>
      <w:tr>
        <w:trPr/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TC-01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车辆正常上链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平台已授权、</w:t>
            </w:r>
            <w:r>
              <w:rPr/>
              <w:t>VIN</w:t>
            </w:r>
            <w:r>
              <w:rPr/>
              <w:t>未登记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平台提交合法</w:t>
            </w:r>
            <w:r>
              <w:rPr/>
              <w:t>VIN</w:t>
            </w:r>
            <w:r>
              <w:rPr/>
              <w:t>与信息</w:t>
            </w:r>
          </w:p>
        </w:tc>
        <w:tc>
          <w:tcPr>
            <w:tcW w:w="16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写入成功、生成</w:t>
            </w:r>
            <w:r>
              <w:rPr/>
              <w:t>vinHash</w:t>
            </w:r>
            <w:r>
              <w:rPr/>
              <w:t>、触发登记事件</w:t>
            </w:r>
          </w:p>
        </w:tc>
      </w:tr>
      <w:tr>
        <w:trPr/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TC-02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VIN</w:t>
            </w:r>
            <w:r>
              <w:rPr/>
              <w:t>重复登记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该</w:t>
            </w:r>
            <w:r>
              <w:rPr/>
              <w:t>VIN</w:t>
            </w:r>
            <w:r>
              <w:rPr/>
              <w:t>已上链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再次以相同</w:t>
            </w:r>
            <w:r>
              <w:rPr/>
              <w:t>VIN</w:t>
            </w:r>
            <w:r>
              <w:rPr/>
              <w:t>上链</w:t>
            </w:r>
          </w:p>
        </w:tc>
        <w:tc>
          <w:tcPr>
            <w:tcW w:w="16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 xml:space="preserve">合约拒绝并提示 </w:t>
            </w:r>
            <w:r>
              <w:rPr/>
              <w:t>vin exists</w:t>
            </w:r>
            <w:r>
              <w:rPr/>
              <w:t>，账本无新增</w:t>
            </w:r>
          </w:p>
        </w:tc>
      </w:tr>
      <w:tr>
        <w:trPr/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TC-03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非平台越权上链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调用方非平台角色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 xml:space="preserve">非平台地址调用 </w:t>
            </w:r>
            <w:r>
              <w:rPr/>
              <w:t>register</w:t>
            </w:r>
          </w:p>
        </w:tc>
        <w:tc>
          <w:tcPr>
            <w:tcW w:w="16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 xml:space="preserve">被 </w:t>
            </w:r>
            <w:r>
              <w:rPr/>
              <w:t xml:space="preserve">AccessControl </w:t>
            </w:r>
            <w:r>
              <w:rPr/>
              <w:t>拒绝，交易回滚</w:t>
            </w:r>
          </w:p>
        </w:tc>
      </w:tr>
      <w:tr>
        <w:trPr/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TC-04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维保存证防篡改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车辆已上链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维保方上传记录哈希后再改原文</w:t>
            </w:r>
          </w:p>
        </w:tc>
        <w:tc>
          <w:tcPr>
            <w:tcW w:w="16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原文变化导致哈希校验失败，存证不被认可</w:t>
            </w:r>
          </w:p>
        </w:tc>
      </w:tr>
      <w:tr>
        <w:trPr/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TC-05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存证更正追加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存在有误存证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对原存证追加更正记录</w:t>
            </w:r>
          </w:p>
        </w:tc>
        <w:tc>
          <w:tcPr>
            <w:tcW w:w="16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新记录写入、原记录保留并标记失效</w:t>
            </w:r>
          </w:p>
        </w:tc>
      </w:tr>
      <w:tr>
        <w:trPr/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TC-06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抵押与解押状态流转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车辆状态为已核验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金融机构抵押后解押</w:t>
            </w:r>
          </w:p>
        </w:tc>
        <w:tc>
          <w:tcPr>
            <w:tcW w:w="16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Verified → Mortgaged → Verified</w:t>
            </w:r>
            <w:r>
              <w:rPr/>
              <w:t>，全程留痕</w:t>
            </w:r>
          </w:p>
        </w:tc>
      </w:tr>
      <w:tr>
        <w:trPr/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TC-07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越权变更抵押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调用方非金融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非授权地址调用抵押变更</w:t>
            </w:r>
          </w:p>
        </w:tc>
        <w:tc>
          <w:tcPr>
            <w:tcW w:w="16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被拒绝，状态不变</w:t>
            </w:r>
          </w:p>
        </w:tc>
      </w:tr>
    </w:tbl>
    <w:p>
      <w:pPr>
        <w:pStyle w:val="Style24"/>
        <w:spacing w:before="200" w:after="120"/>
        <w:rPr/>
      </w:pPr>
      <w:r>
        <w:rPr>
          <w:rFonts w:ascii="Times New Roman" w:hAnsi="Times New Roman" w:cs="Times New Roman" w:eastAsia="黑体"/>
          <w:b/>
          <w:sz w:val="30"/>
        </w:rPr>
        <w:t xml:space="preserve">附录 </w:t>
      </w:r>
      <w:r>
        <w:rPr>
          <w:rFonts w:eastAsia="黑体" w:cs="Times New Roman" w:ascii="Times New Roman" w:hAnsi="Times New Roman"/>
          <w:b/>
          <w:sz w:val="30"/>
        </w:rPr>
        <w:t xml:space="preserve">A  </w:t>
      </w:r>
      <w:r>
        <w:rPr>
          <w:rFonts w:ascii="Times New Roman" w:hAnsi="Times New Roman" w:cs="Times New Roman" w:eastAsia="黑体"/>
          <w:b/>
          <w:sz w:val="30"/>
        </w:rPr>
        <w:t>碳排放的定义与量化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本附录为平台碳相关功能（碳足迹核算、减排量与碳积分换算）提供计算依据。数据为公开资料整理的参考值，实际核算须以权威排放因子与实测为准。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A.1  </w:t>
      </w:r>
      <w:r>
        <w:rPr>
          <w:rFonts w:ascii="Times New Roman" w:hAnsi="Times New Roman" w:cs="Times New Roman" w:eastAsia="黑体"/>
          <w:b/>
          <w:sz w:val="26"/>
        </w:rPr>
        <w:t>核心概念</w:t>
      </w:r>
    </w:p>
    <w:tbl>
      <w:tblPr>
        <w:tblW w:w="83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152"/>
        <w:gridCol w:w="6153"/>
      </w:tblGrid>
      <w:tr>
        <w:trPr/>
        <w:tc>
          <w:tcPr>
            <w:tcW w:w="2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概念</w:t>
            </w:r>
          </w:p>
        </w:tc>
        <w:tc>
          <w:tcPr>
            <w:tcW w:w="61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定义</w:t>
            </w:r>
          </w:p>
        </w:tc>
      </w:tr>
      <w:tr>
        <w:trPr/>
        <w:tc>
          <w:tcPr>
            <w:tcW w:w="2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碳排放</w:t>
            </w:r>
          </w:p>
        </w:tc>
        <w:tc>
          <w:tcPr>
            <w:tcW w:w="61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人类活动向大气排放二氧化碳等温室气体的过程与数量</w:t>
            </w:r>
          </w:p>
        </w:tc>
      </w:tr>
      <w:tr>
        <w:trPr/>
        <w:tc>
          <w:tcPr>
            <w:tcW w:w="2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温室气体</w:t>
            </w:r>
          </w:p>
        </w:tc>
        <w:tc>
          <w:tcPr>
            <w:tcW w:w="61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宋体" w:cs="Times New Roman"/>
                <w:b w:val="false"/>
                <w:sz w:val="21"/>
              </w:rPr>
              <w:t>CO₂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、</w:t>
            </w:r>
            <w:r>
              <w:rPr>
                <w:rFonts w:eastAsia="宋体" w:cs="Times New Roman"/>
                <w:b w:val="false"/>
                <w:sz w:val="21"/>
              </w:rPr>
              <w:t>CH₄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、</w:t>
            </w:r>
            <w:r>
              <w:rPr>
                <w:rFonts w:eastAsia="宋体" w:cs="Times New Roman"/>
                <w:b w:val="false"/>
                <w:sz w:val="21"/>
              </w:rPr>
              <w:t>N₂O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、</w:t>
            </w:r>
            <w:r>
              <w:rPr>
                <w:rFonts w:eastAsia="宋体" w:cs="Times New Roman"/>
                <w:b w:val="false"/>
                <w:sz w:val="21"/>
              </w:rPr>
              <w:t xml:space="preserve">HFCs 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等能产生温室效应的气体</w:t>
            </w:r>
          </w:p>
        </w:tc>
      </w:tr>
      <w:tr>
        <w:trPr/>
        <w:tc>
          <w:tcPr>
            <w:tcW w:w="2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宋体" w:cs="Times New Roman"/>
                <w:b w:val="false"/>
                <w:sz w:val="21"/>
              </w:rPr>
              <w:t>CO₂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当量</w:t>
            </w:r>
            <w:r>
              <w:rPr>
                <w:rFonts w:eastAsia="宋体" w:cs="Times New Roman"/>
                <w:b w:val="false"/>
                <w:sz w:val="21"/>
              </w:rPr>
              <w:t>(CO₂e)</w:t>
            </w:r>
          </w:p>
        </w:tc>
        <w:tc>
          <w:tcPr>
            <w:tcW w:w="61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按全球增温潜势</w:t>
            </w:r>
            <w:r>
              <w:rPr>
                <w:rFonts w:eastAsia="宋体" w:cs="Times New Roman"/>
                <w:b w:val="false"/>
                <w:sz w:val="21"/>
              </w:rPr>
              <w:t>(GWP)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将各种温室气体折算成等效 </w:t>
            </w:r>
            <w:r>
              <w:rPr>
                <w:rFonts w:eastAsia="宋体" w:cs="Times New Roman"/>
                <w:b w:val="false"/>
                <w:sz w:val="21"/>
              </w:rPr>
              <w:t xml:space="preserve">CO₂ 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的量，便于统一计量</w:t>
            </w:r>
          </w:p>
        </w:tc>
      </w:tr>
      <w:tr>
        <w:trPr/>
        <w:tc>
          <w:tcPr>
            <w:tcW w:w="2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碳足迹</w:t>
            </w:r>
          </w:p>
        </w:tc>
        <w:tc>
          <w:tcPr>
            <w:tcW w:w="61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个人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产品</w:t>
            </w:r>
            <w:r>
              <w:rPr>
                <w:rFonts w:eastAsia="宋体" w:cs="Times New Roman"/>
                <w:b w:val="false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组织在一定周期内直接和间接产生的温室气体总量（以 </w:t>
            </w:r>
            <w:r>
              <w:rPr>
                <w:rFonts w:eastAsia="宋体" w:cs="Times New Roman"/>
                <w:b w:val="false"/>
                <w:sz w:val="21"/>
              </w:rPr>
              <w:t xml:space="preserve">CO₂e </w:t>
            </w: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表示）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A.2  </w:t>
      </w:r>
      <w:r>
        <w:rPr>
          <w:rFonts w:ascii="Times New Roman" w:hAnsi="Times New Roman" w:cs="Times New Roman" w:eastAsia="黑体"/>
          <w:b/>
          <w:sz w:val="26"/>
        </w:rPr>
        <w:t>常见温室气体全球增温潜势</w:t>
      </w:r>
      <w:r>
        <w:rPr>
          <w:rFonts w:eastAsia="黑体" w:cs="Times New Roman" w:ascii="Times New Roman" w:hAnsi="Times New Roman"/>
          <w:b/>
          <w:sz w:val="26"/>
        </w:rPr>
        <w:t>(GWP,100</w:t>
      </w:r>
      <w:r>
        <w:rPr>
          <w:rFonts w:ascii="Times New Roman" w:hAnsi="Times New Roman" w:cs="Times New Roman" w:eastAsia="黑体"/>
          <w:b/>
          <w:sz w:val="26"/>
        </w:rPr>
        <w:t>年</w:t>
      </w:r>
      <w:r>
        <w:rPr>
          <w:rFonts w:eastAsia="黑体" w:cs="Times New Roman" w:ascii="Times New Roman" w:hAnsi="Times New Roman"/>
          <w:b/>
          <w:sz w:val="26"/>
        </w:rPr>
        <w:t>)</w:t>
      </w:r>
    </w:p>
    <w:tbl>
      <w:tblPr>
        <w:tblW w:w="83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266"/>
        <w:gridCol w:w="2268"/>
        <w:gridCol w:w="3773"/>
      </w:tblGrid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气体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分子式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/>
                <w:color w:val="FFFFFF"/>
                <w:sz w:val="21"/>
              </w:rPr>
              <w:t>GWP(</w:t>
            </w: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以</w:t>
            </w:r>
            <w:r>
              <w:rPr>
                <w:rFonts w:eastAsia="宋体" w:cs="Times New Roman"/>
                <w:b/>
                <w:color w:val="FFFFFF"/>
                <w:sz w:val="21"/>
              </w:rPr>
              <w:t>CO₂=1)</w:t>
            </w:r>
          </w:p>
        </w:tc>
      </w:tr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二氧化碳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CO₂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宋体" w:cs="Times New Roman"/>
                <w:b w:val="false"/>
                <w:sz w:val="21"/>
              </w:rPr>
              <w:t>1</w:t>
            </w:r>
          </w:p>
        </w:tc>
      </w:tr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甲烷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CH₄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约 </w:t>
            </w:r>
            <w:r>
              <w:rPr>
                <w:rFonts w:eastAsia="宋体" w:cs="Times New Roman"/>
                <w:b w:val="false"/>
                <w:sz w:val="21"/>
              </w:rPr>
              <w:t>28</w:t>
            </w:r>
          </w:p>
        </w:tc>
      </w:tr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氧化亚氮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N₂O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约 </w:t>
            </w:r>
            <w:r>
              <w:rPr>
                <w:rFonts w:eastAsia="宋体" w:cs="Times New Roman"/>
                <w:b w:val="false"/>
                <w:sz w:val="21"/>
              </w:rPr>
              <w:t>265</w:t>
            </w:r>
          </w:p>
        </w:tc>
      </w:tr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氢氟碳化物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宋体" w:cs="Times New Roman"/>
                <w:b w:val="false"/>
                <w:sz w:val="21"/>
              </w:rPr>
              <w:t>HFCs</w:t>
            </w:r>
          </w:p>
        </w:tc>
        <w:tc>
          <w:tcPr>
            <w:tcW w:w="37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数百至上千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换算方法：某气体排放量 </w:t>
      </w:r>
      <w:r>
        <w:rPr>
          <w:rFonts w:eastAsia="宋体" w:cs="Times New Roman" w:ascii="Times New Roman" w:hAnsi="Times New Roman"/>
          <w:sz w:val="24"/>
        </w:rPr>
        <w:t xml:space="preserve">× </w:t>
      </w:r>
      <w:r>
        <w:rPr>
          <w:rFonts w:ascii="Times New Roman" w:hAnsi="Times New Roman" w:cs="Times New Roman"/>
          <w:sz w:val="24"/>
        </w:rPr>
        <w:t xml:space="preserve">其 </w:t>
      </w:r>
      <w:r>
        <w:rPr>
          <w:rFonts w:eastAsia="宋体" w:cs="Times New Roman" w:ascii="Times New Roman" w:hAnsi="Times New Roman"/>
          <w:sz w:val="24"/>
        </w:rPr>
        <w:t xml:space="preserve">GWP = </w:t>
      </w:r>
      <w:r>
        <w:rPr>
          <w:rFonts w:ascii="Times New Roman" w:hAnsi="Times New Roman" w:cs="Times New Roman"/>
          <w:sz w:val="24"/>
        </w:rPr>
        <w:t xml:space="preserve">折算后的 </w:t>
      </w:r>
      <w:r>
        <w:rPr>
          <w:rFonts w:eastAsia="宋体" w:cs="Times New Roman" w:ascii="Times New Roman" w:hAnsi="Times New Roman"/>
          <w:sz w:val="24"/>
        </w:rPr>
        <w:t>CO₂</w:t>
      </w:r>
      <w:r>
        <w:rPr>
          <w:rFonts w:ascii="Times New Roman" w:hAnsi="Times New Roman" w:cs="Times New Roman"/>
          <w:sz w:val="24"/>
        </w:rPr>
        <w:t xml:space="preserve">当量；将各温室气体 </w:t>
      </w:r>
      <w:r>
        <w:rPr>
          <w:rFonts w:eastAsia="宋体" w:cs="Times New Roman" w:ascii="Times New Roman" w:hAnsi="Times New Roman"/>
          <w:sz w:val="24"/>
        </w:rPr>
        <w:t>CO₂</w:t>
      </w:r>
      <w:r>
        <w:rPr>
          <w:rFonts w:ascii="Times New Roman" w:hAnsi="Times New Roman" w:cs="Times New Roman"/>
          <w:sz w:val="24"/>
        </w:rPr>
        <w:t>当量求和即为总碳足迹。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A.3  </w:t>
      </w:r>
      <w:r>
        <w:rPr>
          <w:rFonts w:ascii="Times New Roman" w:hAnsi="Times New Roman" w:cs="Times New Roman" w:eastAsia="黑体"/>
          <w:b/>
          <w:sz w:val="26"/>
        </w:rPr>
        <w:t>碳排放量的计算方法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方法一</w:t>
      </w:r>
      <w:r>
        <w:rPr>
          <w:rFonts w:eastAsia="宋体" w:cs="Times New Roman" w:ascii="Times New Roman" w:hAnsi="Times New Roman"/>
          <w:sz w:val="24"/>
        </w:rPr>
        <w:t>·</w:t>
      </w:r>
      <w:r>
        <w:rPr>
          <w:rFonts w:ascii="Times New Roman" w:hAnsi="Times New Roman" w:cs="Times New Roman"/>
          <w:sz w:val="24"/>
        </w:rPr>
        <w:t xml:space="preserve">排放因子法（本项目主要采用）：碳排放量 </w:t>
      </w:r>
      <w:r>
        <w:rPr>
          <w:rFonts w:eastAsia="宋体" w:cs="Times New Roman" w:ascii="Times New Roman" w:hAnsi="Times New Roman"/>
          <w:sz w:val="24"/>
        </w:rPr>
        <w:t xml:space="preserve">= </w:t>
      </w:r>
      <w:r>
        <w:rPr>
          <w:rFonts w:ascii="Times New Roman" w:hAnsi="Times New Roman" w:cs="Times New Roman"/>
          <w:sz w:val="24"/>
        </w:rPr>
        <w:t xml:space="preserve">活动数据 </w:t>
      </w:r>
      <w:r>
        <w:rPr>
          <w:rFonts w:eastAsia="宋体" w:cs="Times New Roman" w:ascii="Times New Roman" w:hAnsi="Times New Roman"/>
          <w:sz w:val="24"/>
        </w:rPr>
        <w:t xml:space="preserve">× </w:t>
      </w:r>
      <w:r>
        <w:rPr>
          <w:rFonts w:ascii="Times New Roman" w:hAnsi="Times New Roman" w:cs="Times New Roman"/>
          <w:sz w:val="24"/>
        </w:rPr>
        <w:t xml:space="preserve">排放因子。例：行驶里程 </w:t>
      </w:r>
      <w:r>
        <w:rPr>
          <w:rFonts w:eastAsia="宋体" w:cs="Times New Roman" w:ascii="Times New Roman" w:hAnsi="Times New Roman"/>
          <w:sz w:val="24"/>
        </w:rPr>
        <w:t xml:space="preserve">× </w:t>
      </w:r>
      <w:r>
        <w:rPr>
          <w:rFonts w:ascii="Times New Roman" w:hAnsi="Times New Roman" w:cs="Times New Roman"/>
          <w:sz w:val="24"/>
        </w:rPr>
        <w:t xml:space="preserve">单位里程排放因子 </w:t>
      </w:r>
      <w:r>
        <w:rPr>
          <w:rFonts w:eastAsia="宋体" w:cs="Times New Roman" w:ascii="Times New Roman" w:hAnsi="Times New Roman"/>
          <w:sz w:val="24"/>
        </w:rPr>
        <w:t xml:space="preserve">= </w:t>
      </w:r>
      <w:r>
        <w:rPr>
          <w:rFonts w:ascii="Times New Roman" w:hAnsi="Times New Roman" w:cs="Times New Roman"/>
          <w:sz w:val="24"/>
        </w:rPr>
        <w:t>行驶阶段碳排放。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方法二</w:t>
      </w:r>
      <w:r>
        <w:rPr>
          <w:rFonts w:eastAsia="宋体" w:cs="Times New Roman" w:ascii="Times New Roman" w:hAnsi="Times New Roman"/>
          <w:sz w:val="24"/>
        </w:rPr>
        <w:t>·</w:t>
      </w:r>
      <w:r>
        <w:rPr>
          <w:rFonts w:ascii="Times New Roman" w:hAnsi="Times New Roman" w:cs="Times New Roman"/>
          <w:sz w:val="24"/>
        </w:rPr>
        <w:t>质量平衡法：依据燃料</w:t>
      </w:r>
      <w:r>
        <w:rPr>
          <w:rFonts w:eastAsia="宋体" w:cs="Times New Roman" w:ascii="Times New Roman" w:hAnsi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物料中输入与输出碳的质量差估算排放量，适用于有完整物料台账的场景。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方法三</w:t>
      </w:r>
      <w:r>
        <w:rPr>
          <w:rFonts w:eastAsia="宋体" w:cs="Times New Roman" w:ascii="Times New Roman" w:hAnsi="Times New Roman"/>
          <w:sz w:val="24"/>
        </w:rPr>
        <w:t>·</w:t>
      </w:r>
      <w:r>
        <w:rPr>
          <w:rFonts w:ascii="Times New Roman" w:hAnsi="Times New Roman" w:cs="Times New Roman"/>
          <w:sz w:val="24"/>
        </w:rPr>
        <w:t>实测法：通过尾气</w:t>
      </w:r>
      <w:r>
        <w:rPr>
          <w:rFonts w:eastAsia="宋体" w:cs="Times New Roman" w:ascii="Times New Roman" w:hAnsi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烟气在线监测设备直接测量浓度与流量并累计，精度最高但成本较高。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A.4  </w:t>
      </w:r>
      <w:r>
        <w:rPr>
          <w:rFonts w:ascii="Times New Roman" w:hAnsi="Times New Roman" w:cs="Times New Roman" w:eastAsia="黑体"/>
          <w:b/>
          <w:sz w:val="26"/>
        </w:rPr>
        <w:t>不同车型单位里程碳排放参考值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以下为不同动力类型乘用车单位里程碳排放参考值（</w:t>
      </w:r>
      <w:r>
        <w:rPr>
          <w:rFonts w:eastAsia="宋体" w:cs="Times New Roman" w:ascii="Times New Roman" w:hAnsi="Times New Roman"/>
          <w:sz w:val="24"/>
        </w:rPr>
        <w:t>g CO₂/km</w:t>
      </w:r>
      <w:r>
        <w:rPr>
          <w:rFonts w:ascii="Times New Roman" w:hAnsi="Times New Roman" w:cs="Times New Roman"/>
          <w:sz w:val="24"/>
        </w:rPr>
        <w:t>），用于平台碳足迹估算与减排对比。</w:t>
      </w:r>
    </w:p>
    <w:tbl>
      <w:tblPr>
        <w:tblW w:w="83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266"/>
        <w:gridCol w:w="3175"/>
        <w:gridCol w:w="2866"/>
      </w:tblGrid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车型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单位里程排放</w:t>
            </w:r>
            <w:r>
              <w:rPr>
                <w:rFonts w:eastAsia="宋体" w:cs="Times New Roman"/>
                <w:b/>
                <w:color w:val="FFFFFF"/>
                <w:sz w:val="21"/>
              </w:rPr>
              <w:t>(g CO₂/km)</w:t>
            </w:r>
          </w:p>
        </w:tc>
        <w:tc>
          <w:tcPr>
            <w:tcW w:w="28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1F4E79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柴油车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约 </w:t>
            </w:r>
            <w:r>
              <w:rPr>
                <w:rFonts w:eastAsia="宋体" w:cs="Times New Roman"/>
                <w:b w:val="false"/>
                <w:sz w:val="21"/>
              </w:rPr>
              <w:t>281.9</w:t>
            </w:r>
          </w:p>
        </w:tc>
        <w:tc>
          <w:tcPr>
            <w:tcW w:w="28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燃油车中排放较高</w:t>
            </w:r>
          </w:p>
        </w:tc>
      </w:tr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汽油车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约 </w:t>
            </w:r>
            <w:r>
              <w:rPr>
                <w:rFonts w:eastAsia="宋体" w:cs="Times New Roman"/>
                <w:b w:val="false"/>
                <w:sz w:val="21"/>
              </w:rPr>
              <w:t>209.0</w:t>
            </w:r>
          </w:p>
        </w:tc>
        <w:tc>
          <w:tcPr>
            <w:tcW w:w="28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常规燃油车基准</w:t>
            </w:r>
          </w:p>
        </w:tc>
      </w:tr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混合动力</w:t>
            </w:r>
            <w:r>
              <w:rPr>
                <w:rFonts w:eastAsia="宋体" w:cs="Times New Roman"/>
                <w:b w:val="false"/>
                <w:sz w:val="21"/>
              </w:rPr>
              <w:t>(HEV)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约 </w:t>
            </w:r>
            <w:r>
              <w:rPr>
                <w:rFonts w:eastAsia="宋体" w:cs="Times New Roman"/>
                <w:b w:val="false"/>
                <w:sz w:val="21"/>
              </w:rPr>
              <w:t>167.2</w:t>
            </w:r>
          </w:p>
        </w:tc>
        <w:tc>
          <w:tcPr>
            <w:tcW w:w="28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油电混合，无需外接充电</w:t>
            </w:r>
          </w:p>
        </w:tc>
      </w:tr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插电混动</w:t>
            </w:r>
            <w:r>
              <w:rPr>
                <w:rFonts w:eastAsia="宋体" w:cs="Times New Roman"/>
                <w:b w:val="false"/>
                <w:sz w:val="21"/>
              </w:rPr>
              <w:t>(PHEV)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约 </w:t>
            </w:r>
            <w:r>
              <w:rPr>
                <w:rFonts w:eastAsia="宋体" w:cs="Times New Roman"/>
                <w:b w:val="false"/>
                <w:sz w:val="21"/>
              </w:rPr>
              <w:t>180.9</w:t>
            </w:r>
          </w:p>
        </w:tc>
        <w:tc>
          <w:tcPr>
            <w:tcW w:w="28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可外接充电，随用电比例下降</w:t>
            </w:r>
          </w:p>
        </w:tc>
      </w:tr>
      <w:tr>
        <w:trPr/>
        <w:tc>
          <w:tcPr>
            <w:tcW w:w="22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纯电动</w:t>
            </w:r>
            <w:r>
              <w:rPr>
                <w:rFonts w:eastAsia="宋体" w:cs="Times New Roman"/>
                <w:b w:val="false"/>
                <w:sz w:val="21"/>
              </w:rPr>
              <w:t>(BEV)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 xml:space="preserve">约 </w:t>
            </w:r>
            <w:r>
              <w:rPr>
                <w:rFonts w:eastAsia="宋体" w:cs="Times New Roman"/>
                <w:b w:val="false"/>
                <w:sz w:val="21"/>
              </w:rPr>
              <w:t>153.7</w:t>
            </w:r>
          </w:p>
        </w:tc>
        <w:tc>
          <w:tcPr>
            <w:tcW w:w="286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Times New Roman" w:hAnsi="Times New Roman" w:cs="Times New Roman" w:eastAsia="宋体"/>
                <w:b w:val="false"/>
                <w:sz w:val="21"/>
              </w:rPr>
              <w:t>按电网电力折算，随清洁能源占比进一步降低</w:t>
            </w:r>
          </w:p>
        </w:tc>
      </w:tr>
    </w:tbl>
    <w:p>
      <w:pPr>
        <w:pStyle w:val="Normal"/>
        <w:spacing w:before="280" w:after="200"/>
        <w:rPr/>
      </w:pPr>
      <w:r>
        <w:rPr/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>说明：纯电动车排放取决于电力结构，使用清洁能源时实际排放显著下降；上表为参考均值，平台应支持按地区电网因子配置。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A.5  </w:t>
      </w:r>
      <w:r>
        <w:rPr>
          <w:rFonts w:ascii="Times New Roman" w:hAnsi="Times New Roman" w:cs="Times New Roman" w:eastAsia="黑体"/>
          <w:b/>
          <w:sz w:val="26"/>
        </w:rPr>
        <w:t>减排效果与碳减排量计算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减排量 </w:t>
      </w:r>
      <w:r>
        <w:rPr>
          <w:rFonts w:eastAsia="宋体" w:cs="Times New Roman" w:ascii="Times New Roman" w:hAnsi="Times New Roman"/>
          <w:sz w:val="24"/>
        </w:rPr>
        <w:t xml:space="preserve">= </w:t>
      </w:r>
      <w:r>
        <w:rPr>
          <w:rFonts w:ascii="Times New Roman" w:hAnsi="Times New Roman" w:cs="Times New Roman"/>
          <w:sz w:val="24"/>
        </w:rPr>
        <w:t xml:space="preserve">基准情景排放 − 项目情景排放。示例：一辆车年行驶 </w:t>
      </w:r>
      <w:r>
        <w:rPr>
          <w:rFonts w:eastAsia="宋体" w:cs="Times New Roman" w:ascii="Times New Roman" w:hAnsi="Times New Roman"/>
          <w:sz w:val="24"/>
        </w:rPr>
        <w:t>20,000 km</w:t>
      </w:r>
      <w:r>
        <w:rPr>
          <w:rFonts w:ascii="Times New Roman" w:hAnsi="Times New Roman" w:cs="Times New Roman"/>
          <w:sz w:val="24"/>
        </w:rPr>
        <w:t>，由汽油车（</w:t>
      </w:r>
      <w:r>
        <w:rPr>
          <w:rFonts w:eastAsia="宋体" w:cs="Times New Roman" w:ascii="Times New Roman" w:hAnsi="Times New Roman"/>
          <w:sz w:val="24"/>
        </w:rPr>
        <w:t>209.0 g/km</w:t>
      </w:r>
      <w:r>
        <w:rPr>
          <w:rFonts w:ascii="Times New Roman" w:hAnsi="Times New Roman" w:cs="Times New Roman"/>
          <w:sz w:val="24"/>
        </w:rPr>
        <w:t>）改为纯电动（</w:t>
      </w:r>
      <w:r>
        <w:rPr>
          <w:rFonts w:eastAsia="宋体" w:cs="Times New Roman" w:ascii="Times New Roman" w:hAnsi="Times New Roman"/>
          <w:sz w:val="24"/>
        </w:rPr>
        <w:t>153.7 g/km</w:t>
      </w:r>
      <w:r>
        <w:rPr>
          <w:rFonts w:ascii="Times New Roman" w:hAnsi="Times New Roman" w:cs="Times New Roman"/>
          <w:sz w:val="24"/>
        </w:rPr>
        <w:t>）：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基准排放 </w:t>
      </w:r>
      <w:r>
        <w:rPr>
          <w:rFonts w:eastAsia="宋体" w:cs="Times New Roman" w:ascii="Times New Roman" w:hAnsi="Times New Roman"/>
          <w:sz w:val="24"/>
        </w:rPr>
        <w:t>= 20,000 × 209.0 = 4,180,000 g = 4.18 t CO₂</w:t>
      </w:r>
      <w:r>
        <w:rPr>
          <w:rFonts w:ascii="Times New Roman" w:hAnsi="Times New Roman" w:cs="Times New Roman"/>
          <w:sz w:val="24"/>
        </w:rPr>
        <w:t xml:space="preserve">；项目排放 </w:t>
      </w:r>
      <w:r>
        <w:rPr>
          <w:rFonts w:eastAsia="宋体" w:cs="Times New Roman" w:ascii="Times New Roman" w:hAnsi="Times New Roman"/>
          <w:sz w:val="24"/>
        </w:rPr>
        <w:t>= 20,000 × 153.7 = 3,074,000 g = 3.074 t CO₂</w:t>
      </w:r>
      <w:r>
        <w:rPr>
          <w:rFonts w:ascii="Times New Roman" w:hAnsi="Times New Roman" w:cs="Times New Roman"/>
          <w:sz w:val="24"/>
        </w:rPr>
        <w:t xml:space="preserve">；年减排量 </w:t>
      </w:r>
      <w:r>
        <w:rPr>
          <w:rFonts w:eastAsia="宋体" w:cs="Times New Roman" w:ascii="Times New Roman" w:hAnsi="Times New Roman"/>
          <w:sz w:val="24"/>
        </w:rPr>
        <w:t>= 4.18 − 3.074 = 1.106 t CO₂e</w:t>
      </w:r>
      <w:r>
        <w:rPr>
          <w:rFonts w:ascii="Times New Roman" w:hAnsi="Times New Roman" w:cs="Times New Roman"/>
          <w:sz w:val="24"/>
        </w:rPr>
        <w:t xml:space="preserve">（约减排 </w:t>
      </w:r>
      <w:r>
        <w:rPr>
          <w:rFonts w:eastAsia="宋体" w:cs="Times New Roman" w:ascii="Times New Roman" w:hAnsi="Times New Roman"/>
          <w:sz w:val="24"/>
        </w:rPr>
        <w:t>26.5%</w:t>
      </w:r>
      <w:r>
        <w:rPr>
          <w:rFonts w:ascii="Times New Roman" w:hAnsi="Times New Roman" w:cs="Times New Roman"/>
          <w:sz w:val="24"/>
        </w:rPr>
        <w:t>）。</w:t>
      </w:r>
    </w:p>
    <w:p>
      <w:pPr>
        <w:pStyle w:val="Style25"/>
        <w:spacing w:before="120" w:after="80"/>
        <w:rPr/>
      </w:pPr>
      <w:r>
        <w:rPr>
          <w:rFonts w:eastAsia="黑体" w:cs="Times New Roman" w:ascii="Times New Roman" w:hAnsi="Times New Roman"/>
          <w:b/>
          <w:sz w:val="26"/>
        </w:rPr>
        <w:t xml:space="preserve">A.6  </w:t>
      </w:r>
      <w:r>
        <w:rPr>
          <w:rFonts w:ascii="Times New Roman" w:hAnsi="Times New Roman" w:cs="Times New Roman" w:eastAsia="黑体"/>
          <w:b/>
          <w:sz w:val="26"/>
        </w:rPr>
        <w:t>碳积分换算</w:t>
      </w:r>
    </w:p>
    <w:p>
      <w:pPr>
        <w:pStyle w:val="Style28"/>
        <w:spacing w:before="0" w:after="80"/>
        <w:ind w:firstLine="480"/>
        <w:rPr/>
      </w:pPr>
      <w:r>
        <w:rPr>
          <w:rFonts w:ascii="Times New Roman" w:hAnsi="Times New Roman" w:cs="Times New Roman"/>
          <w:sz w:val="24"/>
        </w:rPr>
        <w:t xml:space="preserve">平台将经核证的减排量按 </w:t>
      </w:r>
      <w:r>
        <w:rPr>
          <w:rFonts w:eastAsia="宋体" w:cs="Times New Roman" w:ascii="Times New Roman" w:hAnsi="Times New Roman"/>
          <w:sz w:val="24"/>
        </w:rPr>
        <w:t xml:space="preserve">1 t CO₂e = 1 </w:t>
      </w:r>
      <w:r>
        <w:rPr>
          <w:rFonts w:ascii="Times New Roman" w:hAnsi="Times New Roman" w:cs="Times New Roman"/>
          <w:sz w:val="24"/>
        </w:rPr>
        <w:t>碳积分 的规则换算为碳积分，积分定价与兑换规则在链下参数化配置、换算结果与规则哈希上链，保证可审计、不可篡改。碳积分仅作课程</w:t>
      </w:r>
      <w:r>
        <w:rPr>
          <w:rFonts w:eastAsia="宋体" w:cs="Times New Roman" w:ascii="Times New Roman" w:hAnsi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平台内的减排激励计量单位，不构成可交易的虚拟货币或金融衍生品。</w:t>
      </w:r>
    </w:p>
    <w:p>
      <w:pPr>
        <w:pStyle w:val="Style24"/>
        <w:rPr/>
      </w:pPr>
      <w:r>
        <w:rPr/>
        <w:t xml:space="preserve">11  </w:t>
      </w:r>
      <w:r>
        <w:rPr/>
        <w:t>人机协作日志</w:t>
      </w:r>
    </w:p>
    <w:p>
      <w:pPr>
        <w:pStyle w:val="Normal"/>
        <w:spacing w:before="280" w:after="200"/>
        <w:rPr/>
      </w:pPr>
      <w:r>
        <w:rPr/>
        <w:t>日期：</w:t>
      </w:r>
      <w:r>
        <w:rPr/>
        <w:t>2026</w:t>
      </w:r>
      <w:r>
        <w:rPr/>
        <w:t>年</w:t>
      </w:r>
      <w:r>
        <w:rPr/>
        <w:t>10</w:t>
      </w:r>
      <w:r>
        <w:rPr/>
        <w:t>月</w:t>
      </w:r>
      <w:r>
        <w:rPr/>
        <w:t>21</w:t>
      </w:r>
      <w:r>
        <w:rPr/>
        <w:t>日</w:t>
      </w:r>
    </w:p>
    <w:p>
      <w:pPr>
        <w:pStyle w:val="Normal"/>
        <w:spacing w:before="280" w:after="200"/>
        <w:rPr/>
      </w:pPr>
      <w:r>
        <w:rPr/>
        <w:t>协作主题：项目初稿解析与架构图重构</w:t>
      </w:r>
    </w:p>
    <w:p>
      <w:pPr>
        <w:pStyle w:val="Style25"/>
        <w:rPr/>
      </w:pPr>
      <w:r>
        <w:rPr/>
        <w:t>（一）</w:t>
      </w:r>
      <w:r>
        <w:rPr/>
        <w:t xml:space="preserve">AI </w:t>
      </w:r>
      <w:r>
        <w:rPr/>
        <w:t>产出</w:t>
      </w:r>
    </w:p>
    <w:p>
      <w:pPr>
        <w:pStyle w:val="Normal"/>
        <w:spacing w:before="280" w:after="200"/>
        <w:rPr/>
      </w:pPr>
      <w:r>
        <w:rPr/>
        <w:t xml:space="preserve">1. </w:t>
      </w:r>
      <w:r>
        <w:rPr/>
        <w:t>提取并整理了需求文档中的核心功能与角色权限。</w:t>
      </w:r>
    </w:p>
    <w:p>
      <w:pPr>
        <w:pStyle w:val="Normal"/>
        <w:spacing w:before="280" w:after="200"/>
        <w:rPr/>
      </w:pPr>
      <w:r>
        <w:rPr/>
        <w:t xml:space="preserve">2. </w:t>
      </w:r>
      <w:r>
        <w:rPr/>
        <w:t>将</w:t>
      </w:r>
      <w:r>
        <w:rPr/>
        <w:t>"</w:t>
      </w:r>
      <w:r>
        <w:rPr/>
        <w:t>四问法</w:t>
      </w:r>
      <w:r>
        <w:rPr/>
        <w:t>"</w:t>
      </w:r>
      <w:r>
        <w:rPr/>
        <w:t>转化为具体的合约架构（角色→权限、动作→函数、依据→</w:t>
      </w:r>
      <w:r>
        <w:rPr/>
        <w:t>modifier</w:t>
      </w:r>
      <w:r>
        <w:rPr/>
        <w:t>、数据→</w:t>
      </w:r>
      <w:r>
        <w:rPr/>
        <w:t>struct</w:t>
      </w:r>
      <w:r>
        <w:rPr/>
        <w:t>）。</w:t>
      </w:r>
    </w:p>
    <w:p>
      <w:pPr>
        <w:pStyle w:val="Normal"/>
        <w:spacing w:before="280" w:after="200"/>
        <w:rPr/>
      </w:pPr>
      <w:r>
        <w:rPr/>
        <w:t xml:space="preserve">3. </w:t>
      </w:r>
      <w:r>
        <w:rPr/>
        <w:t xml:space="preserve">生成了基于 </w:t>
      </w:r>
      <w:r>
        <w:rPr/>
        <w:t xml:space="preserve">Mermaid </w:t>
      </w:r>
      <w:r>
        <w:rPr/>
        <w:t>语法的业务流程图与合约架构图代码。</w:t>
      </w:r>
    </w:p>
    <w:p>
      <w:pPr>
        <w:pStyle w:val="Normal"/>
        <w:spacing w:before="280" w:after="200"/>
        <w:rPr/>
      </w:pPr>
      <w:r>
        <w:rPr/>
        <w:t xml:space="preserve">4. </w:t>
      </w:r>
      <w:r>
        <w:rPr/>
        <w:t>修正了原需求中</w:t>
      </w:r>
      <w:r>
        <w:rPr/>
        <w:t>"</w:t>
      </w:r>
      <w:r>
        <w:rPr/>
        <w:t>撤回链上数据</w:t>
      </w:r>
      <w:r>
        <w:rPr/>
        <w:t>"</w:t>
      </w:r>
      <w:r>
        <w:rPr/>
        <w:t>、</w:t>
      </w:r>
      <w:r>
        <w:rPr/>
        <w:t>"</w:t>
      </w:r>
      <w:r>
        <w:rPr/>
        <w:t>代管私钥</w:t>
      </w:r>
      <w:r>
        <w:rPr/>
        <w:t>"</w:t>
      </w:r>
      <w:r>
        <w:rPr/>
        <w:t>等违背区块链特性的矛盾点。</w:t>
      </w:r>
    </w:p>
    <w:p>
      <w:pPr>
        <w:pStyle w:val="Style25"/>
        <w:rPr/>
      </w:pPr>
      <w:r>
        <w:rPr/>
        <w:t>（二）人工校验</w:t>
      </w:r>
      <w:r>
        <w:rPr/>
        <w:t>/</w:t>
      </w:r>
      <w:r>
        <w:rPr/>
        <w:t>待办</w:t>
      </w:r>
    </w:p>
    <w:p>
      <w:pPr>
        <w:pStyle w:val="Normal"/>
        <w:spacing w:before="280" w:after="200"/>
        <w:rPr/>
      </w:pPr>
      <w:r>
        <w:rPr/>
        <w:t xml:space="preserve">1. </w:t>
      </w:r>
      <w:r>
        <w:rPr/>
        <w:t xml:space="preserve">使用 </w:t>
      </w:r>
      <w:r>
        <w:rPr/>
        <w:t xml:space="preserve">Draw.io/Mermaid </w:t>
      </w:r>
      <w:r>
        <w:rPr/>
        <w:t>根据代码生成了 业务流程图</w:t>
      </w:r>
      <w:r>
        <w:rPr/>
        <w:t xml:space="preserve">.png </w:t>
      </w:r>
      <w:r>
        <w:rPr/>
        <w:t>和 合约架构图</w:t>
      </w:r>
      <w:r>
        <w:rPr/>
        <w:t>.png</w:t>
      </w:r>
      <w:r>
        <w:rPr/>
        <w:t>。</w:t>
      </w:r>
    </w:p>
    <w:p>
      <w:pPr>
        <w:pStyle w:val="Normal"/>
        <w:spacing w:before="280" w:after="200"/>
        <w:rPr/>
      </w:pPr>
      <w:r>
        <w:rPr/>
        <w:t xml:space="preserve">2. </w:t>
      </w:r>
      <w:r>
        <w:rPr/>
        <w:t xml:space="preserve">人工检查了 </w:t>
      </w:r>
      <w:r>
        <w:rPr/>
        <w:t xml:space="preserve">Solidity </w:t>
      </w:r>
      <w:r>
        <w:rPr/>
        <w:t>合约状态机（</w:t>
      </w:r>
      <w:r>
        <w:rPr/>
        <w:t>Verified/Mortgaged</w:t>
      </w:r>
      <w:r>
        <w:rPr/>
        <w:t>）的流转逻辑。</w:t>
      </w:r>
    </w:p>
    <w:p>
      <w:pPr>
        <w:pStyle w:val="Normal"/>
        <w:spacing w:before="280" w:after="200"/>
        <w:rPr/>
      </w:pPr>
      <w:r>
        <w:rPr/>
        <w:t xml:space="preserve">3. </w:t>
      </w:r>
      <w:r>
        <w:rPr/>
        <w:t xml:space="preserve">已将所有文档（含 </w:t>
      </w:r>
      <w:r>
        <w:rPr/>
        <w:t>PNG</w:t>
      </w:r>
      <w:r>
        <w:rPr/>
        <w:t xml:space="preserve">）归档至 </w:t>
      </w:r>
      <w:r>
        <w:rPr/>
        <w:t xml:space="preserve">GitHub </w:t>
      </w:r>
      <w:r>
        <w:rPr/>
        <w:t xml:space="preserve">仓库的 </w:t>
      </w:r>
      <w:r>
        <w:rPr/>
        <w:t xml:space="preserve">docs/ </w:t>
      </w:r>
      <w:r>
        <w:rPr/>
        <w:t>目录。</w:t>
      </w:r>
    </w:p>
    <w:p>
      <w:pPr>
        <w:pStyle w:val="Normal"/>
        <w:spacing w:before="280" w:after="200"/>
        <w:rPr/>
      </w:pPr>
      <w:r>
        <w:rPr>
          <w:b/>
        </w:rPr>
        <w:t xml:space="preserve">GitHub </w:t>
      </w:r>
      <w:r>
        <w:rPr>
          <w:b/>
        </w:rPr>
        <w:t>仓库链接：</w:t>
      </w:r>
      <w:r>
        <w:rPr>
          <w:b/>
        </w:rPr>
        <w:t>[https://github.com/wishes-marker/-.git]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800" w:right="1800" w:gutter="0" w:header="851" w:top="1440" w:footer="992" w:bottom="1440"/>
      <w:pgNumType w:fmt="decimal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Times New Roman">
    <w:charset w:val="01"/>
    <w:family w:val="roman"/>
    <w:pitch w:val="variable"/>
  </w:font>
  <w:font w:name="宋体">
    <w:charset w:val="01"/>
    <w:family w:val="roman"/>
    <w:pitch w:val="variable"/>
  </w:font>
  <w:font w:name="Noto Sans CJK SC">
    <w:charset w:val="01"/>
    <w:family w:val="swiss"/>
    <w:pitch w:val="variable"/>
  </w:font>
  <w:font w:name="等线">
    <w:charset w:val="01"/>
    <w:family w:val="roman"/>
    <w:pitch w:val="variable"/>
  </w:font>
  <w:font w:name="Helvetica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sdt>
      <w:sdtPr>
        <w:id w:val="1910969288"/>
      </w:sdtPr>
      <w:sdtContent>
        <w:r>
          <w:rPr/>
        </w:r>
        <w:r>
          <w:rPr/>
        </w:r>
      </w:sdtContent>
    </w:sdt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sdt>
      <w:sdtPr>
        <w:id w:val="1910969288"/>
      </w:sdtPr>
      <w:sdtContent>
        <w:r>
          <w:rPr/>
        </w:r>
        <w:r>
          <w:rPr/>
        </w:r>
      </w:sdtContent>
    </w:sdt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8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spacing w:before="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  <w:docVars>
    <w:docVar w:name="commondata" w:val="eyJoZGlkIjoiMDljYzUzMWQ4OWI0YzBkYjYzMDRhZTY5ZjZkYmFmYT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1" w:beforeAutospacing="1" w:after="200"/>
      <w:jc w:val="left"/>
    </w:pPr>
    <w:rPr>
      <w:rFonts w:ascii="Times New Roman" w:hAnsi="Times New Roman" w:eastAsia="仿宋" w:cs="Times New Roman"/>
      <w:color w:val="auto"/>
      <w:kern w:val="0"/>
      <w:sz w:val="28"/>
      <w:szCs w:val="28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styleId="Style14" w:customStyle="1">
    <w:name w:val="副标题 字符"/>
    <w:basedOn w:val="DefaultParagraphFont"/>
    <w:uiPriority w:val="11"/>
    <w:qFormat/>
    <w:rPr>
      <w:rFonts w:eastAsia="宋体"/>
      <w:b/>
      <w:bCs/>
      <w:color w:themeColor="text1" w:val="000000"/>
      <w:kern w:val="2"/>
      <w:sz w:val="36"/>
      <w:szCs w:val="32"/>
    </w:rPr>
  </w:style>
  <w:style w:type="character" w:styleId="Style15" w:customStyle="1">
    <w:name w:val="称呼 字符"/>
    <w:basedOn w:val="DefaultParagraphFont"/>
    <w:uiPriority w:val="99"/>
    <w:qFormat/>
    <w:rPr>
      <w:rFonts w:ascii="宋体" w:hAnsi="宋体" w:eastAsia="宋体" w:cs="宋体"/>
      <w:color w:themeColor="text1" w:val="000000"/>
      <w:kern w:val="0"/>
      <w:sz w:val="28"/>
      <w:szCs w:val="32"/>
    </w:rPr>
  </w:style>
  <w:style w:type="character" w:styleId="Style16" w:customStyle="1">
    <w:name w:val="结束语 字符"/>
    <w:basedOn w:val="DefaultParagraphFont"/>
    <w:uiPriority w:val="99"/>
    <w:qFormat/>
    <w:rPr>
      <w:rFonts w:ascii="宋体" w:hAnsi="宋体" w:eastAsia="宋体" w:cs="宋体"/>
      <w:color w:themeColor="text1" w:val="000000"/>
      <w:kern w:val="0"/>
      <w:sz w:val="28"/>
      <w:szCs w:val="32"/>
    </w:rPr>
  </w:style>
  <w:style w:type="character" w:styleId="Style17" w:customStyle="1">
    <w:name w:val="批注文字 字符"/>
    <w:basedOn w:val="DefaultParagraphFont"/>
    <w:uiPriority w:val="99"/>
    <w:semiHidden/>
    <w:qFormat/>
    <w:rPr>
      <w:rFonts w:ascii="Times New Roman" w:hAnsi="Times New Roman" w:eastAsia="仿宋" w:cs="Times New Roman"/>
      <w:kern w:val="0"/>
      <w:sz w:val="28"/>
      <w:szCs w:val="28"/>
    </w:rPr>
  </w:style>
  <w:style w:type="character" w:styleId="Style18" w:customStyle="1">
    <w:name w:val="批注主题 字符"/>
    <w:basedOn w:val="Style17"/>
    <w:link w:val="annotationsubject"/>
    <w:uiPriority w:val="99"/>
    <w:semiHidden/>
    <w:qFormat/>
    <w:rPr>
      <w:rFonts w:ascii="Times New Roman" w:hAnsi="Times New Roman" w:eastAsia="仿宋" w:cs="Times New Roman"/>
      <w:b/>
      <w:bCs/>
      <w:kern w:val="0"/>
      <w:sz w:val="28"/>
      <w:szCs w:val="28"/>
    </w:rPr>
  </w:style>
  <w:style w:type="character" w:styleId="Char" w:customStyle="1">
    <w:name w:val="全文一级大标题 Char"/>
    <w:link w:val="Style22"/>
    <w:qFormat/>
    <w:rPr>
      <w:rFonts w:eastAsia="宋体"/>
      <w:b/>
      <w:bCs/>
      <w:color w:themeColor="text1" w:val="000000"/>
      <w:sz w:val="44"/>
      <w:szCs w:val="44"/>
    </w:rPr>
  </w:style>
  <w:style w:type="paragraph" w:styleId="Style19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/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/>
  </w:style>
  <w:style w:type="paragraph" w:styleId="CommentText">
    <w:name w:val="annotation text"/>
    <w:basedOn w:val="Normal"/>
    <w:link w:val="Style17"/>
    <w:uiPriority w:val="99"/>
    <w:semiHidden/>
    <w:unhideWhenUsed/>
    <w:qFormat/>
    <w:pPr/>
    <w:rPr/>
  </w:style>
  <w:style w:type="paragraph" w:styleId="Salutation">
    <w:name w:val="Salutation"/>
    <w:basedOn w:val="Normal"/>
    <w:next w:val="Normal"/>
    <w:link w:val="Style15"/>
    <w:uiPriority w:val="99"/>
    <w:unhideWhenUsed/>
    <w:qFormat/>
    <w:pPr/>
    <w:rPr>
      <w:rFonts w:ascii="宋体" w:hAnsi="宋体" w:eastAsia="宋体" w:cs="宋体"/>
      <w:color w:themeColor="text1" w:val="000000"/>
      <w:szCs w:val="32"/>
    </w:rPr>
  </w:style>
  <w:style w:type="paragraph" w:styleId="Closing">
    <w:name w:val="Closing"/>
    <w:basedOn w:val="Normal"/>
    <w:link w:val="Style16"/>
    <w:uiPriority w:val="99"/>
    <w:unhideWhenUsed/>
    <w:qFormat/>
    <w:pPr>
      <w:ind w:left="100"/>
    </w:pPr>
    <w:rPr>
      <w:rFonts w:ascii="宋体" w:hAnsi="宋体" w:eastAsia="宋体" w:cs="宋体"/>
      <w:color w:themeColor="text1" w:val="000000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qFormat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tyle14"/>
    <w:autoRedefine/>
    <w:uiPriority w:val="11"/>
    <w:qFormat/>
    <w:pPr>
      <w:spacing w:lineRule="auto" w:line="312" w:before="280" w:after="60"/>
      <w:jc w:val="center"/>
    </w:pPr>
    <w:rPr>
      <w:rFonts w:ascii="等线" w:hAnsi="等线" w:eastAsia="宋体" w:cs="Noto Sans CJK SC" w:asciiTheme="minorHAnsi" w:hAnsiTheme="minorHAnsi"/>
      <w:b/>
      <w:bCs/>
      <w:color w:themeColor="text1" w:val="000000"/>
      <w:kern w:val="2"/>
      <w:sz w:val="36"/>
      <w:szCs w:val="32"/>
    </w:rPr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="280" w:afterAutospacing="1"/>
    </w:pPr>
    <w:rPr>
      <w:rFonts w:ascii="宋体" w:hAnsi="宋体" w:eastAsia="宋体" w:cs="宋体"/>
      <w:sz w:val="24"/>
      <w:szCs w:val="24"/>
    </w:rPr>
  </w:style>
  <w:style w:type="paragraph" w:styleId="annotationsubject">
    <w:name w:val="annotation subject"/>
    <w:basedOn w:val="CommentText"/>
    <w:next w:val="CommentText"/>
    <w:link w:val="Style18"/>
    <w:uiPriority w:val="99"/>
    <w:semiHidden/>
    <w:unhideWhenUsed/>
    <w:qFormat/>
    <w:pPr/>
    <w:rPr>
      <w:b/>
      <w:bCs/>
    </w:rPr>
  </w:style>
  <w:style w:type="paragraph" w:styleId="Style21" w:customStyle="1">
    <w:name w:val="抬头或称呼"/>
    <w:basedOn w:val="NormalWeb"/>
    <w:autoRedefine/>
    <w:qFormat/>
    <w:pPr>
      <w:shd w:val="clear" w:color="auto" w:fill="FFFFFF"/>
      <w:spacing w:lineRule="atLeast" w:line="300" w:beforeAutospacing="0" w:before="105" w:afterAutospacing="0" w:after="105"/>
    </w:pPr>
    <w:rPr>
      <w:color w:themeColor="text1" w:val="000000"/>
      <w:sz w:val="28"/>
      <w:szCs w:val="32"/>
    </w:rPr>
  </w:style>
  <w:style w:type="paragraph" w:styleId="Style22" w:customStyle="1">
    <w:name w:val="全文一级大标题"/>
    <w:basedOn w:val="NormalWeb"/>
    <w:link w:val="Char"/>
    <w:autoRedefine/>
    <w:qFormat/>
    <w:pPr>
      <w:shd w:val="clear" w:color="auto" w:fill="FFFFFF"/>
      <w:spacing w:lineRule="exact" w:line="640"/>
      <w:jc w:val="center"/>
    </w:pPr>
    <w:rPr>
      <w:b/>
      <w:bCs/>
      <w:color w:themeColor="text1" w:val="000000"/>
      <w:sz w:val="44"/>
      <w:szCs w:val="44"/>
    </w:rPr>
  </w:style>
  <w:style w:type="paragraph" w:styleId="Style23" w:customStyle="1">
    <w:name w:val="全文副标题"/>
    <w:basedOn w:val="NormalWeb"/>
    <w:autoRedefine/>
    <w:qFormat/>
    <w:pPr>
      <w:shd w:val="clear" w:color="auto" w:fill="FFFFFF"/>
      <w:spacing w:lineRule="atLeast" w:line="300" w:beforeAutospacing="0" w:before="105" w:afterAutospacing="0" w:after="105"/>
      <w:jc w:val="center"/>
    </w:pPr>
    <w:rPr>
      <w:b/>
      <w:bCs/>
      <w:color w:themeColor="text1" w:val="000000"/>
      <w:sz w:val="36"/>
      <w:szCs w:val="36"/>
    </w:rPr>
  </w:style>
  <w:style w:type="paragraph" w:styleId="Style24" w:customStyle="1">
    <w:name w:val="正文一级标题"/>
    <w:basedOn w:val="NormalWeb"/>
    <w:autoRedefine/>
    <w:qFormat/>
    <w:pPr>
      <w:shd w:val="clear" w:color="auto" w:fill="FFFFFF"/>
      <w:spacing w:lineRule="exact" w:line="560" w:beforeAutospacing="0" w:before="0" w:afterAutospacing="0" w:after="0"/>
      <w:ind w:firstLine="643"/>
    </w:pPr>
    <w:rPr>
      <w:b/>
      <w:bCs/>
      <w:color w:themeColor="text1" w:val="000000"/>
      <w:sz w:val="32"/>
      <w:szCs w:val="32"/>
    </w:rPr>
  </w:style>
  <w:style w:type="paragraph" w:styleId="Style25" w:customStyle="1">
    <w:name w:val="正文二级标题"/>
    <w:basedOn w:val="NormalWeb"/>
    <w:autoRedefine/>
    <w:qFormat/>
    <w:pPr>
      <w:shd w:val="clear" w:color="auto" w:fill="FFFFFF"/>
      <w:spacing w:lineRule="exact" w:line="560" w:beforeAutospacing="0" w:before="0" w:afterAutospacing="0" w:after="0"/>
      <w:ind w:firstLine="200"/>
    </w:pPr>
    <w:rPr>
      <w:b/>
      <w:bCs/>
      <w:color w:themeColor="text1" w:val="000000"/>
      <w:sz w:val="32"/>
      <w:szCs w:val="32"/>
    </w:rPr>
  </w:style>
  <w:style w:type="paragraph" w:styleId="Style26" w:customStyle="1">
    <w:name w:val="正文三级标题"/>
    <w:basedOn w:val="NormalWeb"/>
    <w:autoRedefine/>
    <w:qFormat/>
    <w:pPr>
      <w:shd w:val="clear" w:color="auto" w:fill="FFFFFF"/>
      <w:spacing w:lineRule="exact" w:line="560" w:beforeAutospacing="0" w:before="0" w:afterAutospacing="0" w:after="0"/>
      <w:ind w:firstLine="602"/>
    </w:pPr>
    <w:rPr>
      <w:b/>
      <w:bCs/>
      <w:color w:themeColor="text1" w:val="000000"/>
      <w:sz w:val="30"/>
      <w:szCs w:val="32"/>
    </w:rPr>
  </w:style>
  <w:style w:type="paragraph" w:styleId="Style27" w:customStyle="1">
    <w:name w:val="正文四级标题"/>
    <w:basedOn w:val="Style26"/>
    <w:autoRedefine/>
    <w:qFormat/>
    <w:pPr/>
    <w:rPr>
      <w:sz w:val="28"/>
      <w:szCs w:val="28"/>
    </w:rPr>
  </w:style>
  <w:style w:type="paragraph" w:styleId="Style28" w:customStyle="1">
    <w:name w:val="文本正文"/>
    <w:basedOn w:val="NormalWeb"/>
    <w:autoRedefine/>
    <w:qFormat/>
    <w:rsid w:val="008512fe"/>
    <w:pPr>
      <w:shd w:val="clear" w:color="auto" w:fill="FFFFFF"/>
      <w:spacing w:lineRule="exact" w:line="560" w:beforeAutospacing="0" w:before="0" w:afterAutospacing="0" w:after="0"/>
      <w:ind w:firstLine="200"/>
    </w:pPr>
    <w:rPr>
      <w:rFonts w:ascii="Helvetica" w:hAnsi="Helvetica" w:cs="Helvetica"/>
      <w:color w:themeColor="text1" w:val="000000"/>
      <w:sz w:val="28"/>
      <w:szCs w:val="32"/>
      <w:shd w:fill="FFFFFF" w:val="clear"/>
    </w:rPr>
  </w:style>
  <w:style w:type="paragraph" w:styleId="Style29" w:customStyle="1">
    <w:name w:val="此致"/>
    <w:basedOn w:val="NormalWeb"/>
    <w:autoRedefine/>
    <w:qFormat/>
    <w:pPr>
      <w:shd w:val="clear" w:color="auto" w:fill="FFFFFF"/>
      <w:spacing w:lineRule="exact" w:line="560" w:beforeAutospacing="0" w:before="0" w:afterAutospacing="0" w:after="0"/>
      <w:ind w:firstLine="640"/>
    </w:pPr>
    <w:rPr>
      <w:color w:themeColor="text1" w:val="000000"/>
      <w:sz w:val="28"/>
      <w:szCs w:val="32"/>
    </w:rPr>
  </w:style>
  <w:style w:type="paragraph" w:styleId="Style30" w:customStyle="1">
    <w:name w:val="祝辞"/>
    <w:autoRedefine/>
    <w:qFormat/>
    <w:pPr>
      <w:widowControl/>
      <w:suppressAutoHyphens w:val="true"/>
      <w:bidi w:val="0"/>
      <w:spacing w:lineRule="exact" w:line="560" w:before="0" w:after="0"/>
      <w:jc w:val="left"/>
    </w:pPr>
    <w:rPr>
      <w:rFonts w:ascii="宋体" w:hAnsi="宋体" w:eastAsia="宋体" w:cs="宋体"/>
      <w:color w:themeColor="text1" w:val="000000"/>
      <w:kern w:val="0"/>
      <w:sz w:val="28"/>
      <w:szCs w:val="32"/>
      <w:lang w:val="en-US" w:eastAsia="zh-CN" w:bidi="ar-SA"/>
    </w:rPr>
  </w:style>
  <w:style w:type="paragraph" w:styleId="Style31" w:customStyle="1">
    <w:name w:val="落款或署名"/>
    <w:basedOn w:val="NormalWeb"/>
    <w:autoRedefine/>
    <w:qFormat/>
    <w:pPr>
      <w:shd w:val="clear" w:color="auto" w:fill="FFFFFF"/>
      <w:spacing w:lineRule="atLeast" w:line="300" w:beforeAutospacing="0" w:before="105" w:afterAutospacing="0" w:after="105"/>
      <w:jc w:val="right"/>
    </w:pPr>
    <w:rPr>
      <w:color w:themeColor="text1" w:val="000000"/>
      <w:sz w:val="28"/>
      <w:szCs w:val="32"/>
    </w:rPr>
  </w:style>
  <w:style w:type="paragraph" w:styleId="Style32" w:customStyle="1">
    <w:name w:val="署名信息"/>
    <w:basedOn w:val="NormalWeb"/>
    <w:autoRedefine/>
    <w:qFormat/>
    <w:pPr>
      <w:shd w:val="clear" w:color="auto" w:fill="FFFFFF"/>
      <w:spacing w:lineRule="atLeast" w:line="300" w:beforeAutospacing="0" w:before="105" w:afterAutospacing="0" w:after="105"/>
      <w:jc w:val="right"/>
    </w:pPr>
    <w:rPr>
      <w:color w:themeColor="text1" w:val="000000"/>
      <w:sz w:val="28"/>
      <w:szCs w:val="32"/>
    </w:rPr>
  </w:style>
  <w:style w:type="paragraph" w:styleId="Style33" w:customStyle="1">
    <w:name w:val="日期或时间"/>
    <w:basedOn w:val="NormalWeb"/>
    <w:autoRedefine/>
    <w:qFormat/>
    <w:pPr>
      <w:shd w:val="clear" w:color="auto" w:fill="FFFFFF"/>
      <w:spacing w:lineRule="atLeast" w:line="300" w:beforeAutospacing="0" w:before="105" w:afterAutospacing="0" w:after="105"/>
      <w:jc w:val="right"/>
    </w:pPr>
    <w:rPr>
      <w:color w:themeColor="text1" w:val="000000"/>
      <w:sz w:val="28"/>
      <w:szCs w:val="32"/>
    </w:rPr>
  </w:style>
  <w:style w:type="paragraph" w:styleId="ListParagraph">
    <w:name w:val="List Paragraph"/>
    <w:basedOn w:val="Normal"/>
    <w:uiPriority w:val="99"/>
    <w:qFormat/>
    <w:rsid w:val="008512fe"/>
    <w:pPr>
      <w:ind w:firstLine="420"/>
    </w:pPr>
    <w:rPr/>
  </w:style>
  <w:style w:type="numbering" w:styleId="Style34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LibreOfficeDev/24.8.7.2.0$Android_AARCH64 LibreOffice_project/</Application>
  <AppVersion>15.0000</AppVersion>
  <Pages>23</Pages>
  <Words>6118</Words>
  <Characters>7312</Characters>
  <CharactersWithSpaces>7778</CharactersWithSpaces>
  <Paragraphs>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2025-07-23T09:05:00Z</dcterms:created>
  <dc:creator>guojiaqi(Beyondsoft)</dc:creator>
  <dc:description/>
  <dc:language>zh-CN</dc:language>
  <cp:lastModifiedBy/>
  <dcterms:modified xsi:type="dcterms:W3CDTF">2026-10-21T22:03:06Z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C93AA0F20E58415FBE12D5226D1C9437_13</vt:lpwstr>
  </property>
  <property fmtid="{D5CDD505-2E9C-101B-9397-08002B2CF9AE}" pid="3" name="KSOProductBuildVer">
    <vt:lpwstr>2052-12.1.0.17133</vt:lpwstr>
  </property>
  <property fmtid="{D5CDD505-2E9C-101B-9397-08002B2CF9AE}" pid="4" name="property1">
    <vt:lpwstr>BBAAD9C20014179B94A0072836F0B43042B9B2001557ABA0A0D98935B1112B293B46B13801CB7B0222E92508984685EBF5E9212AC1D0CBE11BBFC22A722E3FDE24DDBDADD120D94724992C1763FF438EEB27EFCE732B122608FC019C773E2C88DBE62490DE3</vt:lpwstr>
  </property>
  <property fmtid="{D5CDD505-2E9C-101B-9397-08002B2CF9AE}" pid="5" name="property2">
    <vt:lpwstr>BBAAD9C20014179B94A0072836F0BCE0E2B9B2041ACE2B00A6D98A3BB1692BE6AB4CBB3851C38B0122B92D089846DCEBCDE9212A11D04B711BBFC25E733E3BDE24DC07AD7E2799C754B62BE7614F4CB21CF5EAE97D92C134588F51916C060C68DB8629906E3</vt:lpwstr>
  </property>
</Properties>
</file>