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8A2F" w14:textId="77777777" w:rsidR="002C2240" w:rsidRPr="002C2240" w:rsidRDefault="002C2240" w:rsidP="002C2240">
      <w:r w:rsidRPr="002C2240">
        <w:rPr>
          <w:b/>
          <w:bCs/>
        </w:rPr>
        <w:t>Error Analysis Note</w:t>
      </w:r>
    </w:p>
    <w:p w14:paraId="13CDE7F9" w14:textId="77777777" w:rsidR="002C2240" w:rsidRPr="002C2240" w:rsidRDefault="002C2240" w:rsidP="002C2240">
      <w:r w:rsidRPr="002C2240">
        <w:t>On 1,500 clean test images the augmented model produces 75 false positives (9.8% of real images) and 33 false negatives (4.5% of AI images) at a 0.5 threshold. We are 2.3× more likely to wrongly flag a real photograph than to miss an AI one — the wrong direction for a platform, where falsely accusing a photographer is the costlier error.</w:t>
      </w:r>
    </w:p>
    <w:p w14:paraId="5D48E617" w14:textId="730774CA" w:rsidR="002C2240" w:rsidRPr="002C2240" w:rsidRDefault="002C2240" w:rsidP="002C2240">
      <w:r w:rsidRPr="002C2240">
        <w:rPr>
          <w:b/>
          <w:bCs/>
        </w:rPr>
        <w:t>False positives.</w:t>
      </w:r>
      <w:r w:rsidRPr="002C2240">
        <w:t xml:space="preserve"> </w:t>
      </w:r>
      <w:r>
        <w:rPr>
          <w:i/>
          <w:iCs/>
          <w:noProof/>
        </w:rPr>
        <w:drawing>
          <wp:inline distT="0" distB="0" distL="0" distR="0" wp14:anchorId="236BF335" wp14:editId="7745A67A">
            <wp:extent cx="5724525" cy="2047875"/>
            <wp:effectExtent l="0" t="0" r="9525" b="9525"/>
            <wp:docPr id="343371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5218" w14:textId="3F6C60AC" w:rsidR="002C2240" w:rsidRDefault="002C2240" w:rsidP="002C2240">
      <w:r w:rsidRPr="002C2240">
        <w:t>The twelve most confident false positives</w:t>
      </w:r>
      <w:r>
        <w:t xml:space="preserve">. </w:t>
      </w:r>
    </w:p>
    <w:p w14:paraId="50AFE7C1" w14:textId="74957B61" w:rsidR="002C2240" w:rsidRPr="002C2240" w:rsidRDefault="002C2240" w:rsidP="002C2240">
      <w:r>
        <w:t>R</w:t>
      </w:r>
      <w:r w:rsidRPr="002C2240">
        <w:t xml:space="preserve">eal photographs scored 0.97 to 1.00 </w:t>
      </w:r>
      <w:r>
        <w:t>and they</w:t>
      </w:r>
      <w:r w:rsidRPr="002C2240">
        <w:t xml:space="preserve"> share a visual signature: a </w:t>
      </w:r>
      <w:r>
        <w:t>singular</w:t>
      </w:r>
      <w:r w:rsidRPr="002C2240">
        <w:t xml:space="preserve"> centred </w:t>
      </w:r>
      <w:r>
        <w:t>object</w:t>
      </w:r>
      <w:r w:rsidRPr="002C2240">
        <w:t xml:space="preserve"> on a smooth background. Four birds and two aircraft against open sky, a horse against pale cloud, a cat against a blank wall. This is the compositional signature of a generated image, and the classifier applies it to real photographs that happen to share it. The deployment risk is therefore specific rather than random: portraits, product shots and wildlife photography are systematically over-flagged.</w:t>
      </w:r>
    </w:p>
    <w:p w14:paraId="075ACA6F" w14:textId="00186CBD" w:rsidR="002C2240" w:rsidRDefault="002C2240" w:rsidP="002C2240">
      <w:pPr>
        <w:rPr>
          <w:i/>
          <w:iCs/>
        </w:rPr>
      </w:pPr>
      <w:r w:rsidRPr="002C2240">
        <w:rPr>
          <w:b/>
          <w:bCs/>
        </w:rPr>
        <w:t>False negatives.</w:t>
      </w:r>
      <w:r w:rsidRPr="002C2240">
        <w:t xml:space="preserve"> </w:t>
      </w:r>
    </w:p>
    <w:p w14:paraId="72B8CCF4" w14:textId="14CC0C7B" w:rsidR="002C2240" w:rsidRPr="002C2240" w:rsidRDefault="002C2240" w:rsidP="002C2240">
      <w:r>
        <w:rPr>
          <w:i/>
          <w:iCs/>
          <w:noProof/>
        </w:rPr>
        <w:drawing>
          <wp:inline distT="0" distB="0" distL="0" distR="0" wp14:anchorId="55AA2501" wp14:editId="4DBD6E84">
            <wp:extent cx="5724525" cy="2047875"/>
            <wp:effectExtent l="0" t="0" r="9525" b="9525"/>
            <wp:docPr id="1287364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E4347" w14:textId="1245B841" w:rsidR="002C2240" w:rsidRPr="002C2240" w:rsidRDefault="002C2240" w:rsidP="002C2240">
      <w:r w:rsidRPr="002C2240">
        <w:rPr>
          <w:b/>
          <w:bCs/>
        </w:rPr>
        <w:t>Cause.</w:t>
      </w:r>
      <w:r w:rsidRPr="002C2240">
        <w:t xml:space="preserve"> CIFAKE images are 32×32, </w:t>
      </w:r>
      <w:proofErr w:type="spellStart"/>
      <w:r w:rsidRPr="002C2240">
        <w:t>upsampled</w:t>
      </w:r>
      <w:proofErr w:type="spellEnd"/>
      <w:r w:rsidRPr="002C2240">
        <w:t xml:space="preserve"> 7× to reach the backbone's 224×224 input, so no generator-level frequency artifact survives. A linear probe on DINOv2 features can only key on semantics and composition</w:t>
      </w:r>
      <w:r>
        <w:t xml:space="preserve">, </w:t>
      </w:r>
      <w:r w:rsidRPr="002C2240">
        <w:t xml:space="preserve">which is exactly what the false </w:t>
      </w:r>
      <w:r w:rsidRPr="002C2240">
        <w:lastRenderedPageBreak/>
        <w:t>positives show. We expect this failure mode to diminish at native resolution, where low-level fingerprints remain intact.</w:t>
      </w:r>
    </w:p>
    <w:p w14:paraId="7FA7D54E" w14:textId="77777777" w:rsidR="002C2240" w:rsidRPr="002C2240" w:rsidRDefault="002C2240" w:rsidP="002C2240">
      <w:r w:rsidRPr="002C2240">
        <w:rPr>
          <w:b/>
          <w:bCs/>
        </w:rPr>
        <w:t>Trade-offs.</w:t>
      </w:r>
    </w:p>
    <w:p w14:paraId="64AEFB5C" w14:textId="77A75DD2" w:rsidR="002C2240" w:rsidRPr="002C2240" w:rsidRDefault="002C2240" w:rsidP="002C2240">
      <w:pPr>
        <w:numPr>
          <w:ilvl w:val="0"/>
          <w:numId w:val="1"/>
        </w:numPr>
      </w:pPr>
      <w:r w:rsidRPr="002C2240">
        <w:t>Robustness vs. clean accuracy</w:t>
      </w:r>
      <w:r w:rsidRPr="002C2240">
        <w:t xml:space="preserve">: </w:t>
      </w:r>
      <w:r w:rsidRPr="002C2240">
        <w:t>largely dissolved here: chained augmentation cost 0.002 clean AUC and bought 0.024 robust AUC.</w:t>
      </w:r>
    </w:p>
    <w:p w14:paraId="27EDD329" w14:textId="58B1872C" w:rsidR="002C2240" w:rsidRPr="002C2240" w:rsidRDefault="002C2240" w:rsidP="002C2240">
      <w:pPr>
        <w:numPr>
          <w:ilvl w:val="0"/>
          <w:numId w:val="1"/>
        </w:numPr>
      </w:pPr>
      <w:r w:rsidRPr="002C2240">
        <w:t>Generalisation</w:t>
      </w:r>
      <w:r w:rsidRPr="002C2240">
        <w:t xml:space="preserve">: </w:t>
      </w:r>
      <w:r w:rsidRPr="002C2240">
        <w:t>CIFAKE contains one generator family, so no cross-generator claim is possible.</w:t>
      </w:r>
    </w:p>
    <w:p w14:paraId="69CAA475" w14:textId="3B445673" w:rsidR="002C2240" w:rsidRPr="002C2240" w:rsidRDefault="002C2240" w:rsidP="002C2240">
      <w:pPr>
        <w:numPr>
          <w:ilvl w:val="0"/>
          <w:numId w:val="1"/>
        </w:numPr>
      </w:pPr>
      <w:r w:rsidRPr="002C2240">
        <w:t>Calibration vs. discrimination</w:t>
      </w:r>
      <w:r w:rsidRPr="002C2240">
        <w:t xml:space="preserve">: </w:t>
      </w:r>
      <w:r w:rsidRPr="002C2240">
        <w:t>under 0.25× resize the baseline held AUC 0.798 while accuracy fell to 0.548. The ranking survived degradation; the threshold did not. This is why we report both metrics.</w:t>
      </w:r>
    </w:p>
    <w:p w14:paraId="1E14112B" w14:textId="68B22057" w:rsidR="002C2240" w:rsidRPr="002C2240" w:rsidRDefault="002C2240" w:rsidP="002C2240">
      <w:pPr>
        <w:numPr>
          <w:ilvl w:val="0"/>
          <w:numId w:val="1"/>
        </w:numPr>
      </w:pPr>
      <w:r w:rsidRPr="002C2240">
        <w:t>Where the passport helps</w:t>
      </w:r>
      <w:r w:rsidRPr="002C2240">
        <w:t xml:space="preserve">: </w:t>
      </w:r>
      <w:r w:rsidRPr="002C2240">
        <w:t>94% of errors fall in the least-stable half of predictions, leaving an auto-actionable half at 99.2% accuracy.</w:t>
      </w:r>
    </w:p>
    <w:p w14:paraId="1400F4F7" w14:textId="77777777" w:rsidR="00141CC2" w:rsidRDefault="00141CC2"/>
    <w:sectPr w:rsidR="00141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43A96"/>
    <w:multiLevelType w:val="multilevel"/>
    <w:tmpl w:val="A67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1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40"/>
    <w:rsid w:val="00141CC2"/>
    <w:rsid w:val="002C2240"/>
    <w:rsid w:val="00445C22"/>
    <w:rsid w:val="009D59E4"/>
    <w:rsid w:val="00E4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F155"/>
  <w15:chartTrackingRefBased/>
  <w15:docId w15:val="{777F84BF-F6A8-490B-8F60-5727FA0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#HONG JISUNG#</dc:creator>
  <cp:keywords/>
  <dc:description/>
  <cp:lastModifiedBy>#HONG JISUNG#</cp:lastModifiedBy>
  <cp:revision>1</cp:revision>
  <dcterms:created xsi:type="dcterms:W3CDTF">2026-08-31T17:21:00Z</dcterms:created>
  <dcterms:modified xsi:type="dcterms:W3CDTF">2026-08-31T17:25:00Z</dcterms:modified>
</cp:coreProperties>
</file>