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Computational Methods</w:t>
      </w:r>
    </w:p>
    <w:p>
      <w:pPr>
        <w:pStyle w:val="Heading1"/>
      </w:pPr>
      <w:r>
        <w:t>Density-functional-theory calculations and structural models</w:t>
      </w:r>
    </w:p>
    <w:p>
      <w:r>
        <w:t>Spin-polarized density-functional-theory (DFT) calculations were performed with the Quickstep module of CP2K using the Gaussian and plane-wave scheme [1] and the Perdew-Burke-Ernzerhof (PBE) generalized-gradient approximation [2]. Goedecker-Teter-Hutter pseudopotentials [3] and MOLOPT Gaussian basis sets [4] were employed: TZVP-MOLOPT-PBE-GTH-q17 for Co, TZVP-MOLOPT-PBE-GTH-q6 for O, TZVP-MOLOPT-PBE-GTH-q1 for H, and DZVP-MOLOPT-PBE-GTH-q3 for Al. A rotationally invariant DFT+U correction [5] was applied to Co 3d states with an effective interaction U-J = 0.1212728 Hartree (3.30 eV). The auxiliary plane-wave density and relative cutoffs were 400 and 55 Ry, respectively. Electronic self-consistency was achieved by conjugate-gradient minimization of the orbital-transformation functional [6], preconditioned through a Cholesky-based inverse of the shifted Kohn-Sham Hamiltonian-overlap operator. The inner self-consistent-field thresholds were 1 x 10^-7 for pristine and 1 x 10^-6 for Al-substituted structures; the outer threshold was 1 x 10^-6 for both.</w:t>
      </w:r>
    </w:p>
    <w:p>
      <w:r>
        <w:t>Pristine and Al-substituted CoOOH were described with the same periodic orthorhombic CP2K supercell (a = 8.6482 Angstrom, b = 26.0793 Angstrom, c = 21.6574 Angstrom). The pristine *OH model had composition Co48H60O114; the Al-substituted model had composition Co40Al8H60O114. The corresponding *O structures were generated by removal of the adsorbate proton. After wrapping the archived coordinates into this cell, the atom-free interval between periodic slab images along z was 12.10-12.51 Angstrom across the four *OH/*O structures. No additional crystallographic symmetry was imposed.</w:t>
      </w:r>
    </w:p>
    <w:p>
      <w:pPr>
        <w:pStyle w:val="Heading1"/>
      </w:pPr>
      <w:r>
        <w:t>OER energetics and constrained DFT</w:t>
      </w:r>
    </w:p>
    <w:p>
      <w:r>
        <w:t>The oxygen-evolution pathway was represented by the conventional sequence * -&gt; *OH -&gt; *O -&gt; *OOH -&gt; O2. Relative electronic energies of the intermediates were obtained from spin-polarized CP2K calculations to compare pristine Co sites, Co sites adjacent to Al substitution, and Al-site controls. These historical cross-system step energies are electronic-energy comparisons; they are not presented as a matched 298.15 K Gibbs free-energy series.</w:t>
      </w:r>
    </w:p>
    <w:p>
      <w:r>
        <w:t>Constrained DFT (cDFT) calculations were performed within CP2K [7] to probe localization and redistribution of charge and spin. Charge constraints were applied either to the active Co center or to a combined active-Co/adsorbate fragment, using N-1 and N+1 perturbations. Selected local-spin constraints were also applied to the *O state. The energy difference between a constrained solution and its corresponding unconstrained solution was used as the cDFT constraint penalty, not as a reaction activation barrier.</w:t>
      </w:r>
    </w:p>
    <w:p>
      <w:r>
        <w:t>Local electron populations and spin moments were evaluated using both Hirshfeld and Mulliken partitioning. Reaction-induced changes were defined as the value for *O minus that for *OH. Spin-resolved population changes were further decomposed into alpha- and beta-electron contributions.</w:t>
      </w:r>
    </w:p>
    <w:p>
      <w:pPr>
        <w:pStyle w:val="Heading1"/>
      </w:pPr>
      <w:r>
        <w:t>Reaction-induced charge and spin redistribution</w:t>
      </w:r>
    </w:p>
    <w:p>
      <w:r>
        <w:t>Complementary spin-polarized, fixed-geometry electronic-structure calculations were performed with VASP [8] using projector-augmented-wave potentials [9], PBE [2], and a Co 3d DFT+U correction [5] with U-J = 4.50 eV. The VASP calculations used a 520 eV plane-wave cutoff and the zero-damped D3 dispersion correction [10]. The Co U value was fixed across the matched pristine and Al-substituted VASP states; the CP2K and VASP U values belong to separate projector/basis implementations and were not used to compare absolute total energies between codes. The VASP cell had a 27.5481 Angstrom z lattice vector and an atom-free periodic-image interval of 19.07 Angstrom in the four matched *OH/*O structures.</w:t>
      </w:r>
    </w:p>
    <w:p>
      <w:r>
        <w:t>To isolate electronic redistribution in the *OH -&gt; *O step from structural relaxation, the *O electron density was evaluated at the corresponding *OH geometry. The reaction-induced charge-density difference was defined as</w:t>
      </w:r>
    </w:p>
    <w:p>
      <w:r>
        <w:t>Delta rho = rho(*O; R_*OH) - rho(*OH; R_*OH),</w:t>
      </w:r>
    </w:p>
    <w:p>
      <w:r>
        <w:t>where R_*OH is the *OH geometry. The magnetization-density difference, Delta m, was evaluated analogously. With m = rho_up - rho_down, the spin-resolved density differences were obtained from</w:t>
      </w:r>
    </w:p>
    <w:p>
      <w:r>
        <w:t>Delta rho_up = (Delta rho + Delta m)/2,</w:t>
      </w:r>
    </w:p>
    <w:p>
      <w:r>
        <w:t>Delta rho_down = (Delta rho - Delta m)/2.</w:t>
      </w:r>
    </w:p>
    <w:p>
      <w:r>
        <w:t>The same local plane containing the active Co, adsorbate O, bridge O, and neighboring Co/Al site was used to compare pristine and Al-substituted systems.</w:t>
      </w:r>
    </w:p>
    <w:p>
      <w:pPr>
        <w:pStyle w:val="Heading1"/>
      </w:pPr>
      <w:r>
        <w:t>Projected density of states and Bader analysis</w:t>
      </w:r>
    </w:p>
    <w:p>
      <w:r>
        <w:t>Site- and orbital-projected densities of states (PDOS) were extracted for the active Co, adsorbate O, bridge O, and neighboring metal site. Energies were referenced to the Fermi level of each calculation. The active-Co d-state centroid was evaluated as</w:t>
      </w:r>
    </w:p>
    <w:p>
      <w:r>
        <w:t>epsilon_d = integral[E rho_d(E) dE] / integral[rho_d(E) dE],</w:t>
      </w:r>
    </w:p>
    <w:p>
      <w:r>
        <w:t>using occupied Co 3d states from -8 to 0 eV relative to the Fermi level. Spin-resolved centroids were evaluated analogously.</w:t>
      </w:r>
    </w:p>
    <w:p>
      <w:r>
        <w:t>Bader charge analysis [11] was performed for the matched fixed-geometry VASP calculations. Changes in Bader electron population for the *OH -&gt; *O step were evaluated for the active Co, adsorbate O, bridge O, and neighboring Co/Al site using consistent atom mapping between the two states.</w:t>
      </w:r>
    </w:p>
    <w:p>
      <w:pPr>
        <w:pStyle w:val="Heading1"/>
      </w:pPr>
      <w:r>
        <w:t>Chemical-bonding analysis</w:t>
      </w:r>
    </w:p>
    <w:p>
      <w:r>
        <w:t>Chemical-bonding analysis was carried out with LOBSTER 5.1.1 [12] using the pbeVaspFit2015 basis set. Projected crystal orbital Hamilton population (pCOHP) and integrated COHP (ICOHP) analyses were performed for relevant Co-O interactions. A Gaussian smearing width of 0.05 eV and an energy range from -15 to +5 eV were used. Bond pairs were assigned from the corresponding structures and checked against interatomic distances. Native pCOHP signs were retained during data extraction; figures plotted as -pCOHP or -ICOHP state the transformed sign convention explicitly. LOBSTER Mulliken and Lowdin orbital populations were additionally used to examine spin-selective redistribution during the *OH -&gt; *O step.</w:t>
      </w:r>
    </w:p>
    <w:p>
      <w:pPr>
        <w:pStyle w:val="Heading1"/>
      </w:pPr>
      <w:r>
        <w:t>References</w:t>
      </w:r>
    </w:p>
    <w:p>
      <w:pPr>
        <w:ind w:left="360" w:hanging="360"/>
      </w:pPr>
      <w:r>
        <w:t>[1] Kühne, T. D. et al. CP2K: An electronic structure and molecular dynamics software package - Quickstep: Efficient and accurate electronic structure calculations. J. Chem. Phys. 152, 194103 (2020). https://doi.org/10.1063/5.0007045</w:t>
      </w:r>
    </w:p>
    <w:p>
      <w:pPr>
        <w:ind w:left="360" w:hanging="360"/>
      </w:pPr>
      <w:r>
        <w:t>[2] Perdew, J. P., Burke, K. &amp; Ernzerhof, M. Generalized Gradient Approximation Made Simple. Phys. Rev. Lett. 77, 3865-3868 (1996). https://doi.org/10.1103/PhysRevLett.77.3865</w:t>
      </w:r>
    </w:p>
    <w:p>
      <w:pPr>
        <w:ind w:left="360" w:hanging="360"/>
      </w:pPr>
      <w:r>
        <w:t>[3] Goedecker, S., Teter, M. &amp; Hutter, J. Separable dual-space Gaussian pseudopotentials. Phys. Rev. B 54, 1703-1710 (1996). https://doi.org/10.1103/PhysRevB.54.1703</w:t>
      </w:r>
    </w:p>
    <w:p>
      <w:pPr>
        <w:ind w:left="360" w:hanging="360"/>
      </w:pPr>
      <w:r>
        <w:t>[4] VandeVondele, J. &amp; Hutter, J. Gaussian basis sets for accurate calculations on molecular systems in gas and condensed phases. J. Chem. Phys. 127, 114105 (2007). https://doi.org/10.1063/1.2770708</w:t>
      </w:r>
    </w:p>
    <w:p>
      <w:pPr>
        <w:ind w:left="360" w:hanging="360"/>
      </w:pPr>
      <w:r>
        <w:t>[5] Dudarev, S. L. et al. Electron-energy-loss spectra and the structural stability of nickel oxide: An LSDA+U study. Phys. Rev. B 57, 1505-1509 (1998). https://doi.org/10.1103/PhysRevB.57.1505</w:t>
      </w:r>
    </w:p>
    <w:p>
      <w:pPr>
        <w:ind w:left="360" w:hanging="360"/>
      </w:pPr>
      <w:r>
        <w:t>[6] VandeVondele, J. &amp; Hutter, J. An efficient orbital transformation method for electronic structure calculations. J. Chem. Phys. 118, 4365-4369 (2003). https://doi.org/10.1063/1.1543154</w:t>
      </w:r>
    </w:p>
    <w:p>
      <w:pPr>
        <w:ind w:left="360" w:hanging="360"/>
      </w:pPr>
      <w:r>
        <w:t>[7] Holmberg, N. &amp; Laasonen, K. Efficient Constrained Density Functional Theory Implementation for Simulation of Condensed Phase Electron Transfer Reactions. J. Chem. Theory Comput. 13, 587-601 (2017). https://doi.org/10.1021/acs.jctc.6b01085</w:t>
      </w:r>
    </w:p>
    <w:p>
      <w:pPr>
        <w:ind w:left="360" w:hanging="360"/>
      </w:pPr>
      <w:r>
        <w:t>[8] Kresse, G. &amp; Furthmüller, J. Efficient iterative schemes for ab initio total-energy calculations using a plane-wave basis set. Phys. Rev. B 54, 11169-11186 (1996). https://doi.org/10.1103/PhysRevB.54.11169</w:t>
      </w:r>
    </w:p>
    <w:p>
      <w:pPr>
        <w:ind w:left="360" w:hanging="360"/>
      </w:pPr>
      <w:r>
        <w:t>[9] Kresse, G. &amp; Joubert, D. From ultrasoft pseudopotentials to the projector augmented-wave method. Phys. Rev. B 59, 1758-1775 (1999). https://doi.org/10.1103/PhysRevB.59.1758</w:t>
      </w:r>
    </w:p>
    <w:p>
      <w:pPr>
        <w:ind w:left="360" w:hanging="360"/>
      </w:pPr>
      <w:r>
        <w:t>[10] Grimme, S., Antony, J., Ehrlich, S. &amp; Krieg, H. A consistent and accurate ab initio parametrization of density functional dispersion correction (DFT-D) for the 94 elements H-Pu. J. Chem. Phys. 132, 154104 (2010). https://doi.org/10.1063/1.3382344</w:t>
      </w:r>
    </w:p>
    <w:p>
      <w:pPr>
        <w:ind w:left="360" w:hanging="360"/>
      </w:pPr>
      <w:r>
        <w:t>[11] Henkelman, G., Arnaldsson, A. &amp; Jónsson, H. A fast and robust algorithm for Bader decomposition of charge density. Comput. Mater. Sci. 36, 354-360 (2006). https://doi.org/10.1016/j.commatsci.2005.04.010</w:t>
      </w:r>
    </w:p>
    <w:p>
      <w:pPr>
        <w:ind w:left="360" w:hanging="360"/>
      </w:pPr>
      <w:r>
        <w:t>[12] Maintz, S., Deringer, V. L., Tchougréeff, A. L. &amp; Dronskowski, R. LOBSTER: A tool to extract chemical bonding from plane-wave based DFT. J. Comput. Chem. 37, 1030-1035 (2016). https://doi.org/10.1002/jcc.24300</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Times New Roman" w:hAnsi="Times New Roman"/>
      <w:b/>
      <w:bCs/>
      <w:color w:val="365F91" w:themeColor="accent1" w:themeShade="BF"/>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Times New Roman" w:hAnsi="Times New Roman"/>
      <w:b/>
      <w:color w:val="17365D" w:themeColor="text2" w:themeShade="BF"/>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