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Detailed Technical Architecture &amp; Design Review</w:t>
      </w:r>
    </w:p>
    <w:p>
      <w:pPr>
        <w:pStyle w:val="Heading1"/>
      </w:pPr>
      <w:r>
        <w:t>1. Executive Architecture &amp; Tooling Summary</w:t>
      </w:r>
    </w:p>
    <w:p>
      <w:r>
        <w:t>This technical specification outlines the production-grade architecture for an AI-assisted clinical research metadata ingestion service. The system guarantees zero data loss, strict immutability, row-level error visibility, and automated schema inference using a Human-in-the-Loop AI workflow.</w:t>
      </w:r>
    </w:p>
    <w:p>
      <w:pPr>
        <w:pStyle w:val="Heading2"/>
      </w:pPr>
      <w:r>
        <w:t>1.1 End-to-End Architecture Flow with Tooling Stack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80561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_flow_tool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056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1.2 Tooling Stack Breakdown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Layer / Component</w:t>
            </w:r>
          </w:p>
        </w:tc>
        <w:tc>
          <w:tcPr>
            <w:tcW w:type="dxa" w:w="2880"/>
          </w:tcPr>
          <w:p>
            <w:r>
              <w:t>Technology / Tool</w:t>
            </w:r>
          </w:p>
        </w:tc>
        <w:tc>
          <w:tcPr>
            <w:tcW w:type="dxa" w:w="2880"/>
          </w:tcPr>
          <w:p>
            <w:r>
              <w:t>Architectural Responsibility</w:t>
            </w:r>
          </w:p>
        </w:tc>
      </w:tr>
      <w:tr>
        <w:tc>
          <w:tcPr>
            <w:tcW w:type="dxa" w:w="2880"/>
          </w:tcPr>
          <w:p>
            <w:r>
              <w:t>Data Sources</w:t>
            </w:r>
          </w:p>
        </w:tc>
        <w:tc>
          <w:tcPr>
            <w:tcW w:type="dxa" w:w="2880"/>
          </w:tcPr>
          <w:p>
            <w:r>
              <w:t>ClinicalTrials.gov REST API, Regional CSV Drops</w:t>
            </w:r>
          </w:p>
        </w:tc>
        <w:tc>
          <w:tcPr>
            <w:tcW w:type="dxa" w:w="2880"/>
          </w:tcPr>
          <w:p>
            <w:r>
              <w:t>Originating semi-structured research metadata</w:t>
            </w:r>
          </w:p>
        </w:tc>
      </w:tr>
      <w:tr>
        <w:tc>
          <w:tcPr>
            <w:tcW w:type="dxa" w:w="2880"/>
          </w:tcPr>
          <w:p>
            <w:r>
              <w:t>Ingestion Workers</w:t>
            </w:r>
          </w:p>
        </w:tc>
        <w:tc>
          <w:tcPr>
            <w:tcW w:type="dxa" w:w="2880"/>
          </w:tcPr>
          <w:p>
            <w:r>
              <w:t>Kubernetes CronJobs + AWS EventBridge</w:t>
            </w:r>
          </w:p>
        </w:tc>
        <w:tc>
          <w:tcPr>
            <w:tcW w:type="dxa" w:w="2880"/>
          </w:tcPr>
          <w:p>
            <w:r>
              <w:t>Pull-based polling and initial payload ingestion</w:t>
            </w:r>
          </w:p>
        </w:tc>
      </w:tr>
      <w:tr>
        <w:tc>
          <w:tcPr>
            <w:tcW w:type="dxa" w:w="2880"/>
          </w:tcPr>
          <w:p>
            <w:r>
              <w:t>Stream Processing</w:t>
            </w:r>
          </w:p>
        </w:tc>
        <w:tc>
          <w:tcPr>
            <w:tcW w:type="dxa" w:w="2880"/>
          </w:tcPr>
          <w:p>
            <w:r>
              <w:t>Apache Kafka + Kafka Streams</w:t>
            </w:r>
          </w:p>
        </w:tc>
        <w:tc>
          <w:tcPr>
            <w:tcW w:type="dxa" w:w="2880"/>
          </w:tcPr>
          <w:p>
            <w:r>
              <w:t>Row-by-row parsing, routing, and adapter management</w:t>
            </w:r>
          </w:p>
        </w:tc>
      </w:tr>
      <w:tr>
        <w:tc>
          <w:tcPr>
            <w:tcW w:type="dxa" w:w="2880"/>
          </w:tcPr>
          <w:p>
            <w:r>
              <w:t>Data Validation</w:t>
            </w:r>
          </w:p>
        </w:tc>
        <w:tc>
          <w:tcPr>
            <w:tcW w:type="dxa" w:w="2880"/>
          </w:tcPr>
          <w:p>
            <w:r>
              <w:t>Python Pydantic v2</w:t>
            </w:r>
          </w:p>
        </w:tc>
        <w:tc>
          <w:tcPr>
            <w:tcW w:type="dxa" w:w="2880"/>
          </w:tcPr>
          <w:p>
            <w:r>
              <w:t>Declarative schema validation and error surface generation</w:t>
            </w:r>
          </w:p>
        </w:tc>
      </w:tr>
      <w:tr>
        <w:tc>
          <w:tcPr>
            <w:tcW w:type="dxa" w:w="2880"/>
          </w:tcPr>
          <w:p>
            <w:r>
              <w:t>Immutable Event Store</w:t>
            </w:r>
          </w:p>
        </w:tc>
        <w:tc>
          <w:tcPr>
            <w:tcW w:type="dxa" w:w="2880"/>
          </w:tcPr>
          <w:p>
            <w:r>
              <w:t>EventStoreDB / Apache Kafka</w:t>
            </w:r>
          </w:p>
        </w:tc>
        <w:tc>
          <w:tcPr>
            <w:tcW w:type="dxa" w:w="2880"/>
          </w:tcPr>
          <w:p>
            <w:r>
              <w:t>Append-only ledger of all research state mutation events</w:t>
            </w:r>
          </w:p>
        </w:tc>
      </w:tr>
      <w:tr>
        <w:tc>
          <w:tcPr>
            <w:tcW w:type="dxa" w:w="2880"/>
          </w:tcPr>
          <w:p>
            <w:r>
              <w:t>Serving Store (CQRS)</w:t>
            </w:r>
          </w:p>
        </w:tc>
        <w:tc>
          <w:tcPr>
            <w:tcW w:type="dxa" w:w="2880"/>
          </w:tcPr>
          <w:p>
            <w:r>
              <w:t>PostgreSQL (Materialized Views)</w:t>
            </w:r>
          </w:p>
        </w:tc>
        <w:tc>
          <w:tcPr>
            <w:tcW w:type="dxa" w:w="2880"/>
          </w:tcPr>
          <w:p>
            <w:r>
              <w:t>Query-optimized read model and diff calculations</w:t>
            </w:r>
          </w:p>
        </w:tc>
      </w:tr>
      <w:tr>
        <w:tc>
          <w:tcPr>
            <w:tcW w:type="dxa" w:w="2880"/>
          </w:tcPr>
          <w:p>
            <w:r>
              <w:t>Read &amp; Diff API</w:t>
            </w:r>
          </w:p>
        </w:tc>
        <w:tc>
          <w:tcPr>
            <w:tcW w:type="dxa" w:w="2880"/>
          </w:tcPr>
          <w:p>
            <w:r>
              <w:t>FastAPI / Python</w:t>
            </w:r>
          </w:p>
        </w:tc>
        <w:tc>
          <w:tcPr>
            <w:tcW w:type="dxa" w:w="2880"/>
          </w:tcPr>
          <w:p>
            <w:r>
              <w:t>Exposes canonical endpoints and /diff?since=timestamp</w:t>
            </w:r>
          </w:p>
        </w:tc>
      </w:tr>
      <w:tr>
        <w:tc>
          <w:tcPr>
            <w:tcW w:type="dxa" w:w="2880"/>
          </w:tcPr>
          <w:p>
            <w:r>
              <w:t>Dead Letter Queue</w:t>
            </w:r>
          </w:p>
        </w:tc>
        <w:tc>
          <w:tcPr>
            <w:tcW w:type="dxa" w:w="2880"/>
          </w:tcPr>
          <w:p>
            <w:r>
              <w:t>Kafka Topic + AWS Lambda</w:t>
            </w:r>
          </w:p>
        </w:tc>
        <w:tc>
          <w:tcPr>
            <w:tcW w:type="dxa" w:w="2880"/>
          </w:tcPr>
          <w:p>
            <w:r>
              <w:t>Isolates malformed records with attached error context</w:t>
            </w:r>
          </w:p>
        </w:tc>
      </w:tr>
      <w:tr>
        <w:tc>
          <w:tcPr>
            <w:tcW w:type="dxa" w:w="2880"/>
          </w:tcPr>
          <w:p>
            <w:r>
              <w:t>Alerting Surface</w:t>
            </w:r>
          </w:p>
        </w:tc>
        <w:tc>
          <w:tcPr>
            <w:tcW w:type="dxa" w:w="2880"/>
          </w:tcPr>
          <w:p>
            <w:r>
              <w:t>PagerDuty + Slack Webhooks</w:t>
            </w:r>
          </w:p>
        </w:tc>
        <w:tc>
          <w:tcPr>
            <w:tcW w:type="dxa" w:w="2880"/>
          </w:tcPr>
          <w:p>
            <w:r>
              <w:t>Notifies data owners of row-level validation failures</w:t>
            </w:r>
          </w:p>
        </w:tc>
      </w:tr>
      <w:tr>
        <w:tc>
          <w:tcPr>
            <w:tcW w:type="dxa" w:w="2880"/>
          </w:tcPr>
          <w:p>
            <w:r>
              <w:t>AI Schema Agent</w:t>
            </w:r>
          </w:p>
        </w:tc>
        <w:tc>
          <w:tcPr>
            <w:tcW w:type="dxa" w:w="2880"/>
          </w:tcPr>
          <w:p>
            <w:r>
              <w:t>AWS S3 + AWS Lambda + Claude 3.5 Sonnet / GPT-4o</w:t>
            </w:r>
          </w:p>
        </w:tc>
        <w:tc>
          <w:tcPr>
            <w:tcW w:type="dxa" w:w="2880"/>
          </w:tcPr>
          <w:p>
            <w:r>
              <w:t>Asynchronous schema inference on unknown source shapes</w:t>
            </w:r>
          </w:p>
        </w:tc>
      </w:tr>
      <w:tr>
        <w:tc>
          <w:tcPr>
            <w:tcW w:type="dxa" w:w="2880"/>
          </w:tcPr>
          <w:p>
            <w:r>
              <w:t>Human Steward UI</w:t>
            </w:r>
          </w:p>
        </w:tc>
        <w:tc>
          <w:tcPr>
            <w:tcW w:type="dxa" w:w="2880"/>
          </w:tcPr>
          <w:p>
            <w:r>
              <w:t>React.js + Tailwind CSS</w:t>
            </w:r>
          </w:p>
        </w:tc>
        <w:tc>
          <w:tcPr>
            <w:tcW w:type="dxa" w:w="2880"/>
          </w:tcPr>
          <w:p>
            <w:r>
              <w:t>Interactive dashboard for reviewing AI proposals and approving mappings</w:t>
            </w:r>
          </w:p>
        </w:tc>
      </w:tr>
    </w:tbl>
    <w:p>
      <w:pPr>
        <w:pStyle w:val="Heading1"/>
      </w:pPr>
      <w:r>
        <w:t>2. AI Schema Mapping Visual Workflow &amp; Implementation</w:t>
      </w:r>
    </w:p>
    <w:p>
      <w:r>
        <w:t>When an unrecognized source shape arrives (e.g., Source C with unique header naming conventions), the stream processor routes the payload to a quarantine staging area rather than failing the batch or dropping data.</w:t>
      </w:r>
    </w:p>
    <w:p>
      <w:pPr>
        <w:pStyle w:val="Heading2"/>
      </w:pPr>
      <w:r>
        <w:t>2.1 Step-by-Step AI Mapping Flowchart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5023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i_mapping_workflo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02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2.2 Responsible AI &amp; Human-in-the-Loop (HITL) Rules</w:t>
      </w:r>
    </w:p>
    <w:p>
      <w:pPr>
        <w:pStyle w:val="ListBullet"/>
      </w:pPr>
      <w:r>
        <w:rPr>
          <w:b/>
        </w:rPr>
        <w:t xml:space="preserve">Zero Autonomous Schema Mutation: </w:t>
      </w:r>
      <w:r>
        <w:t>The AI agent is strictly sandboxed. It generates mapping proposals but never directly modifies production database schemas or dynamic adapters.</w:t>
      </w:r>
    </w:p>
    <w:p>
      <w:pPr>
        <w:pStyle w:val="ListBullet"/>
      </w:pPr>
      <w:r>
        <w:rPr>
          <w:b/>
        </w:rPr>
        <w:t xml:space="preserve">Confidence Scoring Thresholds: </w:t>
      </w:r>
      <w:r>
        <w:t>Proposals with confidence scores above 85% are highlighted for quick human approval; proposals below 85% flag specific ambiguous fields for manual correction.</w:t>
      </w:r>
    </w:p>
    <w:p>
      <w:pPr>
        <w:pStyle w:val="ListBullet"/>
      </w:pPr>
      <w:r>
        <w:rPr>
          <w:b/>
        </w:rPr>
        <w:t xml:space="preserve">Deterministic Verification: </w:t>
      </w:r>
      <w:r>
        <w:t>Prior to steward approval, the proposed mapping is tested against a sample batch using Pydantic to ensure syntax and type compatibility.</w:t>
      </w:r>
    </w:p>
    <w:p>
      <w:pPr>
        <w:pStyle w:val="Heading1"/>
      </w:pPr>
      <w:r>
        <w:t>3. Observability &amp; Real-Time Dashboard Metrics</w:t>
      </w:r>
    </w:p>
    <w:p>
      <w:r>
        <w:t>The system provides clear observability into ingestion health, DLQ error rates, and canonical data distributions.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54725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shboard_metric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72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2.3 Data Steward Verification UI (Mockup)</w:t>
      </w:r>
    </w:p>
    <w:p>
      <w:r>
        <w:t>The following mock UI demonstrates the Human-in-the-Loop interface. When the AI agent finishes proposing a schema mapping for an unrecognized payload, it pauses execution and generates a ticket. The Data Steward can review the raw data against the AI's canonical mapping, verify the confidence score, and approve the payload for re-ingestion.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37801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ck_steward_ui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80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4. API Contracts &amp; Structured Logging</w:t>
      </w:r>
    </w:p>
    <w:p>
      <w:pPr>
        <w:pStyle w:val="Heading2"/>
      </w:pPr>
      <w:r>
        <w:t>4.1 Immutable Event Serving (Read API &amp; Diff Endpoint)</w:t>
      </w:r>
    </w:p>
    <w:p>
      <w:r>
        <w:t>The FastAPI implementation below demonstrates the CQRS read model and the event-sourced diff endpoint, satisfying the requirement to serve a canonical read API and a 'diff since timestamp' endpoint without expensive relational database joins.</w:t>
      </w:r>
    </w:p>
    <w:p>
      <w:r>
        <w:rPr>
          <w:rFonts w:ascii="Courier New" w:hAnsi="Courier New"/>
          <w:sz w:val="18"/>
        </w:rPr>
        <w:t>from fastapi import FastAPI, Query</w:t>
        <w:br/>
        <w:t>from datetime import datetime</w:t>
        <w:br/>
        <w:t>from typing import List</w:t>
        <w:br/>
        <w:br/>
        <w:t>app = FastAPI(title="Clinical Metadata API")</w:t>
        <w:br/>
        <w:br/>
        <w:t>@app.get("/api/v1/studies", response_model=List[CanonicalStudy])</w:t>
        <w:br/>
        <w:t>async def get_all_studies():</w:t>
        <w:br/>
        <w:t xml:space="preserve">    """Returns the canonical, validated view of all ingested research studies."""</w:t>
        <w:br/>
        <w:t xml:space="preserve">    return db.query_materialized_view("SELECT * FROM canonical_studies_read_model")</w:t>
        <w:br/>
        <w:br/>
        <w:t>@app.get("/api/v1/studies/diff", response_model=List[StudyEvent])</w:t>
        <w:br/>
        <w:t>async def get_study_diffs(since: datetime = Query(..., description="ISO-8601 Timestamp")):</w:t>
        <w:br/>
        <w:t xml:space="preserve">    """</w:t>
        <w:br/>
        <w:t xml:space="preserve">    Queries the append-only Event Store directly. </w:t>
        <w:br/>
        <w:t xml:space="preserve">    Returns all state changes (e.g., TargetEnrollmentUpdated) that occurred after the timestamp.</w:t>
        <w:br/>
        <w:t xml:space="preserve">    """</w:t>
        <w:br/>
        <w:t xml:space="preserve">    events = event_store.get_events_since(timestamp=since)</w:t>
        <w:br/>
        <w:t xml:space="preserve">    return events</w:t>
        <w:br/>
      </w:r>
    </w:p>
    <w:p>
      <w:pPr>
        <w:pStyle w:val="Heading2"/>
      </w:pPr>
      <w:r>
        <w:t>4.2 Structured Error Logging (DLQ Payload)</w:t>
      </w:r>
    </w:p>
    <w:p>
      <w:r>
        <w:t>When declarative Pydantic validation fails, the stream processor emits a structured JSON log to the Dead Letter Queue. This payload ensures clear error surfaces are maintained and bad rows are explained, not swallowed.</w:t>
      </w:r>
    </w:p>
    <w:p>
      <w:r>
        <w:rPr>
          <w:rFonts w:ascii="Courier New" w:hAnsi="Courier New"/>
          <w:sz w:val="18"/>
        </w:rPr>
        <w:t>{</w:t>
        <w:br/>
        <w:t xml:space="preserve">  "timestamp": "2026-09-24T19:15:00Z",</w:t>
        <w:br/>
        <w:t xml:space="preserve">  "level": "ERROR",</w:t>
        <w:br/>
        <w:t xml:space="preserve">  "component": "KafkaStreamProcessor",</w:t>
        <w:br/>
        <w:t xml:space="preserve">  "adapter": "EUCTR_CSV_v1",</w:t>
        <w:br/>
        <w:t xml:space="preserve">  "event": "VALIDATION_FAILURE",</w:t>
        <w:br/>
        <w:t xml:space="preserve">  "raw_payload": {"dataset_id": "EU-882", "planned_participants": "TBD"},</w:t>
        <w:br/>
        <w:t xml:space="preserve">  "error_surface": [</w:t>
        <w:br/>
        <w:t xml:space="preserve">    {</w:t>
        <w:br/>
        <w:t xml:space="preserve">      "loc": ["target_enrollment"],</w:t>
        <w:br/>
        <w:t xml:space="preserve">      "msg": "Input should be a valid integer, unable to parse string as an integer",</w:t>
        <w:br/>
        <w:t xml:space="preserve">      "type": "int_parsing"</w:t>
        <w:br/>
        <w:t xml:space="preserve">    }</w:t>
        <w:br/>
        <w:t xml:space="preserve">  ]</w:t>
        <w:br/>
        <w:t>}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