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ПОЛОЦКИЙ ГОСУДАРСТВЕННЫЙ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Базы данных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Отчёт по лабораторной работе </w:t>
      </w:r>
      <w:r>
        <w:rPr>
          <w:rFonts w:cs="Times New Roman" w:ascii="Times New Roman" w:hAnsi="Times New Roman"/>
          <w:b/>
          <w:sz w:val="28"/>
          <w:szCs w:val="28"/>
        </w:rPr>
        <w:t>№10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 </w:t>
        <w:tab/>
        <w:tab/>
        <w:tab/>
        <w:tab/>
        <w:tab/>
        <w:tab/>
        <w:tab/>
        <w:tab/>
        <w:t xml:space="preserve"> </w:t>
        <w:tab/>
        <w:t>студент группы 16-ИТ-3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>Яблонский А.С</w:t>
      </w:r>
    </w:p>
    <w:p>
      <w:pPr>
        <w:pStyle w:val="Normal"/>
        <w:ind w:left="-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ПРОВЕРИЛ    </w:t>
        <w:tab/>
        <w:tab/>
        <w:tab/>
        <w:tab/>
        <w:tab/>
        <w:tab/>
        <w:tab/>
        <w:tab/>
        <w:t>проподаватель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>Данченко Е.В.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Полоцк, 2019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задания №23 – Рыболовная фирма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Фирме принадлежит небольшая флотилия рыболовных катеров. Каждый катер имеет «паспорт», куда занесены его название, тип, водоизмещение и дата постройки. Фирма регистрирует каждый выход на лов, записывая название катера, имена и адреса членов команды с указанием их должностей (капитан, боцман и т.д.), даты выхода и возвращения, а также вес пойманной рыбы отдельно по сортам (например, трески). За время одного рейса катер может посетить несколько рыболовных мест (банок). Фиксируется дата прихода на каждую банку и дата отплытия, качество выловленной рыбы (отличное,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хорошее, плохое). На борту улов не взвешивается.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выполнения задания: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Построение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диаграмм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IDEFO (Integration Definition for Function Modeling).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Описать бизнес-процесс при помощи методологии структурного анализа и проектирования (SADT) и построить диаграмму IDEF0 (Integration Definition for Function Modeling). Изучить основные принципы методологии IDEF0: создание нового проекта в CASE-средстве; формирование контекстной диаграммы; проведение связей.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Используемая программа:</w:t>
      </w:r>
      <w:r>
        <w:rPr>
          <w:rFonts w:cs="Times New Roman" w:ascii="Times New Roman" w:hAnsi="Times New Roman"/>
          <w:sz w:val="28"/>
          <w:szCs w:val="28"/>
        </w:rPr>
        <w:t xml:space="preserve"> BPwin. 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IDEF0</w:t>
      </w:r>
      <w:r>
        <w:rPr>
          <w:rFonts w:cs="Times New Roman" w:ascii="Times New Roman" w:hAnsi="Times New Roman"/>
          <w:sz w:val="28"/>
          <w:szCs w:val="28"/>
        </w:rPr>
        <w:t xml:space="preserve"> – методология функционального моделирования. С помощью наглядного графического языка IDEF0, изучаемая система предстает перед разработчиками и аналитиками в виде набора взаимосвязанных функций (функциональных блоков – в терминах IDEF0). Как правило, моделирование средствами IDEF0 является первым этапом изучения любой системы.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работе субъектом будет выступать рыболовная фирма, а именно процессы, происходящие при выборе команды, катера и банок, а также при самой ловле.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определения контекста моделирования можно приступать к построению контекстной диаграммы (называемой еще «черным ящиком»). Данный тип диаграммы позволяет показать, что подается на вход работы и что является результатом работы, без детализации ее составляющих. Данная диаграмма содержит только одну работу, которая будет представлять работу рыболовной фирмы.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Функциональный блок:</w:t>
      </w:r>
      <w:r>
        <w:rPr>
          <w:rFonts w:cs="Times New Roman" w:ascii="Times New Roman" w:hAnsi="Times New Roman"/>
          <w:sz w:val="28"/>
          <w:szCs w:val="28"/>
        </w:rPr>
        <w:t xml:space="preserve"> Деятельность рыболовной фирмы.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Вход:</w:t>
      </w:r>
      <w:r>
        <w:rPr>
          <w:rFonts w:cs="Times New Roman" w:ascii="Times New Roman" w:hAnsi="Times New Roman"/>
          <w:sz w:val="28"/>
          <w:szCs w:val="28"/>
        </w:rPr>
        <w:t xml:space="preserve"> Катер, рабочие, банка.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Выход:</w:t>
      </w:r>
      <w:r>
        <w:rPr>
          <w:rFonts w:cs="Times New Roman" w:ascii="Times New Roman" w:hAnsi="Times New Roman"/>
          <w:sz w:val="28"/>
          <w:szCs w:val="28"/>
        </w:rPr>
        <w:t xml:space="preserve"> Набранная команда, дата выхода/возврата на лов, дата входы/выхода с банки, сорт рыбы, масса рыбы, качество рыбы.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Управление:</w:t>
      </w:r>
      <w:r>
        <w:rPr>
          <w:rFonts w:cs="Times New Roman" w:ascii="Times New Roman" w:hAnsi="Times New Roman"/>
          <w:sz w:val="28"/>
          <w:szCs w:val="28"/>
        </w:rPr>
        <w:t xml:space="preserve"> Законодательство, правила.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Механизмы:</w:t>
      </w:r>
      <w:r>
        <w:rPr>
          <w:rFonts w:cs="Times New Roman" w:ascii="Times New Roman" w:hAnsi="Times New Roman"/>
          <w:sz w:val="28"/>
          <w:szCs w:val="28"/>
        </w:rPr>
        <w:t xml:space="preserve"> Персонал.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Итоговая контекстная диаграмма представлена на рисунке 1.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3175">
            <wp:extent cx="5940425" cy="3262630"/>
            <wp:effectExtent l="0" t="0" r="0" b="0"/>
            <wp:docPr id="1" name="Рисунок 1" descr="https://pp.userapi.com/c848632/v848632502/185f38/HVShiqz2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pp.userapi.com/c848632/v848632502/185f38/HVShiqz2No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</w:rPr>
        <w:t xml:space="preserve"> – Итоговая контекстная диаграмма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Далее следует выполнить декомпозицию. Декомпозиция – это разделение сложного объекта, системы, задачи на составные части, элементы.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Выделим 4 функциональных блока: Выбор катера, набор команды, лов, выбор банки. Определим стрелки для каждого блока (см. таблица 1).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 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51"/>
        <w:gridCol w:w="1799"/>
        <w:gridCol w:w="2186"/>
        <w:gridCol w:w="1661"/>
        <w:gridCol w:w="2348"/>
      </w:tblGrid>
      <w:tr>
        <w:trPr/>
        <w:tc>
          <w:tcPr>
            <w:tcW w:w="1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Блок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</w:t>
            </w:r>
          </w:p>
        </w:tc>
        <w:tc>
          <w:tcPr>
            <w:tcW w:w="2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</w:t>
            </w:r>
          </w:p>
        </w:tc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Механизмы</w:t>
            </w:r>
          </w:p>
        </w:tc>
        <w:tc>
          <w:tcPr>
            <w:tcW w:w="2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Управление</w:t>
            </w:r>
          </w:p>
        </w:tc>
      </w:tr>
      <w:tr>
        <w:trPr/>
        <w:tc>
          <w:tcPr>
            <w:tcW w:w="1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Выбор катера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Катер</w:t>
            </w:r>
          </w:p>
        </w:tc>
        <w:tc>
          <w:tcPr>
            <w:tcW w:w="2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Передать информацию</w:t>
            </w:r>
          </w:p>
        </w:tc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Персонал</w:t>
            </w:r>
          </w:p>
        </w:tc>
        <w:tc>
          <w:tcPr>
            <w:tcW w:w="2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Законодательство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Правила</w:t>
            </w:r>
          </w:p>
        </w:tc>
      </w:tr>
      <w:tr>
        <w:trPr/>
        <w:tc>
          <w:tcPr>
            <w:tcW w:w="1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Набор команды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Передать информацию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Рабочие</w:t>
            </w:r>
          </w:p>
        </w:tc>
        <w:tc>
          <w:tcPr>
            <w:tcW w:w="2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Передать информацию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Набранная команда</w:t>
            </w:r>
          </w:p>
        </w:tc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Персонал</w:t>
            </w:r>
          </w:p>
        </w:tc>
        <w:tc>
          <w:tcPr>
            <w:tcW w:w="2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Законодательство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Правила</w:t>
            </w:r>
          </w:p>
        </w:tc>
      </w:tr>
      <w:tr>
        <w:trPr/>
        <w:tc>
          <w:tcPr>
            <w:tcW w:w="1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Лов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Передать информацию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Передать информацию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Сорт рыбы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Масса рыбы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 выхода/возврата на лов</w:t>
            </w:r>
          </w:p>
        </w:tc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Персонал</w:t>
            </w:r>
          </w:p>
        </w:tc>
        <w:tc>
          <w:tcPr>
            <w:tcW w:w="2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Законодательство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Правила</w:t>
            </w:r>
          </w:p>
        </w:tc>
      </w:tr>
      <w:tr>
        <w:trPr/>
        <w:tc>
          <w:tcPr>
            <w:tcW w:w="13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Выбор банки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Передать информацию</w:t>
            </w:r>
          </w:p>
        </w:tc>
        <w:tc>
          <w:tcPr>
            <w:tcW w:w="2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Качество рыбы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 входа/выхода с банки</w:t>
            </w:r>
          </w:p>
        </w:tc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Персонал</w:t>
            </w:r>
          </w:p>
        </w:tc>
        <w:tc>
          <w:tcPr>
            <w:tcW w:w="2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Законодательство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Правила</w:t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 декомпозиции диаграммы показан на рисунке 2.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3175">
            <wp:extent cx="5940425" cy="3226435"/>
            <wp:effectExtent l="0" t="0" r="0" b="0"/>
            <wp:docPr id="2" name="Рисунок 2" descr="https://pp.userapi.com/c848632/v848632502/185f5e/HkFpqFrpJ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p.userapi.com/c848632/v848632502/185f5e/HkFpqFrpJH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2</w:t>
      </w:r>
      <w:r>
        <w:rPr>
          <w:rFonts w:cs="Times New Roman" w:ascii="Times New Roman" w:hAnsi="Times New Roman"/>
          <w:sz w:val="28"/>
          <w:szCs w:val="28"/>
        </w:rPr>
        <w:t xml:space="preserve"> – Результат декомпозиции диаграммы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Вывод.</w:t>
      </w:r>
      <w:r>
        <w:rPr>
          <w:rFonts w:cs="Times New Roman" w:ascii="Times New Roman" w:hAnsi="Times New Roman"/>
          <w:sz w:val="28"/>
          <w:szCs w:val="28"/>
        </w:rPr>
        <w:t xml:space="preserve"> Согласно варианту задания, построена контекстная диаграмма IDEF0 и выполнена её декомпозиция. Данная диаграмма выполнена в CASE-средстве BPwin.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Построение диаграмм DFD (Data Flow Diagramming) – движения потоков информации (документооборота) в системе.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Описать бизнес-процесс при помощи методологии структурного анализа и проектирования (SADT) и построить диаграмму DFD (Data Flow Diagramming) – движения потоков информации (документооборота) в системе. Изучить основные принципы методологии построения диаграмм потоков данных (DFD). </w:t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Используемая программа: </w:t>
      </w:r>
      <w:r>
        <w:rPr>
          <w:rFonts w:cs="Times New Roman" w:ascii="Times New Roman" w:hAnsi="Times New Roman"/>
          <w:sz w:val="28"/>
          <w:szCs w:val="28"/>
        </w:rPr>
        <w:t>BPwin.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работы.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Диаграммы потоков данных (Data flow diagram, DFD) используются для описания документооборота и обработки информации. Подобно IDEF0, DFD представляет моделируемую систему как сеть связанных между собой работ. Главная цель DFD – показать, как каждая работа преобразует свои входные данные в выходные, а также выявить отношения между этими работами. Любая DFD-диаграмма может содержать работы, внешние сущности, стрелки (потоки данных) и хранилища данных.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Компоненты каждого детализированного блока приведены в таблице 2.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2 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4"/>
        <w:gridCol w:w="2192"/>
        <w:gridCol w:w="2122"/>
        <w:gridCol w:w="1757"/>
        <w:gridCol w:w="1730"/>
      </w:tblGrid>
      <w:tr>
        <w:trPr/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Блок</w:t>
            </w:r>
          </w:p>
        </w:tc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Функции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Потоки данных</w:t>
            </w:r>
          </w:p>
        </w:tc>
        <w:tc>
          <w:tcPr>
            <w:tcW w:w="1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Хранилища данных</w:t>
            </w:r>
          </w:p>
        </w:tc>
        <w:tc>
          <w:tcPr>
            <w:tcW w:w="17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Внешние сущности</w:t>
            </w:r>
          </w:p>
        </w:tc>
      </w:tr>
      <w:tr>
        <w:trPr/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Выбор катера</w:t>
            </w:r>
          </w:p>
        </w:tc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названия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типа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водоизмещения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даты постройки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названии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типе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водоизмещении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дате постройки</w:t>
            </w:r>
          </w:p>
        </w:tc>
        <w:tc>
          <w:tcPr>
            <w:tcW w:w="1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катеров</w:t>
            </w:r>
          </w:p>
        </w:tc>
        <w:tc>
          <w:tcPr>
            <w:tcW w:w="17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Катер</w:t>
            </w:r>
          </w:p>
        </w:tc>
      </w:tr>
      <w:tr>
        <w:trPr/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Набор команды</w:t>
            </w:r>
          </w:p>
        </w:tc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имени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адреса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должности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об имени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об адресе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должности</w:t>
            </w:r>
          </w:p>
        </w:tc>
        <w:tc>
          <w:tcPr>
            <w:tcW w:w="1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членов команды</w:t>
            </w:r>
          </w:p>
        </w:tc>
        <w:tc>
          <w:tcPr>
            <w:tcW w:w="17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Команда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Передача информации</w:t>
            </w:r>
          </w:p>
        </w:tc>
      </w:tr>
      <w:tr>
        <w:trPr/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Лов</w:t>
            </w:r>
          </w:p>
        </w:tc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даты выхода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даты возврата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сорта рыбы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массы рыбы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дате выхода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дате возврата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сорте рыбы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массе рыбы</w:t>
            </w:r>
          </w:p>
        </w:tc>
        <w:tc>
          <w:tcPr>
            <w:tcW w:w="1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Передача информации</w:t>
            </w:r>
          </w:p>
        </w:tc>
      </w:tr>
      <w:tr>
        <w:trPr/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Выбор банки</w:t>
            </w:r>
          </w:p>
        </w:tc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даты прихода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даты возврата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Выяснение качества рыбы</w:t>
            </w:r>
          </w:p>
        </w:tc>
        <w:tc>
          <w:tcPr>
            <w:tcW w:w="21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дате прихода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дате возврата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Данные о качестве рыбы</w:t>
            </w:r>
          </w:p>
        </w:tc>
        <w:tc>
          <w:tcPr>
            <w:tcW w:w="17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банок</w:t>
            </w:r>
          </w:p>
        </w:tc>
        <w:tc>
          <w:tcPr>
            <w:tcW w:w="17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Банка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Передача информации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Диаграммы DFD представлены на рисунках 3-7.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72100" cy="2746375"/>
            <wp:effectExtent l="0" t="0" r="0" b="0"/>
            <wp:docPr id="3" name="Рисунок 5" descr="https://pp.userapi.com/c848632/v848632502/185fa6/uBUYU1rTe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https://pp.userapi.com/c848632/v848632502/185fa6/uBUYU1rTeV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3</w:t>
      </w:r>
      <w:r>
        <w:rPr>
          <w:rFonts w:cs="Times New Roman" w:ascii="Times New Roman" w:hAnsi="Times New Roman"/>
          <w:sz w:val="28"/>
          <w:szCs w:val="28"/>
        </w:rPr>
        <w:t xml:space="preserve"> – Диаграмма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DFD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43525" cy="2693035"/>
            <wp:effectExtent l="0" t="0" r="0" b="0"/>
            <wp:docPr id="4" name="Рисунок 9" descr="https://pp.userapi.com/c848632/v848632502/185fae/BJ3IZ5zmc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https://pp.userapi.com/c848632/v848632502/185fae/BJ3IZ5zmcX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4</w:t>
      </w:r>
      <w:r>
        <w:rPr>
          <w:rFonts w:cs="Times New Roman" w:ascii="Times New Roman" w:hAnsi="Times New Roman"/>
          <w:sz w:val="28"/>
          <w:szCs w:val="28"/>
        </w:rPr>
        <w:t xml:space="preserve"> – Декомпозиция блока Выбор катера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35" distL="0" distR="0">
            <wp:extent cx="5476875" cy="2590800"/>
            <wp:effectExtent l="0" t="0" r="0" b="0"/>
            <wp:docPr id="5" name="Рисунок 8" descr="https://pp.userapi.com/c848632/v848632502/185fb6/EI542N6IR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https://pp.userapi.com/c848632/v848632502/185fb6/EI542N6IRV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5</w:t>
      </w:r>
      <w:r>
        <w:rPr>
          <w:rFonts w:cs="Times New Roman" w:ascii="Times New Roman" w:hAnsi="Times New Roman"/>
          <w:sz w:val="28"/>
          <w:szCs w:val="28"/>
        </w:rPr>
        <w:t xml:space="preserve"> – Декомпозиция блока Набор команды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1905" distL="0" distR="0">
            <wp:extent cx="5610225" cy="2589530"/>
            <wp:effectExtent l="0" t="0" r="0" b="0"/>
            <wp:docPr id="6" name="Рисунок 10" descr="https://pp.userapi.com/c848632/v848632502/185fbe/rFZyrXW3I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https://pp.userapi.com/c848632/v848632502/185fbe/rFZyrXW3Ib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6</w:t>
      </w:r>
      <w:r>
        <w:rPr>
          <w:rFonts w:cs="Times New Roman" w:ascii="Times New Roman" w:hAnsi="Times New Roman"/>
          <w:sz w:val="28"/>
          <w:szCs w:val="28"/>
        </w:rPr>
        <w:t xml:space="preserve"> – Декомпозиции блока Лов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81650" cy="2578735"/>
            <wp:effectExtent l="0" t="0" r="0" b="0"/>
            <wp:docPr id="7" name="Рисунок 11" descr="https://pp.userapi.com/c848632/v848632502/185fc6/t0ZONaU4t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https://pp.userapi.com/c848632/v848632502/185fc6/t0ZONaU4tr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7</w:t>
      </w:r>
      <w:r>
        <w:rPr>
          <w:rFonts w:cs="Times New Roman" w:ascii="Times New Roman" w:hAnsi="Times New Roman"/>
          <w:sz w:val="28"/>
          <w:szCs w:val="28"/>
        </w:rPr>
        <w:t xml:space="preserve"> – Декомпозиция блока Выбор банки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Вывод.</w:t>
      </w:r>
      <w:r>
        <w:rPr>
          <w:rFonts w:cs="Times New Roman" w:ascii="Times New Roman" w:hAnsi="Times New Roman"/>
          <w:sz w:val="28"/>
          <w:szCs w:val="28"/>
        </w:rPr>
        <w:t xml:space="preserve"> Согласно варианту задания, выполнено создание DFD диаграммы. Данная диаграмма выполнена в CASE-средстве BPwin.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Построение диаграмм IDEF3 (Integration Definition for Function Modeling) – последовательностей выполняемых работ.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Описать бизнес-процесс при помощи методологии структурного анализа и проектирования (SADT) и построить диаграмму IDEF3 (Integration Definition for Function Modeling) – последовательностей выполняемых работ. Изучить основные принципы методологии построения диаграмм IDEF3 (WorkFlow).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Используемая программа:</w:t>
      </w:r>
      <w:r>
        <w:rPr>
          <w:rFonts w:cs="Times New Roman" w:ascii="Times New Roman" w:hAnsi="Times New Roman"/>
          <w:sz w:val="28"/>
          <w:szCs w:val="28"/>
        </w:rPr>
        <w:t xml:space="preserve"> BPwin.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IDEF3 – методология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IDEF3 дает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Выполним декомпозицию блоков диаграммы IDEF0 в IDEF3. Полученная диаграмма представлена на рисунке 8.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35" distL="0" distR="3175">
            <wp:extent cx="5940425" cy="2362200"/>
            <wp:effectExtent l="0" t="0" r="0" b="0"/>
            <wp:docPr id="8" name="Рисунок 12" descr="https://pp.userapi.com/c848632/v848632502/185fec/vgKpb2nq_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https://pp.userapi.com/c848632/v848632502/185fec/vgKpb2nq_K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8</w:t>
      </w:r>
      <w:r>
        <w:rPr>
          <w:rFonts w:cs="Times New Roman" w:ascii="Times New Roman" w:hAnsi="Times New Roman"/>
          <w:sz w:val="28"/>
          <w:szCs w:val="28"/>
        </w:rPr>
        <w:t xml:space="preserve"> – Диаграмма IDEF3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Декомпозиция блока Выбор катера представлена на рисунке 9.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3175">
            <wp:extent cx="5940425" cy="2712720"/>
            <wp:effectExtent l="0" t="0" r="0" b="0"/>
            <wp:docPr id="9" name="Рисунок 13" descr="https://pp.userapi.com/c848632/v848632502/186007/HCqnSCRVd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https://pp.userapi.com/c848632/v848632502/186007/HCqnSCRVdh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9</w:t>
      </w:r>
      <w:r>
        <w:rPr>
          <w:rFonts w:cs="Times New Roman" w:ascii="Times New Roman" w:hAnsi="Times New Roman"/>
          <w:sz w:val="28"/>
          <w:szCs w:val="28"/>
        </w:rPr>
        <w:t xml:space="preserve"> – Декомпозиция блока Выбор катера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Декомпозиция блока Набор команды представлена на рисунке 10.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3175">
            <wp:extent cx="5940425" cy="2496185"/>
            <wp:effectExtent l="0" t="0" r="0" b="0"/>
            <wp:docPr id="10" name="Рисунок 14" descr="https://pp.userapi.com/c848632/v848632732/187683/kH0f-Krt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https://pp.userapi.com/c848632/v848632732/187683/kH0f-Krt_o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10</w:t>
      </w:r>
      <w:r>
        <w:rPr>
          <w:rFonts w:cs="Times New Roman" w:ascii="Times New Roman" w:hAnsi="Times New Roman"/>
          <w:sz w:val="28"/>
          <w:szCs w:val="28"/>
        </w:rPr>
        <w:t xml:space="preserve"> – Декомпозиция блока Набор команды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Декомпозиция блока Лов представлена на рисунке 11.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8255" distL="0" distR="3175">
            <wp:extent cx="5940425" cy="2487930"/>
            <wp:effectExtent l="0" t="0" r="0" b="0"/>
            <wp:docPr id="11" name="Рисунок 15" descr="https://pp.userapi.com/c848632/v848632732/1876c0/Gz56UccmgF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https://pp.userapi.com/c848632/v848632732/1876c0/Gz56UccmgFU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11</w:t>
      </w:r>
      <w:r>
        <w:rPr>
          <w:rFonts w:cs="Times New Roman" w:ascii="Times New Roman" w:hAnsi="Times New Roman"/>
          <w:sz w:val="28"/>
          <w:szCs w:val="28"/>
        </w:rPr>
        <w:t xml:space="preserve"> – Декомпозиция блока Лов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Декомпозиция блока Выбор банки представлена на рисунке 12.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3810" distL="0" distR="3175">
            <wp:extent cx="5940425" cy="2339340"/>
            <wp:effectExtent l="0" t="0" r="0" b="0"/>
            <wp:docPr id="12" name="Рисунок 16" descr="https://pp.userapi.com/c848632/v848632732/1876d2/5efX47Dob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https://pp.userapi.com/c848632/v848632732/1876d2/5efX47Dobn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12</w:t>
      </w:r>
      <w:r>
        <w:rPr>
          <w:rFonts w:cs="Times New Roman" w:ascii="Times New Roman" w:hAnsi="Times New Roman"/>
          <w:sz w:val="28"/>
          <w:szCs w:val="28"/>
        </w:rPr>
        <w:t xml:space="preserve"> – Декомпозиция блока Выбор банки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Вывод.</w:t>
      </w:r>
      <w:r>
        <w:rPr>
          <w:rFonts w:cs="Times New Roman" w:ascii="Times New Roman" w:hAnsi="Times New Roman"/>
          <w:sz w:val="28"/>
          <w:szCs w:val="28"/>
        </w:rPr>
        <w:t xml:space="preserve"> Согласно варианту задания, выполнено создание диаграммы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 xml:space="preserve">3. Данная диаграмма выполнена в CASE-средстве BPwin.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Построение диаграмм IDEF1X. Определение сущности. Определение взаимосвязей между сущностями. Задание первичных и альтернативных ключей, определение атрибутов сущностей.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bookmarkStart w:id="1" w:name="__DdeLink__937_198161748"/>
      <w:bookmarkEnd w:id="1"/>
      <w:r>
        <w:rPr>
          <w:rFonts w:cs="Times New Roman" w:ascii="Times New Roman" w:hAnsi="Times New Roman"/>
          <w:sz w:val="28"/>
          <w:szCs w:val="28"/>
        </w:rPr>
        <w:t xml:space="preserve">Выполнить проектирование реляционной базы данных с использованием методов эффективного распределения данных между таблицами и построить диаграмму IDEF1X. Определить сущности и их взаимосвязь. Задать первичные и альтернативные ключи, определить атрибуты сущностей.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Используемая программа:</w:t>
      </w:r>
      <w:r>
        <w:rPr>
          <w:rFonts w:cs="Times New Roman" w:ascii="Times New Roman" w:hAnsi="Times New Roman"/>
          <w:sz w:val="28"/>
          <w:szCs w:val="28"/>
        </w:rPr>
        <w:t xml:space="preserve"> ERwin. </w:t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работы.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Определим основные сущности: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Катера</w:t>
      </w:r>
    </w:p>
    <w:p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</w:t>
      </w:r>
    </w:p>
    <w:p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Лов</w:t>
      </w:r>
    </w:p>
    <w:p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Банка</w:t>
      </w:r>
    </w:p>
    <w:p>
      <w:pPr>
        <w:pStyle w:val="Normal"/>
        <w:ind w:firstLine="42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Определим связи между сущностями:</w:t>
      </w:r>
    </w:p>
    <w:p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Катера – Лов 1:М</w:t>
      </w:r>
    </w:p>
    <w:p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 – Лов 1:М</w:t>
      </w:r>
    </w:p>
    <w:p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Лов – Банка 1:М</w:t>
      </w:r>
    </w:p>
    <w:p>
      <w:pPr>
        <w:pStyle w:val="Normal"/>
        <w:ind w:firstLine="42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Определим атрибуты сущностей: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Катера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 катера (первичный ключ)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Водоизмещение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постройки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Команда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члена (первичный ключ)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Город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Лов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 катера (вторичный ключ)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члена (вторичный ключ)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лова (первичный ключ)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выхода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возврата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Сорт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Масса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Банка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лова (вторичный ключ)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банки (первичный ключ)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прихода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отплыва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Качество рыбы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Результаты построения диаграммы IDEF1X в CASE-средстве ERwin представлен на рисунке 1.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985" distL="0" distR="3175">
            <wp:extent cx="5940425" cy="2602865"/>
            <wp:effectExtent l="0" t="0" r="0" b="0"/>
            <wp:docPr id="13" name="Рисунок 18" descr="https://pp.userapi.com/c848632/v848632732/18772d/jAGAVGtuC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 descr="https://pp.userapi.com/c848632/v848632732/18772d/jAGAVGtuCko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13</w:t>
      </w:r>
      <w:r>
        <w:rPr>
          <w:rFonts w:cs="Times New Roman" w:ascii="Times New Roman" w:hAnsi="Times New Roman"/>
          <w:sz w:val="28"/>
          <w:szCs w:val="28"/>
        </w:rPr>
        <w:t xml:space="preserve"> – Диаграмма IDEF1X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Вывод.</w:t>
      </w:r>
      <w:r>
        <w:rPr>
          <w:rFonts w:cs="Times New Roman" w:ascii="Times New Roman" w:hAnsi="Times New Roman"/>
          <w:sz w:val="28"/>
          <w:szCs w:val="28"/>
        </w:rPr>
        <w:t xml:space="preserve"> Согласно варианту задания, определены основные сущности, их атрибуты и связи между сущностями. Построена диаграмма IDEF1X. Данная диаграмма выполнена в CASE-средстве ERwin.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Приведение моделей к требуемому уровню нормальной формы в последовательности: первая нормальная форма (1НФ); вторая нормальная форма (2НФ); третья нормальная форма (3НФ).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Выполнить проектирование реляционной базы данных с использованием методов эффективного распределения данных между таблицами. Осуществить приведение моделей к требуемому уровню нормальной формы в следующей последовательности: первая нормальная форма (1НФ); вторая нормальная форма (2НФ); третья нормальная форма (3НФ) и выполнить построение диаграммы IDEF1X.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Используемая программа:</w:t>
      </w:r>
      <w:r>
        <w:rPr>
          <w:rFonts w:cs="Times New Roman" w:ascii="Times New Roman" w:hAnsi="Times New Roman"/>
          <w:sz w:val="28"/>
          <w:szCs w:val="28"/>
        </w:rPr>
        <w:t xml:space="preserve"> ERwin. </w:t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работы. </w:t>
      </w:r>
    </w:p>
    <w:p>
      <w:pPr>
        <w:pStyle w:val="Normal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Первая нормальная форма требует от таблицы следования следующим правилам: </w:t>
      </w:r>
    </w:p>
    <w:p>
      <w:pPr>
        <w:pStyle w:val="ListParagraph"/>
        <w:numPr>
          <w:ilvl w:val="0"/>
          <w:numId w:val="7"/>
        </w:numPr>
        <w:ind w:left="28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Каждый столбец в строке должен быть атомарным, т.е. столбец может содержать одно и только одно значение для заданной строки. </w:t>
      </w:r>
    </w:p>
    <w:p>
      <w:pPr>
        <w:pStyle w:val="ListParagraph"/>
        <w:numPr>
          <w:ilvl w:val="0"/>
          <w:numId w:val="7"/>
        </w:numPr>
        <w:ind w:left="28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Каждая строка в таблице обязана содержать одинаковое количество столбцов. Учитывая обязательную атомарность столбцов, следует, что все строки в таблице должны иметь одинаковое количество значений. </w:t>
      </w:r>
    </w:p>
    <w:p>
      <w:pPr>
        <w:pStyle w:val="ListParagraph"/>
        <w:numPr>
          <w:ilvl w:val="0"/>
          <w:numId w:val="7"/>
        </w:numPr>
        <w:ind w:left="28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строки в таблице, в общем, должны быть уникальны. Значения в столбцах могут дублироваться, но строки, взятые целиком – не могут.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Диаграмма IDEF1X для первой нормальной формы представлена на рисунке 14.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9525">
            <wp:extent cx="4981575" cy="2657475"/>
            <wp:effectExtent l="0" t="0" r="0" b="0"/>
            <wp:docPr id="14" name="Рисунок 20" descr="https://pp.userapi.com/c848632/v848632732/187753/zelknjOj6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" descr="https://pp.userapi.com/c848632/v848632732/187753/zelknjOj6LQ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14</w:t>
      </w:r>
      <w:r>
        <w:rPr>
          <w:rFonts w:cs="Times New Roman" w:ascii="Times New Roman" w:hAnsi="Times New Roman"/>
          <w:sz w:val="28"/>
          <w:szCs w:val="28"/>
        </w:rPr>
        <w:t xml:space="preserve"> – Диаграмма IDEF1X для первой нормальной формы</w:t>
      </w:r>
    </w:p>
    <w:p>
      <w:pPr>
        <w:pStyle w:val="Normal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Два правила второй нормальной формы говорят о том, что: </w:t>
      </w:r>
    </w:p>
    <w:p>
      <w:pPr>
        <w:pStyle w:val="ListParagraph"/>
        <w:numPr>
          <w:ilvl w:val="0"/>
          <w:numId w:val="6"/>
        </w:numPr>
        <w:ind w:left="28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обязана соответствовать первой нормальной форме. </w:t>
      </w:r>
    </w:p>
    <w:p>
      <w:pPr>
        <w:pStyle w:val="ListParagraph"/>
        <w:numPr>
          <w:ilvl w:val="0"/>
          <w:numId w:val="6"/>
        </w:numPr>
        <w:ind w:left="28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столбцы, не входящие в полный первичный ключ, должны зависеть от полного первичного ключа.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Диаграмма IDEF1X для второй нормальной формы представлена на рисунке 15.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985" distL="0" distR="3175">
            <wp:extent cx="5940425" cy="2602865"/>
            <wp:effectExtent l="0" t="0" r="0" b="0"/>
            <wp:docPr id="15" name="Рисунок 21" descr="https://pp.userapi.com/c848632/v848632732/18772d/jAGAVGtuC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1" descr="https://pp.userapi.com/c848632/v848632732/18772d/jAGAVGtuCk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15</w:t>
      </w:r>
      <w:r>
        <w:rPr>
          <w:rFonts w:cs="Times New Roman" w:ascii="Times New Roman" w:hAnsi="Times New Roman"/>
          <w:sz w:val="28"/>
          <w:szCs w:val="28"/>
        </w:rPr>
        <w:t xml:space="preserve"> – Диаграмма IDEF1X для второй нормальной формы</w:t>
      </w:r>
    </w:p>
    <w:p>
      <w:pPr>
        <w:pStyle w:val="Normal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Третья нормальная форма расширяет две предыдущие, неся в себе два правила: </w:t>
      </w:r>
    </w:p>
    <w:p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должна соответствовать второй нормальной форме.</w:t>
      </w:r>
    </w:p>
    <w:p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столбцы, не входящие в полный первичный ключ, должны зависеть от него и не должны зависеть друг от друга.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Диаграмма IDEF1X для третьей нормальной формы представлена на рисунке 16.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985" distL="0" distR="3175">
            <wp:extent cx="5940425" cy="2602865"/>
            <wp:effectExtent l="0" t="0" r="0" b="0"/>
            <wp:docPr id="16" name="Рисунок 19" descr="https://pp.userapi.com/c848632/v848632732/18772d/jAGAVGtuC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https://pp.userapi.com/c848632/v848632732/18772d/jAGAVGtuCk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16</w:t>
      </w:r>
      <w:r>
        <w:rPr>
          <w:rFonts w:cs="Times New Roman" w:ascii="Times New Roman" w:hAnsi="Times New Roman"/>
          <w:sz w:val="28"/>
          <w:szCs w:val="28"/>
        </w:rPr>
        <w:t xml:space="preserve"> – Диаграмма IDEF1X для третьей нормальной формы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Вывод.</w:t>
      </w:r>
      <w:r>
        <w:rPr>
          <w:rFonts w:cs="Times New Roman" w:ascii="Times New Roman" w:hAnsi="Times New Roman"/>
          <w:sz w:val="28"/>
          <w:szCs w:val="28"/>
        </w:rPr>
        <w:t xml:space="preserve"> В результате выполнения работы рассмотрено проектирование реляционной базы данных и методы эффективного распределения данных между таблицами. Изучены особенности первой, второй и третьей нормальных форм. Закреплены основные принципы методологии IDEF1X. Согласно варианту задания, реляционная модель приведена к уровню третьей нормальной формы. Построена диаграмма IDEF1X. Данная диаграмма выполнена в CASE-средстве ERwin.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b/>
        <w:color w:val="00000A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rFonts w:ascii="Times New Roman" w:hAnsi="Times New Roman"/>
      <w:b/>
      <w:color w:val="00000A"/>
      <w:sz w:val="28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40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Стиль1"/>
    <w:uiPriority w:val="99"/>
    <w:qFormat/>
    <w:rsid w:val="00e6435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81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LibreOffice/5.1.6.2$Linux_X86_64 LibreOffice_project/10m0$Build-2</Application>
  <Pages>14</Pages>
  <Words>1414</Words>
  <Characters>9514</Characters>
  <CharactersWithSpaces>10849</CharactersWithSpaces>
  <Paragraphs>235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2019-05-12T16:16:00Z</dcterms:created>
  <dc:creator>alexej.ameltschenko@mail.ru</dc:creator>
  <dc:description/>
  <dc:language>ru-RU</dc:language>
  <cp:lastModifiedBy/>
  <dcterms:modified xsi:type="dcterms:W3CDTF">2019-06-03T16:54:36Z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